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111125</wp:posOffset>
            </wp:positionV>
            <wp:extent cx="725805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050" cy="36830"/>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240" w:lineRule="exact"/>
        <w:rPr>
          <w:sz w:val="24"/>
          <w:szCs w:val="24"/>
          <w:color w:val="auto"/>
        </w:rPr>
      </w:pPr>
    </w:p>
    <w:p>
      <w:pPr>
        <w:ind w:left="3460" w:hanging="308"/>
        <w:spacing w:after="0"/>
        <w:tabs>
          <w:tab w:leader="none" w:pos="346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QUARTERLY REPORT PURSUANT TO SECTION 13 OR 15(d)</w:t>
      </w:r>
    </w:p>
    <w:p>
      <w:pPr>
        <w:spacing w:after="0" w:line="24" w:lineRule="exact"/>
        <w:rPr>
          <w:rFonts w:ascii="Arial" w:cs="Arial" w:eastAsia="Arial" w:hAnsi="Arial"/>
          <w:sz w:val="17"/>
          <w:szCs w:val="17"/>
          <w:b w:val="1"/>
          <w:bCs w:val="1"/>
          <w:color w:val="auto"/>
        </w:rPr>
      </w:pPr>
    </w:p>
    <w:p>
      <w:pPr>
        <w:ind w:left="38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March 31, 2015</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40" w:lineRule="exact"/>
        <w:rPr>
          <w:sz w:val="24"/>
          <w:szCs w:val="24"/>
          <w:color w:val="auto"/>
        </w:rPr>
      </w:pPr>
    </w:p>
    <w:p>
      <w:pPr>
        <w:ind w:left="3440" w:hanging="293"/>
        <w:spacing w:after="0"/>
        <w:tabs>
          <w:tab w:leader="none" w:pos="344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w:t>
      </w:r>
    </w:p>
    <w:p>
      <w:pPr>
        <w:spacing w:after="0" w:line="24" w:lineRule="exact"/>
        <w:rPr>
          <w:rFonts w:ascii="Arial" w:cs="Arial" w:eastAsia="Arial" w:hAnsi="Arial"/>
          <w:sz w:val="17"/>
          <w:szCs w:val="17"/>
          <w:b w:val="1"/>
          <w:bCs w:val="1"/>
          <w:color w:val="auto"/>
        </w:rPr>
      </w:pPr>
    </w:p>
    <w:p>
      <w:pPr>
        <w:ind w:left="38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960" w:type="dxa"/>
            <w:vAlign w:val="bottom"/>
            <w:gridSpan w:val="7"/>
          </w:tcPr>
          <w:p>
            <w:pPr>
              <w:jc w:val="center"/>
              <w:ind w:right="3375"/>
              <w:spacing w:after="0"/>
              <w:rPr>
                <w:sz w:val="20"/>
                <w:szCs w:val="20"/>
                <w:color w:val="auto"/>
              </w:rPr>
            </w:pPr>
            <w:r>
              <w:rPr>
                <w:rFonts w:ascii="Arial" w:cs="Arial" w:eastAsia="Arial" w:hAnsi="Arial"/>
                <w:sz w:val="17"/>
                <w:szCs w:val="17"/>
                <w:b w:val="1"/>
                <w:bCs w:val="1"/>
                <w:color w:val="auto"/>
                <w:w w:val="91"/>
              </w:rPr>
              <w:t>For the Transition Period from ___________ to ___________</w:t>
            </w:r>
          </w:p>
        </w:tc>
      </w:tr>
      <w:tr>
        <w:trPr>
          <w:trHeight w:val="436"/>
        </w:trPr>
        <w:tc>
          <w:tcPr>
            <w:tcW w:w="3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0" w:type="dxa"/>
            <w:vAlign w:val="bottom"/>
            <w:gridSpan w:val="5"/>
          </w:tcPr>
          <w:p>
            <w:pPr>
              <w:jc w:val="center"/>
              <w:ind w:right="3935"/>
              <w:spacing w:after="0"/>
              <w:rPr>
                <w:sz w:val="20"/>
                <w:szCs w:val="20"/>
                <w:color w:val="auto"/>
              </w:rPr>
            </w:pPr>
            <w:r>
              <w:rPr>
                <w:rFonts w:ascii="Arial" w:cs="Arial" w:eastAsia="Arial" w:hAnsi="Arial"/>
                <w:sz w:val="17"/>
                <w:szCs w:val="17"/>
                <w:b w:val="1"/>
                <w:bCs w:val="1"/>
                <w:color w:val="auto"/>
                <w:w w:val="90"/>
              </w:rPr>
              <w:t>Commission file number 001-35095</w:t>
            </w:r>
          </w:p>
        </w:tc>
      </w:tr>
      <w:tr>
        <w:trPr>
          <w:trHeight w:val="417"/>
        </w:trPr>
        <w:tc>
          <w:tcPr>
            <w:tcW w:w="3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0" w:type="dxa"/>
            <w:vAlign w:val="bottom"/>
            <w:gridSpan w:val="5"/>
          </w:tcPr>
          <w:p>
            <w:pPr>
              <w:jc w:val="center"/>
              <w:ind w:right="3895"/>
              <w:spacing w:after="0"/>
              <w:rPr>
                <w:sz w:val="20"/>
                <w:szCs w:val="20"/>
                <w:color w:val="auto"/>
              </w:rPr>
            </w:pPr>
            <w:r>
              <w:rPr>
                <w:rFonts w:ascii="Arial" w:cs="Arial" w:eastAsia="Arial" w:hAnsi="Arial"/>
                <w:sz w:val="17"/>
                <w:szCs w:val="17"/>
                <w:b w:val="1"/>
                <w:bCs w:val="1"/>
                <w:color w:val="auto"/>
              </w:rPr>
              <w:t>UNITED COMMUNITY BANKS, INC.</w:t>
            </w:r>
          </w:p>
        </w:tc>
      </w:tr>
      <w:tr>
        <w:trPr>
          <w:trHeight w:val="220"/>
        </w:trPr>
        <w:tc>
          <w:tcPr>
            <w:tcW w:w="3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880" w:type="dxa"/>
            <w:vAlign w:val="bottom"/>
            <w:tcBorders>
              <w:top w:val="single" w:sz="8" w:color="auto"/>
            </w:tcBorders>
            <w:gridSpan w:val="6"/>
          </w:tcPr>
          <w:p>
            <w:pPr>
              <w:jc w:val="center"/>
              <w:ind w:right="295"/>
              <w:spacing w:after="0"/>
              <w:rPr>
                <w:sz w:val="20"/>
                <w:szCs w:val="20"/>
                <w:color w:val="auto"/>
              </w:rPr>
            </w:pPr>
            <w:r>
              <w:rPr>
                <w:rFonts w:ascii="Arial" w:cs="Arial" w:eastAsia="Arial" w:hAnsi="Arial"/>
                <w:sz w:val="17"/>
                <w:szCs w:val="17"/>
                <w:b w:val="1"/>
                <w:bCs w:val="1"/>
                <w:color w:val="auto"/>
                <w:w w:val="90"/>
              </w:rPr>
              <w:t>(Exact name of registrant as specified in its charter)</w:t>
            </w:r>
          </w:p>
        </w:tc>
        <w:tc>
          <w:tcPr>
            <w:tcW w:w="3080" w:type="dxa"/>
            <w:vAlign w:val="bottom"/>
          </w:tcPr>
          <w:p>
            <w:pPr>
              <w:spacing w:after="0"/>
              <w:rPr>
                <w:sz w:val="19"/>
                <w:szCs w:val="19"/>
                <w:color w:val="auto"/>
              </w:rPr>
            </w:pPr>
          </w:p>
        </w:tc>
      </w:tr>
      <w:tr>
        <w:trPr>
          <w:trHeight w:val="401"/>
        </w:trPr>
        <w:tc>
          <w:tcPr>
            <w:tcW w:w="3460" w:type="dxa"/>
            <w:vAlign w:val="bottom"/>
            <w:gridSpan w:val="2"/>
          </w:tcPr>
          <w:p>
            <w:pPr>
              <w:jc w:val="center"/>
              <w:ind w:left="475"/>
              <w:spacing w:after="0"/>
              <w:rPr>
                <w:sz w:val="20"/>
                <w:szCs w:val="20"/>
                <w:color w:val="auto"/>
              </w:rPr>
            </w:pPr>
            <w:r>
              <w:rPr>
                <w:rFonts w:ascii="Arial" w:cs="Arial" w:eastAsia="Arial" w:hAnsi="Arial"/>
                <w:sz w:val="17"/>
                <w:szCs w:val="17"/>
                <w:b w:val="1"/>
                <w:bCs w:val="1"/>
                <w:color w:val="auto"/>
                <w:w w:val="90"/>
              </w:rPr>
              <w:t>Georgia</w:t>
            </w:r>
          </w:p>
        </w:tc>
        <w:tc>
          <w:tcPr>
            <w:tcW w:w="7960" w:type="dxa"/>
            <w:vAlign w:val="bottom"/>
            <w:gridSpan w:val="7"/>
          </w:tcPr>
          <w:p>
            <w:pPr>
              <w:jc w:val="right"/>
              <w:ind w:right="1495"/>
              <w:spacing w:after="0"/>
              <w:rPr>
                <w:sz w:val="20"/>
                <w:szCs w:val="20"/>
                <w:color w:val="auto"/>
              </w:rPr>
            </w:pPr>
            <w:r>
              <w:rPr>
                <w:rFonts w:ascii="Arial" w:cs="Arial" w:eastAsia="Arial" w:hAnsi="Arial"/>
                <w:sz w:val="17"/>
                <w:szCs w:val="17"/>
                <w:b w:val="1"/>
                <w:bCs w:val="1"/>
                <w:color w:val="auto"/>
              </w:rPr>
              <w:t>58-1807304</w:t>
            </w:r>
          </w:p>
        </w:tc>
      </w:tr>
      <w:tr>
        <w:trPr>
          <w:trHeight w:val="220"/>
        </w:trPr>
        <w:tc>
          <w:tcPr>
            <w:tcW w:w="3460" w:type="dxa"/>
            <w:vAlign w:val="bottom"/>
            <w:tcBorders>
              <w:top w:val="single" w:sz="8" w:color="auto"/>
            </w:tcBorders>
            <w:gridSpan w:val="2"/>
          </w:tcPr>
          <w:p>
            <w:pPr>
              <w:jc w:val="center"/>
              <w:ind w:left="475"/>
              <w:spacing w:after="0"/>
              <w:rPr>
                <w:sz w:val="20"/>
                <w:szCs w:val="20"/>
                <w:color w:val="auto"/>
              </w:rPr>
            </w:pPr>
            <w:r>
              <w:rPr>
                <w:rFonts w:ascii="Arial" w:cs="Arial" w:eastAsia="Arial" w:hAnsi="Arial"/>
                <w:sz w:val="17"/>
                <w:szCs w:val="17"/>
                <w:b w:val="1"/>
                <w:bCs w:val="1"/>
                <w:color w:val="auto"/>
                <w:w w:val="92"/>
              </w:rPr>
              <w:t>(State of Incorporation)</w:t>
            </w:r>
          </w:p>
        </w:tc>
        <w:tc>
          <w:tcPr>
            <w:tcW w:w="5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980" w:type="dxa"/>
            <w:vAlign w:val="bottom"/>
            <w:tcBorders>
              <w:top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4"/>
              </w:rPr>
              <w:t>(I.R.S. Employer Identification No.)</w:t>
            </w:r>
          </w:p>
        </w:tc>
      </w:tr>
      <w:tr>
        <w:trPr>
          <w:trHeight w:val="379"/>
        </w:trPr>
        <w:tc>
          <w:tcPr>
            <w:tcW w:w="3460" w:type="dxa"/>
            <w:vAlign w:val="bottom"/>
            <w:gridSpan w:val="2"/>
          </w:tcPr>
          <w:p>
            <w:pPr>
              <w:jc w:val="center"/>
              <w:ind w:left="475"/>
              <w:spacing w:after="0"/>
              <w:rPr>
                <w:sz w:val="20"/>
                <w:szCs w:val="20"/>
                <w:color w:val="auto"/>
              </w:rPr>
            </w:pPr>
            <w:r>
              <w:rPr>
                <w:rFonts w:ascii="Arial" w:cs="Arial" w:eastAsia="Arial" w:hAnsi="Arial"/>
                <w:sz w:val="17"/>
                <w:szCs w:val="17"/>
                <w:b w:val="1"/>
                <w:bCs w:val="1"/>
                <w:color w:val="auto"/>
                <w:w w:val="91"/>
              </w:rPr>
              <w:t>125 Highway 515 East</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27"/>
        </w:trPr>
        <w:tc>
          <w:tcPr>
            <w:tcW w:w="3460" w:type="dxa"/>
            <w:vAlign w:val="bottom"/>
            <w:gridSpan w:val="2"/>
          </w:tcPr>
          <w:p>
            <w:pPr>
              <w:jc w:val="center"/>
              <w:ind w:left="455"/>
              <w:spacing w:after="0"/>
              <w:rPr>
                <w:sz w:val="20"/>
                <w:szCs w:val="20"/>
                <w:color w:val="auto"/>
              </w:rPr>
            </w:pPr>
            <w:r>
              <w:rPr>
                <w:rFonts w:ascii="Arial" w:cs="Arial" w:eastAsia="Arial" w:hAnsi="Arial"/>
                <w:sz w:val="17"/>
                <w:szCs w:val="17"/>
                <w:b w:val="1"/>
                <w:bCs w:val="1"/>
                <w:color w:val="auto"/>
                <w:w w:val="90"/>
              </w:rPr>
              <w:t>Blairsville, Georgia</w:t>
            </w:r>
          </w:p>
        </w:tc>
        <w:tc>
          <w:tcPr>
            <w:tcW w:w="7960" w:type="dxa"/>
            <w:vAlign w:val="bottom"/>
            <w:gridSpan w:val="7"/>
          </w:tcPr>
          <w:p>
            <w:pPr>
              <w:jc w:val="right"/>
              <w:ind w:right="1695"/>
              <w:spacing w:after="0"/>
              <w:rPr>
                <w:sz w:val="20"/>
                <w:szCs w:val="20"/>
                <w:color w:val="auto"/>
              </w:rPr>
            </w:pPr>
            <w:r>
              <w:rPr>
                <w:rFonts w:ascii="Arial" w:cs="Arial" w:eastAsia="Arial" w:hAnsi="Arial"/>
                <w:sz w:val="17"/>
                <w:szCs w:val="17"/>
                <w:b w:val="1"/>
                <w:bCs w:val="1"/>
                <w:color w:val="auto"/>
              </w:rPr>
              <w:t>30512</w:t>
            </w:r>
          </w:p>
        </w:tc>
      </w:tr>
      <w:tr>
        <w:trPr>
          <w:trHeight w:val="220"/>
        </w:trPr>
        <w:tc>
          <w:tcPr>
            <w:tcW w:w="3460" w:type="dxa"/>
            <w:vAlign w:val="bottom"/>
            <w:tcBorders>
              <w:top w:val="single" w:sz="8" w:color="auto"/>
            </w:tcBorders>
            <w:gridSpan w:val="2"/>
          </w:tcPr>
          <w:p>
            <w:pPr>
              <w:jc w:val="center"/>
              <w:ind w:left="455"/>
              <w:spacing w:after="0"/>
              <w:rPr>
                <w:sz w:val="20"/>
                <w:szCs w:val="20"/>
                <w:color w:val="auto"/>
              </w:rPr>
            </w:pPr>
            <w:r>
              <w:rPr>
                <w:rFonts w:ascii="Arial" w:cs="Arial" w:eastAsia="Arial" w:hAnsi="Arial"/>
                <w:sz w:val="17"/>
                <w:szCs w:val="17"/>
                <w:b w:val="1"/>
                <w:bCs w:val="1"/>
                <w:color w:val="auto"/>
                <w:w w:val="89"/>
              </w:rPr>
              <w:t>Address of Principal Executive Offices</w:t>
            </w: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080" w:type="dxa"/>
            <w:vAlign w:val="bottom"/>
            <w:tcBorders>
              <w:top w:val="single" w:sz="8" w:color="auto"/>
            </w:tcBorders>
          </w:tcPr>
          <w:p>
            <w:pPr>
              <w:jc w:val="center"/>
              <w:ind w:right="815"/>
              <w:spacing w:after="0"/>
              <w:rPr>
                <w:sz w:val="20"/>
                <w:szCs w:val="20"/>
                <w:color w:val="auto"/>
              </w:rPr>
            </w:pPr>
            <w:r>
              <w:rPr>
                <w:rFonts w:ascii="Arial" w:cs="Arial" w:eastAsia="Arial" w:hAnsi="Arial"/>
                <w:sz w:val="17"/>
                <w:szCs w:val="17"/>
                <w:b w:val="1"/>
                <w:bCs w:val="1"/>
                <w:color w:val="auto"/>
                <w:w w:val="92"/>
              </w:rPr>
              <w:t>(Zip Code)</w:t>
            </w:r>
          </w:p>
        </w:tc>
      </w:tr>
      <w:tr>
        <w:trPr>
          <w:trHeight w:val="401"/>
        </w:trPr>
        <w:tc>
          <w:tcPr>
            <w:tcW w:w="3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60" w:type="dxa"/>
            <w:vAlign w:val="bottom"/>
            <w:gridSpan w:val="4"/>
          </w:tcPr>
          <w:p>
            <w:pPr>
              <w:jc w:val="right"/>
              <w:ind w:right="135"/>
              <w:spacing w:after="0"/>
              <w:rPr>
                <w:sz w:val="20"/>
                <w:szCs w:val="20"/>
                <w:color w:val="auto"/>
              </w:rPr>
            </w:pPr>
            <w:r>
              <w:rPr>
                <w:rFonts w:ascii="Arial" w:cs="Arial" w:eastAsia="Arial" w:hAnsi="Arial"/>
                <w:sz w:val="17"/>
                <w:szCs w:val="17"/>
                <w:b w:val="1"/>
                <w:bCs w:val="1"/>
                <w:color w:val="auto"/>
              </w:rPr>
              <w:t>(706) 781-2265</w:t>
            </w: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20"/>
        </w:trPr>
        <w:tc>
          <w:tcPr>
            <w:tcW w:w="3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(Telephone Number)</w:t>
            </w:r>
          </w:p>
        </w:tc>
        <w:tc>
          <w:tcPr>
            <w:tcW w:w="5000" w:type="dxa"/>
            <w:vAlign w:val="bottom"/>
            <w:gridSpan w:val="3"/>
          </w:tcPr>
          <w:p>
            <w:pPr>
              <w:spacing w:after="0"/>
              <w:rPr>
                <w:sz w:val="19"/>
                <w:szCs w:val="19"/>
                <w:color w:val="auto"/>
              </w:rPr>
            </w:pPr>
          </w:p>
        </w:tc>
      </w:tr>
    </w:tbl>
    <w:p>
      <w:pPr>
        <w:spacing w:after="0" w:line="199" w:lineRule="exact"/>
        <w:rPr>
          <w:sz w:val="24"/>
          <w:szCs w:val="24"/>
          <w:color w:val="auto"/>
        </w:rPr>
      </w:pPr>
    </w:p>
    <w:p>
      <w:pPr>
        <w:jc w:val="both"/>
        <w:spacing w:after="0" w:line="267" w:lineRule="auto"/>
        <w:rPr>
          <w:sz w:val="20"/>
          <w:szCs w:val="20"/>
          <w:color w:val="auto"/>
        </w:rPr>
      </w:pPr>
      <w:r>
        <w:rPr>
          <w:rFonts w:ascii="Arial" w:cs="Arial" w:eastAsia="Arial" w:hAnsi="Arial"/>
          <w:sz w:val="17"/>
          <w:szCs w:val="17"/>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YES x NO o</w:t>
      </w:r>
    </w:p>
    <w:p>
      <w:pPr>
        <w:spacing w:after="0" w:line="240" w:lineRule="exact"/>
        <w:rPr>
          <w:sz w:val="24"/>
          <w:szCs w:val="24"/>
          <w:color w:val="auto"/>
        </w:rPr>
      </w:pPr>
    </w:p>
    <w:p>
      <w:pPr>
        <w:jc w:val="both"/>
        <w:spacing w:after="0" w:line="267" w:lineRule="auto"/>
        <w:rPr>
          <w:sz w:val="20"/>
          <w:szCs w:val="20"/>
          <w:color w:val="auto"/>
        </w:rPr>
      </w:pPr>
      <w:r>
        <w:rPr>
          <w:rFonts w:ascii="Arial" w:cs="Arial" w:eastAsia="Arial" w:hAnsi="Arial"/>
          <w:sz w:val="17"/>
          <w:szCs w:val="17"/>
          <w:b w:val="1"/>
          <w:bCs w:val="1"/>
          <w:color w:val="auto"/>
        </w:rPr>
        <w:t>Indicate by check mark whether the registrant has submitted electronically and posted on its corporate Web site, if any, every Interactive Date File required to be submitted and posted pursuant to Rule 405 of Regulation S-T (§232.405 of this chapter) during the preceding 12 months (or for such shorter period that the registrant was required to submit and post such files).</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YES x NO o</w:t>
      </w:r>
    </w:p>
    <w:p>
      <w:pPr>
        <w:spacing w:after="0" w:line="240" w:lineRule="exact"/>
        <w:rPr>
          <w:sz w:val="24"/>
          <w:szCs w:val="24"/>
          <w:color w:val="auto"/>
        </w:rPr>
      </w:pPr>
    </w:p>
    <w:p>
      <w:pPr>
        <w:jc w:val="both"/>
        <w:spacing w:after="0" w:line="282" w:lineRule="auto"/>
        <w:rPr>
          <w:sz w:val="20"/>
          <w:szCs w:val="20"/>
          <w:color w:val="auto"/>
        </w:rPr>
      </w:pPr>
      <w:r>
        <w:rPr>
          <w:rFonts w:ascii="Arial" w:cs="Arial" w:eastAsia="Arial" w:hAnsi="Arial"/>
          <w:sz w:val="17"/>
          <w:szCs w:val="17"/>
          <w:b w:val="1"/>
          <w:bCs w:val="1"/>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303" w:right="239" w:bottom="1440" w:gutter="0" w:footer="0" w:header="0"/>
        </w:sectPr>
      </w:pPr>
    </w:p>
    <w:p>
      <w:pPr>
        <w:spacing w:after="0" w:line="15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Large accelerated filer x</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Accelerated filer o</w:t>
      </w:r>
    </w:p>
    <w:p>
      <w:pPr>
        <w:spacing w:after="0" w:line="200" w:lineRule="exact"/>
        <w:rPr>
          <w:sz w:val="24"/>
          <w:szCs w:val="24"/>
          <w:color w:val="auto"/>
        </w:rPr>
      </w:pPr>
    </w:p>
    <w:p>
      <w:pPr>
        <w:sectPr>
          <w:pgSz w:w="11900" w:h="16838" w:orient="portrait"/>
          <w:cols w:equalWidth="0" w:num="2">
            <w:col w:w="9360" w:space="720"/>
            <w:col w:w="1340"/>
          </w:cols>
          <w:pgMar w:left="240" w:top="303" w:right="239" w:bottom="1440" w:gutter="0" w:footer="0" w:header="0"/>
          <w:type w:val="continuous"/>
        </w:sectPr>
      </w:pP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Smaller Reporting Company o</w:t>
      </w:r>
    </w:p>
    <w:p>
      <w:pPr>
        <w:spacing w:after="0" w:line="200" w:lineRule="exact"/>
        <w:rPr>
          <w:sz w:val="24"/>
          <w:szCs w:val="24"/>
          <w:color w:val="auto"/>
        </w:rPr>
      </w:pPr>
    </w:p>
    <w:p>
      <w:pPr>
        <w:sectPr>
          <w:pgSz w:w="11900" w:h="16838" w:orient="portrait"/>
          <w:cols w:equalWidth="0" w:num="2">
            <w:col w:w="8480" w:space="720"/>
            <w:col w:w="2220"/>
          </w:cols>
          <w:pgMar w:left="240" w:top="303" w:right="239" w:bottom="1440" w:gutter="0" w:footer="0" w:header="0"/>
          <w:type w:val="continuous"/>
        </w:sectPr>
      </w:pPr>
    </w:p>
    <w:p>
      <w:pPr>
        <w:spacing w:after="0" w:line="6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Indicate by check mark whether the registrant is a shell company (as defined in Rule 12b-2 of the Act).</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YES o NO x</w:t>
      </w:r>
    </w:p>
    <w:p>
      <w:pPr>
        <w:sectPr>
          <w:pgSz w:w="11900" w:h="16838" w:orient="portrait"/>
          <w:cols w:equalWidth="0" w:num="1">
            <w:col w:w="11420"/>
          </w:cols>
          <w:pgMar w:left="240" w:top="303" w:right="239" w:bottom="1440" w:gutter="0" w:footer="0" w:header="0"/>
          <w:type w:val="continuous"/>
        </w:sectPr>
      </w:pPr>
    </w:p>
    <w:p>
      <w:pPr>
        <w:spacing w:after="0" w:line="24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Common stock, par value $1 per share 50,246,315 shares voting and 10,080,787 shares non-voting outstanding as of April 30,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438150</wp:posOffset>
            </wp:positionV>
            <wp:extent cx="72536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30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INDEX</w:t>
      </w:r>
    </w:p>
    <w:p>
      <w:pPr>
        <w:spacing w:after="0" w:line="215" w:lineRule="exact"/>
        <w:rPr>
          <w:sz w:val="20"/>
          <w:szCs w:val="20"/>
          <w:color w:val="auto"/>
        </w:rPr>
      </w:pPr>
    </w:p>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PART I - Financial Information</w:t>
        </w:r>
      </w:hyperlink>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20" w:type="dxa"/>
            <w:vAlign w:val="bottom"/>
          </w:tcPr>
          <w:p>
            <w:pPr>
              <w:spacing w:after="0"/>
              <w:rPr>
                <w:sz w:val="19"/>
                <w:szCs w:val="19"/>
                <w:color w:val="auto"/>
              </w:rPr>
            </w:pPr>
          </w:p>
        </w:tc>
        <w:tc>
          <w:tcPr>
            <w:tcW w:w="940" w:type="dxa"/>
            <w:vAlign w:val="bottom"/>
            <w:gridSpan w:val="3"/>
          </w:tcPr>
          <w:p>
            <w:pPr>
              <w:spacing w:after="0"/>
              <w:rPr>
                <w:sz w:val="20"/>
                <w:szCs w:val="20"/>
                <w:color w:val="auto"/>
              </w:rPr>
            </w:pPr>
            <w:r>
              <w:rPr>
                <w:rFonts w:ascii="Arial" w:cs="Arial" w:eastAsia="Arial" w:hAnsi="Arial"/>
                <w:sz w:val="17"/>
                <w:szCs w:val="17"/>
                <w:b w:val="1"/>
                <w:bCs w:val="1"/>
                <w:color w:val="auto"/>
              </w:rPr>
              <w:t>Item 1.</w:t>
            </w:r>
          </w:p>
        </w:tc>
        <w:tc>
          <w:tcPr>
            <w:tcW w:w="9140" w:type="dxa"/>
            <w:vAlign w:val="bottom"/>
            <w:gridSpan w:val="18"/>
          </w:tcPr>
          <w:p>
            <w:pPr>
              <w:spacing w:after="0"/>
              <w:rPr>
                <w:sz w:val="20"/>
                <w:szCs w:val="20"/>
                <w:color w:val="auto"/>
              </w:rPr>
            </w:pPr>
            <w:r>
              <w:rPr>
                <w:rFonts w:ascii="Arial" w:cs="Arial" w:eastAsia="Arial" w:hAnsi="Arial"/>
                <w:sz w:val="17"/>
                <w:szCs w:val="17"/>
                <w:b w:val="1"/>
                <w:bCs w:val="1"/>
                <w:color w:val="auto"/>
              </w:rPr>
              <w:t>Financial Statements.</w:t>
            </w:r>
          </w:p>
        </w:tc>
        <w:tc>
          <w:tcPr>
            <w:tcW w:w="420" w:type="dxa"/>
            <w:vAlign w:val="bottom"/>
          </w:tcPr>
          <w:p>
            <w:pPr>
              <w:spacing w:after="0"/>
              <w:rPr>
                <w:sz w:val="19"/>
                <w:szCs w:val="19"/>
                <w:color w:val="auto"/>
              </w:rPr>
            </w:pPr>
          </w:p>
        </w:tc>
      </w:tr>
      <w:tr>
        <w:trPr>
          <w:trHeight w:val="373"/>
        </w:trPr>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40" w:type="dxa"/>
            <w:vAlign w:val="bottom"/>
            <w:gridSpan w:val="18"/>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Consolidated Statement of Income (unaudited) for the Three Months Ended March 31, 2015 and 2014</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
        </w:trPr>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90"/>
        </w:trPr>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80" w:type="dxa"/>
            <w:vAlign w:val="bottom"/>
            <w:tcBorders>
              <w:bottom w:val="single" w:sz="8" w:color="0000EE"/>
            </w:tcBorders>
            <w:gridSpan w:val="16"/>
          </w:tcPr>
          <w:p>
            <w:pPr>
              <w:spacing w:after="0"/>
              <w:rPr>
                <w:rFonts w:ascii="Arial" w:cs="Arial" w:eastAsia="Arial" w:hAnsi="Arial"/>
                <w:sz w:val="17"/>
                <w:szCs w:val="17"/>
                <w:b w:val="1"/>
                <w:bCs w:val="1"/>
                <w:color w:val="0000EE"/>
                <w:w w:val="90"/>
              </w:rPr>
            </w:pPr>
            <w:hyperlink w:anchor="page4">
              <w:r>
                <w:rPr>
                  <w:rFonts w:ascii="Arial" w:cs="Arial" w:eastAsia="Arial" w:hAnsi="Arial"/>
                  <w:sz w:val="17"/>
                  <w:szCs w:val="17"/>
                  <w:b w:val="1"/>
                  <w:bCs w:val="1"/>
                  <w:color w:val="0000EE"/>
                  <w:w w:val="90"/>
                </w:rPr>
                <w:t>Consolidated Statement of Comprehensive Income (unaudited) for the Three Months Ended March 31, 2015 and 2014</w:t>
              </w:r>
            </w:hyperlink>
          </w:p>
        </w:tc>
        <w:tc>
          <w:tcPr>
            <w:tcW w:w="560" w:type="dxa"/>
            <w:vAlign w:val="bottom"/>
            <w:gridSpan w:val="2"/>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390"/>
        </w:trPr>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40" w:type="dxa"/>
            <w:vAlign w:val="bottom"/>
            <w:gridSpan w:val="18"/>
          </w:tcPr>
          <w:p>
            <w:pPr>
              <w:spacing w:after="0"/>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Consolidated Balance Sheet (unaudited) at March 31, 2015, December 31, 2014 and March 31, 2014</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
        </w:trPr>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90"/>
        </w:trPr>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40" w:type="dxa"/>
            <w:vAlign w:val="bottom"/>
            <w:gridSpan w:val="18"/>
          </w:tcPr>
          <w:p>
            <w:pPr>
              <w:spacing w:after="0"/>
              <w:rPr>
                <w:rFonts w:ascii="Arial" w:cs="Arial" w:eastAsia="Arial" w:hAnsi="Arial"/>
                <w:sz w:val="17"/>
                <w:szCs w:val="17"/>
                <w:b w:val="1"/>
                <w:bCs w:val="1"/>
                <w:color w:val="0000EE"/>
                <w:w w:val="93"/>
              </w:rPr>
            </w:pPr>
            <w:hyperlink w:anchor="page6">
              <w:r>
                <w:rPr>
                  <w:rFonts w:ascii="Arial" w:cs="Arial" w:eastAsia="Arial" w:hAnsi="Arial"/>
                  <w:sz w:val="17"/>
                  <w:szCs w:val="17"/>
                  <w:b w:val="1"/>
                  <w:bCs w:val="1"/>
                  <w:color w:val="0000EE"/>
                  <w:w w:val="93"/>
                </w:rPr>
                <w:t>Consolidated Statement of Changes in Shareholders’ Equity (unaudited) for the Three Months Ended March 31, 2015 and</w:t>
              </w:r>
            </w:hyperlink>
          </w:p>
        </w:tc>
        <w:tc>
          <w:tcPr>
            <w:tcW w:w="420" w:type="dxa"/>
            <w:vAlign w:val="bottom"/>
          </w:tcPr>
          <w:p>
            <w:pPr>
              <w:spacing w:after="0"/>
              <w:rPr>
                <w:sz w:val="24"/>
                <w:szCs w:val="24"/>
                <w:color w:val="auto"/>
              </w:rPr>
            </w:pPr>
          </w:p>
        </w:tc>
      </w:tr>
      <w:tr>
        <w:trPr>
          <w:trHeight w:val="185"/>
        </w:trPr>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Borders>
              <w:top w:val="single" w:sz="8" w:color="0000EE"/>
              <w:bottom w:val="single" w:sz="8" w:color="0000EE"/>
            </w:tcBorders>
            <w:gridSpan w:val="2"/>
          </w:tcPr>
          <w:p>
            <w:pPr>
              <w:spacing w:after="0" w:line="185" w:lineRule="exact"/>
              <w:rPr>
                <w:rFonts w:ascii="Arial" w:cs="Arial" w:eastAsia="Arial" w:hAnsi="Arial"/>
                <w:sz w:val="17"/>
                <w:szCs w:val="17"/>
                <w:b w:val="1"/>
                <w:bCs w:val="1"/>
                <w:color w:val="0000EE"/>
                <w:w w:val="84"/>
              </w:rPr>
            </w:pPr>
            <w:hyperlink w:anchor="page6">
              <w:r>
                <w:rPr>
                  <w:rFonts w:ascii="Arial" w:cs="Arial" w:eastAsia="Arial" w:hAnsi="Arial"/>
                  <w:sz w:val="17"/>
                  <w:szCs w:val="17"/>
                  <w:b w:val="1"/>
                  <w:bCs w:val="1"/>
                  <w:color w:val="0000EE"/>
                  <w:w w:val="84"/>
                </w:rPr>
                <w:t>2014</w:t>
              </w:r>
            </w:hyperlink>
          </w:p>
        </w:tc>
        <w:tc>
          <w:tcPr>
            <w:tcW w:w="30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800" w:type="dxa"/>
            <w:vAlign w:val="bottom"/>
            <w:tcBorders>
              <w:top w:val="single" w:sz="8" w:color="0000EE"/>
            </w:tcBorders>
          </w:tcPr>
          <w:p>
            <w:pPr>
              <w:spacing w:after="0"/>
              <w:rPr>
                <w:sz w:val="16"/>
                <w:szCs w:val="16"/>
                <w:color w:val="auto"/>
              </w:rPr>
            </w:pPr>
          </w:p>
        </w:tc>
        <w:tc>
          <w:tcPr>
            <w:tcW w:w="1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60" w:type="dxa"/>
            <w:vAlign w:val="bottom"/>
            <w:tcBorders>
              <w:top w:val="single" w:sz="8" w:color="0000EE"/>
            </w:tcBorders>
          </w:tcPr>
          <w:p>
            <w:pPr>
              <w:spacing w:after="0"/>
              <w:rPr>
                <w:sz w:val="16"/>
                <w:szCs w:val="16"/>
                <w:color w:val="auto"/>
              </w:rPr>
            </w:pPr>
          </w:p>
        </w:tc>
        <w:tc>
          <w:tcPr>
            <w:tcW w:w="70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jc w:val="right"/>
              <w:spacing w:after="0" w:line="185" w:lineRule="exact"/>
              <w:rPr>
                <w:sz w:val="20"/>
                <w:szCs w:val="20"/>
                <w:color w:val="auto"/>
              </w:rPr>
            </w:pPr>
            <w:r>
              <w:rPr>
                <w:rFonts w:ascii="Arial" w:cs="Arial" w:eastAsia="Arial" w:hAnsi="Arial"/>
                <w:sz w:val="17"/>
                <w:szCs w:val="17"/>
                <w:color w:val="auto"/>
              </w:rPr>
              <w:t>6</w:t>
            </w:r>
          </w:p>
        </w:tc>
      </w:tr>
      <w:tr>
        <w:trPr>
          <w:trHeight w:val="390"/>
        </w:trPr>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40" w:type="dxa"/>
            <w:vAlign w:val="bottom"/>
            <w:gridSpan w:val="18"/>
          </w:tcPr>
          <w:p>
            <w:pPr>
              <w:spacing w:after="0"/>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Consolidated Statement of Cash Flows (unaudited) for the Three Months Ended March 31, 2015 and 2014</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390"/>
        </w:trPr>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tcBorders>
              <w:top w:val="single" w:sz="8" w:color="0000EE"/>
              <w:bottom w:val="single" w:sz="8" w:color="0000EE"/>
            </w:tcBorders>
            <w:gridSpan w:val="9"/>
          </w:tcPr>
          <w:p>
            <w:pPr>
              <w:spacing w:after="0"/>
              <w:rPr>
                <w:rFonts w:ascii="Arial" w:cs="Arial" w:eastAsia="Arial" w:hAnsi="Arial"/>
                <w:sz w:val="17"/>
                <w:szCs w:val="17"/>
                <w:b w:val="1"/>
                <w:bCs w:val="1"/>
                <w:color w:val="0000EE"/>
                <w:w w:val="88"/>
              </w:rPr>
            </w:pPr>
            <w:hyperlink w:anchor="page8">
              <w:r>
                <w:rPr>
                  <w:rFonts w:ascii="Arial" w:cs="Arial" w:eastAsia="Arial" w:hAnsi="Arial"/>
                  <w:sz w:val="17"/>
                  <w:szCs w:val="17"/>
                  <w:b w:val="1"/>
                  <w:bCs w:val="1"/>
                  <w:color w:val="0000EE"/>
                  <w:w w:val="88"/>
                </w:rPr>
                <w:t>Notes to Consolidated Financial Statements</w:t>
              </w:r>
            </w:hyperlink>
          </w:p>
        </w:tc>
        <w:tc>
          <w:tcPr>
            <w:tcW w:w="4540" w:type="dxa"/>
            <w:vAlign w:val="bottom"/>
            <w:tcBorders>
              <w:top w:val="single" w:sz="8" w:color="0000EE"/>
            </w:tcBorders>
            <w:gridSpan w:val="6"/>
          </w:tcPr>
          <w:p>
            <w:pPr>
              <w:spacing w:after="0"/>
              <w:rPr>
                <w:sz w:val="24"/>
                <w:szCs w:val="24"/>
                <w:color w:val="auto"/>
              </w:rPr>
            </w:pPr>
          </w:p>
        </w:tc>
        <w:tc>
          <w:tcPr>
            <w:tcW w:w="1440" w:type="dxa"/>
            <w:vAlign w:val="bottom"/>
            <w:gridSpan w:val="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390"/>
        </w:trPr>
        <w:tc>
          <w:tcPr>
            <w:tcW w:w="9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b w:val="1"/>
                <w:bCs w:val="1"/>
                <w:color w:val="0000EE"/>
                <w:w w:val="92"/>
              </w:rPr>
            </w:pPr>
            <w:hyperlink w:anchor="page37">
              <w:r>
                <w:rPr>
                  <w:rFonts w:ascii="Arial" w:cs="Arial" w:eastAsia="Arial" w:hAnsi="Arial"/>
                  <w:sz w:val="17"/>
                  <w:szCs w:val="17"/>
                  <w:b w:val="1"/>
                  <w:bCs w:val="1"/>
                  <w:color w:val="0000EE"/>
                  <w:w w:val="92"/>
                </w:rPr>
                <w:t>Item 2.</w:t>
              </w:r>
            </w:hyperlink>
          </w:p>
        </w:tc>
        <w:tc>
          <w:tcPr>
            <w:tcW w:w="420" w:type="dxa"/>
            <w:vAlign w:val="bottom"/>
            <w:gridSpan w:val="2"/>
          </w:tcPr>
          <w:p>
            <w:pPr>
              <w:spacing w:after="0"/>
              <w:rPr>
                <w:sz w:val="24"/>
                <w:szCs w:val="24"/>
                <w:color w:val="auto"/>
              </w:rPr>
            </w:pPr>
          </w:p>
        </w:tc>
        <w:tc>
          <w:tcPr>
            <w:tcW w:w="9140" w:type="dxa"/>
            <w:vAlign w:val="bottom"/>
            <w:gridSpan w:val="18"/>
          </w:tcPr>
          <w:p>
            <w:pPr>
              <w:spacing w:after="0"/>
              <w:rPr>
                <w:rFonts w:ascii="Arial" w:cs="Arial" w:eastAsia="Arial" w:hAnsi="Arial"/>
                <w:sz w:val="17"/>
                <w:szCs w:val="17"/>
                <w:b w:val="1"/>
                <w:bCs w:val="1"/>
                <w:color w:val="0000EE"/>
              </w:rPr>
            </w:pPr>
            <w:hyperlink w:anchor="page37">
              <w:r>
                <w:rPr>
                  <w:rFonts w:ascii="Arial" w:cs="Arial" w:eastAsia="Arial" w:hAnsi="Arial"/>
                  <w:sz w:val="17"/>
                  <w:szCs w:val="17"/>
                  <w:b w:val="1"/>
                  <w:bCs w:val="1"/>
                  <w:color w:val="0000EE"/>
                </w:rPr>
                <w:t>Management’s Discussion and Analysis of Financial Condition and Results of Operations.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90"/>
        </w:trPr>
        <w:tc>
          <w:tcPr>
            <w:tcW w:w="9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b w:val="1"/>
                <w:bCs w:val="1"/>
                <w:color w:val="0000EE"/>
                <w:w w:val="92"/>
              </w:rPr>
            </w:pPr>
            <w:hyperlink w:anchor="page58">
              <w:r>
                <w:rPr>
                  <w:rFonts w:ascii="Arial" w:cs="Arial" w:eastAsia="Arial" w:hAnsi="Arial"/>
                  <w:sz w:val="17"/>
                  <w:szCs w:val="17"/>
                  <w:b w:val="1"/>
                  <w:bCs w:val="1"/>
                  <w:color w:val="0000EE"/>
                  <w:w w:val="92"/>
                </w:rPr>
                <w:t>Item 3.</w:t>
              </w:r>
            </w:hyperlink>
          </w:p>
        </w:tc>
        <w:tc>
          <w:tcPr>
            <w:tcW w:w="420" w:type="dxa"/>
            <w:vAlign w:val="bottom"/>
            <w:gridSpan w:val="2"/>
          </w:tcPr>
          <w:p>
            <w:pPr>
              <w:spacing w:after="0"/>
              <w:rPr>
                <w:sz w:val="24"/>
                <w:szCs w:val="24"/>
                <w:color w:val="auto"/>
              </w:rPr>
            </w:pPr>
          </w:p>
        </w:tc>
        <w:tc>
          <w:tcPr>
            <w:tcW w:w="9140" w:type="dxa"/>
            <w:vAlign w:val="bottom"/>
            <w:gridSpan w:val="18"/>
          </w:tcPr>
          <w:p>
            <w:pPr>
              <w:spacing w:after="0"/>
              <w:rPr>
                <w:rFonts w:ascii="Arial" w:cs="Arial" w:eastAsia="Arial" w:hAnsi="Arial"/>
                <w:sz w:val="17"/>
                <w:szCs w:val="17"/>
                <w:b w:val="1"/>
                <w:bCs w:val="1"/>
                <w:color w:val="0000EE"/>
              </w:rPr>
            </w:pPr>
            <w:hyperlink w:anchor="page58">
              <w:r>
                <w:rPr>
                  <w:rFonts w:ascii="Arial" w:cs="Arial" w:eastAsia="Arial" w:hAnsi="Arial"/>
                  <w:sz w:val="17"/>
                  <w:szCs w:val="17"/>
                  <w:b w:val="1"/>
                  <w:bCs w:val="1"/>
                  <w:color w:val="0000EE"/>
                </w:rPr>
                <w:t>Quantitative and Qualitative Disclosures About Market Risk.</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90"/>
        </w:trPr>
        <w:tc>
          <w:tcPr>
            <w:tcW w:w="9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b w:val="1"/>
                <w:bCs w:val="1"/>
                <w:color w:val="0000EE"/>
                <w:w w:val="92"/>
              </w:rPr>
            </w:pPr>
            <w:hyperlink w:anchor="page58">
              <w:r>
                <w:rPr>
                  <w:rFonts w:ascii="Arial" w:cs="Arial" w:eastAsia="Arial" w:hAnsi="Arial"/>
                  <w:sz w:val="17"/>
                  <w:szCs w:val="17"/>
                  <w:b w:val="1"/>
                  <w:bCs w:val="1"/>
                  <w:color w:val="0000EE"/>
                  <w:w w:val="92"/>
                </w:rPr>
                <w:t>Item 4.</w:t>
              </w:r>
            </w:hyperlink>
          </w:p>
        </w:tc>
        <w:tc>
          <w:tcPr>
            <w:tcW w:w="420" w:type="dxa"/>
            <w:vAlign w:val="bottom"/>
            <w:gridSpan w:val="2"/>
          </w:tcPr>
          <w:p>
            <w:pPr>
              <w:spacing w:after="0"/>
              <w:rPr>
                <w:sz w:val="24"/>
                <w:szCs w:val="24"/>
                <w:color w:val="auto"/>
              </w:rPr>
            </w:pPr>
          </w:p>
        </w:tc>
        <w:tc>
          <w:tcPr>
            <w:tcW w:w="9140" w:type="dxa"/>
            <w:vAlign w:val="bottom"/>
            <w:gridSpan w:val="18"/>
          </w:tcPr>
          <w:p>
            <w:pPr>
              <w:spacing w:after="0"/>
              <w:rPr>
                <w:rFonts w:ascii="Arial" w:cs="Arial" w:eastAsia="Arial" w:hAnsi="Arial"/>
                <w:sz w:val="17"/>
                <w:szCs w:val="17"/>
                <w:b w:val="1"/>
                <w:bCs w:val="1"/>
                <w:color w:val="0000EE"/>
              </w:rPr>
            </w:pPr>
            <w:hyperlink w:anchor="page58">
              <w:r>
                <w:rPr>
                  <w:rFonts w:ascii="Arial" w:cs="Arial" w:eastAsia="Arial" w:hAnsi="Arial"/>
                  <w:sz w:val="17"/>
                  <w:szCs w:val="17"/>
                  <w:b w:val="1"/>
                  <w:bCs w:val="1"/>
                  <w:color w:val="0000EE"/>
                </w:rPr>
                <w:t>Controls and Procedures.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78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95"/>
        </w:trPr>
        <w:tc>
          <w:tcPr>
            <w:tcW w:w="2140" w:type="dxa"/>
            <w:vAlign w:val="bottom"/>
            <w:tcBorders>
              <w:bottom w:val="single" w:sz="8" w:color="0000EE"/>
            </w:tcBorders>
            <w:gridSpan w:val="5"/>
          </w:tcPr>
          <w:p>
            <w:pPr>
              <w:spacing w:after="0"/>
              <w:rPr>
                <w:rFonts w:ascii="Arial" w:cs="Arial" w:eastAsia="Arial" w:hAnsi="Arial"/>
                <w:sz w:val="17"/>
                <w:szCs w:val="17"/>
                <w:b w:val="1"/>
                <w:bCs w:val="1"/>
                <w:color w:val="0000EE"/>
                <w:w w:val="96"/>
              </w:rPr>
            </w:pPr>
            <w:hyperlink w:anchor="page59">
              <w:r>
                <w:rPr>
                  <w:rFonts w:ascii="Arial" w:cs="Arial" w:eastAsia="Arial" w:hAnsi="Arial"/>
                  <w:sz w:val="17"/>
                  <w:szCs w:val="17"/>
                  <w:b w:val="1"/>
                  <w:bCs w:val="1"/>
                  <w:color w:val="0000EE"/>
                  <w:w w:val="96"/>
                </w:rPr>
                <w:t>PART II - Other Information</w:t>
              </w:r>
            </w:hyperlink>
          </w:p>
        </w:tc>
        <w:tc>
          <w:tcPr>
            <w:tcW w:w="8860" w:type="dxa"/>
            <w:vAlign w:val="bottom"/>
            <w:gridSpan w:val="17"/>
          </w:tcPr>
          <w:p>
            <w:pPr>
              <w:spacing w:after="0"/>
              <w:rPr>
                <w:sz w:val="24"/>
                <w:szCs w:val="24"/>
                <w:color w:val="auto"/>
              </w:rPr>
            </w:pPr>
          </w:p>
        </w:tc>
        <w:tc>
          <w:tcPr>
            <w:tcW w:w="420" w:type="dxa"/>
            <w:vAlign w:val="bottom"/>
          </w:tcPr>
          <w:p>
            <w:pPr>
              <w:spacing w:after="0"/>
              <w:rPr>
                <w:sz w:val="24"/>
                <w:szCs w:val="24"/>
                <w:color w:val="auto"/>
              </w:rPr>
            </w:pPr>
          </w:p>
        </w:tc>
      </w:tr>
      <w:tr>
        <w:trPr>
          <w:trHeight w:val="390"/>
        </w:trPr>
        <w:tc>
          <w:tcPr>
            <w:tcW w:w="9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b w:val="1"/>
                <w:bCs w:val="1"/>
                <w:color w:val="0000EE"/>
                <w:w w:val="92"/>
              </w:rPr>
            </w:pPr>
            <w:hyperlink w:anchor="page59">
              <w:r>
                <w:rPr>
                  <w:rFonts w:ascii="Arial" w:cs="Arial" w:eastAsia="Arial" w:hAnsi="Arial"/>
                  <w:sz w:val="17"/>
                  <w:szCs w:val="17"/>
                  <w:b w:val="1"/>
                  <w:bCs w:val="1"/>
                  <w:color w:val="0000EE"/>
                  <w:w w:val="92"/>
                </w:rPr>
                <w:t>Item 1.</w:t>
              </w:r>
            </w:hyperlink>
          </w:p>
        </w:tc>
        <w:tc>
          <w:tcPr>
            <w:tcW w:w="420" w:type="dxa"/>
            <w:vAlign w:val="bottom"/>
            <w:gridSpan w:val="2"/>
          </w:tcPr>
          <w:p>
            <w:pPr>
              <w:spacing w:after="0"/>
              <w:rPr>
                <w:sz w:val="24"/>
                <w:szCs w:val="24"/>
                <w:color w:val="auto"/>
              </w:rPr>
            </w:pPr>
          </w:p>
        </w:tc>
        <w:tc>
          <w:tcPr>
            <w:tcW w:w="9140" w:type="dxa"/>
            <w:vAlign w:val="bottom"/>
            <w:gridSpan w:val="18"/>
          </w:tcPr>
          <w:p>
            <w:pPr>
              <w:spacing w:after="0"/>
              <w:rPr>
                <w:rFonts w:ascii="Arial" w:cs="Arial" w:eastAsia="Arial" w:hAnsi="Arial"/>
                <w:sz w:val="17"/>
                <w:szCs w:val="17"/>
                <w:b w:val="1"/>
                <w:bCs w:val="1"/>
                <w:color w:val="0000EE"/>
              </w:rPr>
            </w:pPr>
            <w:hyperlink w:anchor="page59">
              <w:r>
                <w:rPr>
                  <w:rFonts w:ascii="Arial" w:cs="Arial" w:eastAsia="Arial" w:hAnsi="Arial"/>
                  <w:sz w:val="17"/>
                  <w:szCs w:val="17"/>
                  <w:b w:val="1"/>
                  <w:bCs w:val="1"/>
                  <w:color w:val="0000EE"/>
                </w:rPr>
                <w:t>Legal Proceedings.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78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5"/>
        </w:trPr>
        <w:tc>
          <w:tcPr>
            <w:tcW w:w="920" w:type="dxa"/>
            <w:vAlign w:val="bottom"/>
          </w:tcPr>
          <w:p>
            <w:pPr>
              <w:spacing w:after="0"/>
              <w:rPr>
                <w:sz w:val="16"/>
                <w:szCs w:val="16"/>
                <w:color w:val="auto"/>
              </w:rPr>
            </w:pPr>
          </w:p>
        </w:tc>
        <w:tc>
          <w:tcPr>
            <w:tcW w:w="940" w:type="dxa"/>
            <w:vAlign w:val="bottom"/>
            <w:gridSpan w:val="3"/>
          </w:tcPr>
          <w:p>
            <w:pPr>
              <w:spacing w:after="0" w:line="185" w:lineRule="exact"/>
              <w:rPr>
                <w:rFonts w:ascii="Arial" w:cs="Arial" w:eastAsia="Arial" w:hAnsi="Arial"/>
                <w:sz w:val="17"/>
                <w:szCs w:val="17"/>
                <w:b w:val="1"/>
                <w:bCs w:val="1"/>
                <w:color w:val="0000EE"/>
              </w:rPr>
            </w:pPr>
            <w:hyperlink w:anchor="page59">
              <w:r>
                <w:rPr>
                  <w:rFonts w:ascii="Arial" w:cs="Arial" w:eastAsia="Arial" w:hAnsi="Arial"/>
                  <w:sz w:val="17"/>
                  <w:szCs w:val="17"/>
                  <w:b w:val="1"/>
                  <w:bCs w:val="1"/>
                  <w:color w:val="0000EE"/>
                </w:rPr>
                <w:t>Item 1A.</w:t>
              </w:r>
            </w:hyperlink>
          </w:p>
        </w:tc>
        <w:tc>
          <w:tcPr>
            <w:tcW w:w="9140" w:type="dxa"/>
            <w:vAlign w:val="bottom"/>
            <w:gridSpan w:val="18"/>
          </w:tcPr>
          <w:p>
            <w:pPr>
              <w:spacing w:after="0" w:line="185" w:lineRule="exact"/>
              <w:rPr>
                <w:rFonts w:ascii="Arial" w:cs="Arial" w:eastAsia="Arial" w:hAnsi="Arial"/>
                <w:sz w:val="17"/>
                <w:szCs w:val="17"/>
                <w:b w:val="1"/>
                <w:bCs w:val="1"/>
                <w:color w:val="0000EE"/>
              </w:rPr>
            </w:pPr>
            <w:hyperlink w:anchor="page59">
              <w:r>
                <w:rPr>
                  <w:rFonts w:ascii="Arial" w:cs="Arial" w:eastAsia="Arial" w:hAnsi="Arial"/>
                  <w:sz w:val="17"/>
                  <w:szCs w:val="17"/>
                  <w:b w:val="1"/>
                  <w:bCs w:val="1"/>
                  <w:color w:val="0000EE"/>
                </w:rPr>
                <w:t>Risk Factors.</w:t>
              </w:r>
            </w:hyperlink>
          </w:p>
        </w:tc>
        <w:tc>
          <w:tcPr>
            <w:tcW w:w="420" w:type="dxa"/>
            <w:vAlign w:val="bottom"/>
          </w:tcPr>
          <w:p>
            <w:pPr>
              <w:jc w:val="right"/>
              <w:spacing w:after="0" w:line="185" w:lineRule="exact"/>
              <w:rPr>
                <w:sz w:val="20"/>
                <w:szCs w:val="20"/>
                <w:color w:val="auto"/>
              </w:rPr>
            </w:pPr>
            <w:r>
              <w:rPr>
                <w:rFonts w:ascii="Arial" w:cs="Arial" w:eastAsia="Arial" w:hAnsi="Arial"/>
                <w:sz w:val="17"/>
                <w:szCs w:val="17"/>
                <w:color w:val="auto"/>
              </w:rPr>
              <w:t>57</w:t>
            </w:r>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78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5"/>
        </w:trPr>
        <w:tc>
          <w:tcPr>
            <w:tcW w:w="920" w:type="dxa"/>
            <w:vAlign w:val="bottom"/>
          </w:tcPr>
          <w:p>
            <w:pPr>
              <w:spacing w:after="0"/>
              <w:rPr>
                <w:sz w:val="16"/>
                <w:szCs w:val="16"/>
                <w:color w:val="auto"/>
              </w:rPr>
            </w:pPr>
          </w:p>
        </w:tc>
        <w:tc>
          <w:tcPr>
            <w:tcW w:w="520" w:type="dxa"/>
            <w:vAlign w:val="bottom"/>
          </w:tcPr>
          <w:p>
            <w:pPr>
              <w:spacing w:after="0" w:line="185" w:lineRule="exact"/>
              <w:rPr>
                <w:rFonts w:ascii="Arial" w:cs="Arial" w:eastAsia="Arial" w:hAnsi="Arial"/>
                <w:sz w:val="17"/>
                <w:szCs w:val="17"/>
                <w:b w:val="1"/>
                <w:bCs w:val="1"/>
                <w:color w:val="0000EE"/>
                <w:w w:val="92"/>
              </w:rPr>
            </w:pPr>
            <w:hyperlink w:anchor="page59">
              <w:r>
                <w:rPr>
                  <w:rFonts w:ascii="Arial" w:cs="Arial" w:eastAsia="Arial" w:hAnsi="Arial"/>
                  <w:sz w:val="17"/>
                  <w:szCs w:val="17"/>
                  <w:b w:val="1"/>
                  <w:bCs w:val="1"/>
                  <w:color w:val="0000EE"/>
                  <w:w w:val="92"/>
                </w:rPr>
                <w:t>Item 2.</w:t>
              </w:r>
            </w:hyperlink>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140" w:type="dxa"/>
            <w:vAlign w:val="bottom"/>
            <w:gridSpan w:val="18"/>
          </w:tcPr>
          <w:p>
            <w:pPr>
              <w:spacing w:after="0" w:line="185" w:lineRule="exact"/>
              <w:rPr>
                <w:rFonts w:ascii="Arial" w:cs="Arial" w:eastAsia="Arial" w:hAnsi="Arial"/>
                <w:sz w:val="17"/>
                <w:szCs w:val="17"/>
                <w:b w:val="1"/>
                <w:bCs w:val="1"/>
                <w:color w:val="0000EE"/>
              </w:rPr>
            </w:pPr>
            <w:hyperlink w:anchor="page59">
              <w:r>
                <w:rPr>
                  <w:rFonts w:ascii="Arial" w:cs="Arial" w:eastAsia="Arial" w:hAnsi="Arial"/>
                  <w:sz w:val="17"/>
                  <w:szCs w:val="17"/>
                  <w:b w:val="1"/>
                  <w:bCs w:val="1"/>
                  <w:color w:val="0000EE"/>
                </w:rPr>
                <w:t>Unregistered Sales of Equity Securities and Use of Proceeds.</w:t>
              </w:r>
            </w:hyperlink>
          </w:p>
        </w:tc>
        <w:tc>
          <w:tcPr>
            <w:tcW w:w="420" w:type="dxa"/>
            <w:vAlign w:val="bottom"/>
          </w:tcPr>
          <w:p>
            <w:pPr>
              <w:jc w:val="right"/>
              <w:spacing w:after="0" w:line="185" w:lineRule="exact"/>
              <w:rPr>
                <w:sz w:val="20"/>
                <w:szCs w:val="20"/>
                <w:color w:val="auto"/>
              </w:rPr>
            </w:pPr>
            <w:r>
              <w:rPr>
                <w:rFonts w:ascii="Arial" w:cs="Arial" w:eastAsia="Arial" w:hAnsi="Arial"/>
                <w:sz w:val="17"/>
                <w:szCs w:val="17"/>
                <w:color w:val="auto"/>
              </w:rPr>
              <w:t>57</w:t>
            </w: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78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5"/>
        </w:trPr>
        <w:tc>
          <w:tcPr>
            <w:tcW w:w="920" w:type="dxa"/>
            <w:vAlign w:val="bottom"/>
          </w:tcPr>
          <w:p>
            <w:pPr>
              <w:spacing w:after="0"/>
              <w:rPr>
                <w:sz w:val="16"/>
                <w:szCs w:val="16"/>
                <w:color w:val="auto"/>
              </w:rPr>
            </w:pPr>
          </w:p>
        </w:tc>
        <w:tc>
          <w:tcPr>
            <w:tcW w:w="520" w:type="dxa"/>
            <w:vAlign w:val="bottom"/>
          </w:tcPr>
          <w:p>
            <w:pPr>
              <w:spacing w:after="0" w:line="185" w:lineRule="exact"/>
              <w:rPr>
                <w:rFonts w:ascii="Arial" w:cs="Arial" w:eastAsia="Arial" w:hAnsi="Arial"/>
                <w:sz w:val="17"/>
                <w:szCs w:val="17"/>
                <w:b w:val="1"/>
                <w:bCs w:val="1"/>
                <w:color w:val="0000EE"/>
                <w:w w:val="92"/>
              </w:rPr>
            </w:pPr>
            <w:hyperlink w:anchor="page59">
              <w:r>
                <w:rPr>
                  <w:rFonts w:ascii="Arial" w:cs="Arial" w:eastAsia="Arial" w:hAnsi="Arial"/>
                  <w:sz w:val="17"/>
                  <w:szCs w:val="17"/>
                  <w:b w:val="1"/>
                  <w:bCs w:val="1"/>
                  <w:color w:val="0000EE"/>
                  <w:w w:val="92"/>
                </w:rPr>
                <w:t>Item 3.</w:t>
              </w:r>
            </w:hyperlink>
          </w:p>
        </w:tc>
        <w:tc>
          <w:tcPr>
            <w:tcW w:w="420" w:type="dxa"/>
            <w:vAlign w:val="bottom"/>
            <w:gridSpan w:val="2"/>
          </w:tcPr>
          <w:p>
            <w:pPr>
              <w:spacing w:after="0"/>
              <w:rPr>
                <w:sz w:val="16"/>
                <w:szCs w:val="16"/>
                <w:color w:val="auto"/>
              </w:rPr>
            </w:pPr>
          </w:p>
        </w:tc>
        <w:tc>
          <w:tcPr>
            <w:tcW w:w="9140" w:type="dxa"/>
            <w:vAlign w:val="bottom"/>
            <w:gridSpan w:val="18"/>
          </w:tcPr>
          <w:p>
            <w:pPr>
              <w:spacing w:after="0" w:line="185" w:lineRule="exact"/>
              <w:rPr>
                <w:rFonts w:ascii="Arial" w:cs="Arial" w:eastAsia="Arial" w:hAnsi="Arial"/>
                <w:sz w:val="17"/>
                <w:szCs w:val="17"/>
                <w:b w:val="1"/>
                <w:bCs w:val="1"/>
                <w:color w:val="0000EE"/>
              </w:rPr>
            </w:pPr>
            <w:hyperlink w:anchor="page59">
              <w:r>
                <w:rPr>
                  <w:rFonts w:ascii="Arial" w:cs="Arial" w:eastAsia="Arial" w:hAnsi="Arial"/>
                  <w:sz w:val="17"/>
                  <w:szCs w:val="17"/>
                  <w:b w:val="1"/>
                  <w:bCs w:val="1"/>
                  <w:color w:val="0000EE"/>
                </w:rPr>
                <w:t>Defaults Upon Senior Securities.</w:t>
              </w:r>
            </w:hyperlink>
          </w:p>
        </w:tc>
        <w:tc>
          <w:tcPr>
            <w:tcW w:w="420" w:type="dxa"/>
            <w:vAlign w:val="bottom"/>
          </w:tcPr>
          <w:p>
            <w:pPr>
              <w:jc w:val="right"/>
              <w:spacing w:after="0" w:line="185" w:lineRule="exact"/>
              <w:rPr>
                <w:sz w:val="20"/>
                <w:szCs w:val="20"/>
                <w:color w:val="auto"/>
              </w:rPr>
            </w:pPr>
            <w:r>
              <w:rPr>
                <w:rFonts w:ascii="Arial" w:cs="Arial" w:eastAsia="Arial" w:hAnsi="Arial"/>
                <w:sz w:val="17"/>
                <w:szCs w:val="17"/>
                <w:color w:val="auto"/>
              </w:rPr>
              <w:t>57</w:t>
            </w: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6780" w:type="dxa"/>
            <w:vAlign w:val="bottom"/>
            <w:gridSpan w:val="1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5"/>
        </w:trPr>
        <w:tc>
          <w:tcPr>
            <w:tcW w:w="920" w:type="dxa"/>
            <w:vAlign w:val="bottom"/>
          </w:tcPr>
          <w:p>
            <w:pPr>
              <w:spacing w:after="0"/>
              <w:rPr>
                <w:sz w:val="16"/>
                <w:szCs w:val="16"/>
                <w:color w:val="auto"/>
              </w:rPr>
            </w:pPr>
          </w:p>
        </w:tc>
        <w:tc>
          <w:tcPr>
            <w:tcW w:w="520" w:type="dxa"/>
            <w:vAlign w:val="bottom"/>
          </w:tcPr>
          <w:p>
            <w:pPr>
              <w:spacing w:after="0" w:line="185" w:lineRule="exact"/>
              <w:rPr>
                <w:rFonts w:ascii="Arial" w:cs="Arial" w:eastAsia="Arial" w:hAnsi="Arial"/>
                <w:sz w:val="17"/>
                <w:szCs w:val="17"/>
                <w:b w:val="1"/>
                <w:bCs w:val="1"/>
                <w:color w:val="0000EE"/>
                <w:w w:val="92"/>
              </w:rPr>
            </w:pPr>
            <w:hyperlink w:anchor="page59">
              <w:r>
                <w:rPr>
                  <w:rFonts w:ascii="Arial" w:cs="Arial" w:eastAsia="Arial" w:hAnsi="Arial"/>
                  <w:sz w:val="17"/>
                  <w:szCs w:val="17"/>
                  <w:b w:val="1"/>
                  <w:bCs w:val="1"/>
                  <w:color w:val="0000EE"/>
                  <w:w w:val="92"/>
                </w:rPr>
                <w:t>Item 4.</w:t>
              </w:r>
            </w:hyperlink>
          </w:p>
        </w:tc>
        <w:tc>
          <w:tcPr>
            <w:tcW w:w="420" w:type="dxa"/>
            <w:vAlign w:val="bottom"/>
            <w:gridSpan w:val="2"/>
          </w:tcPr>
          <w:p>
            <w:pPr>
              <w:spacing w:after="0"/>
              <w:rPr>
                <w:sz w:val="16"/>
                <w:szCs w:val="16"/>
                <w:color w:val="auto"/>
              </w:rPr>
            </w:pPr>
          </w:p>
        </w:tc>
        <w:tc>
          <w:tcPr>
            <w:tcW w:w="9140" w:type="dxa"/>
            <w:vAlign w:val="bottom"/>
            <w:gridSpan w:val="18"/>
          </w:tcPr>
          <w:p>
            <w:pPr>
              <w:spacing w:after="0" w:line="185" w:lineRule="exact"/>
              <w:rPr>
                <w:rFonts w:ascii="Arial" w:cs="Arial" w:eastAsia="Arial" w:hAnsi="Arial"/>
                <w:sz w:val="17"/>
                <w:szCs w:val="17"/>
                <w:b w:val="1"/>
                <w:bCs w:val="1"/>
                <w:color w:val="0000EE"/>
              </w:rPr>
            </w:pPr>
            <w:hyperlink w:anchor="page59">
              <w:r>
                <w:rPr>
                  <w:rFonts w:ascii="Arial" w:cs="Arial" w:eastAsia="Arial" w:hAnsi="Arial"/>
                  <w:sz w:val="17"/>
                  <w:szCs w:val="17"/>
                  <w:b w:val="1"/>
                  <w:bCs w:val="1"/>
                  <w:color w:val="0000EE"/>
                </w:rPr>
                <w:t>Mine Safety Disclosures.</w:t>
              </w:r>
            </w:hyperlink>
          </w:p>
        </w:tc>
        <w:tc>
          <w:tcPr>
            <w:tcW w:w="420" w:type="dxa"/>
            <w:vAlign w:val="bottom"/>
          </w:tcPr>
          <w:p>
            <w:pPr>
              <w:jc w:val="right"/>
              <w:spacing w:after="0" w:line="185" w:lineRule="exact"/>
              <w:rPr>
                <w:sz w:val="20"/>
                <w:szCs w:val="20"/>
                <w:color w:val="auto"/>
              </w:rPr>
            </w:pPr>
            <w:r>
              <w:rPr>
                <w:rFonts w:ascii="Arial" w:cs="Arial" w:eastAsia="Arial" w:hAnsi="Arial"/>
                <w:sz w:val="17"/>
                <w:szCs w:val="17"/>
                <w:color w:val="auto"/>
              </w:rPr>
              <w:t>57</w:t>
            </w: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360" w:type="dxa"/>
            <w:vAlign w:val="bottom"/>
            <w:gridSpan w:val="1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5"/>
        </w:trPr>
        <w:tc>
          <w:tcPr>
            <w:tcW w:w="920" w:type="dxa"/>
            <w:vAlign w:val="bottom"/>
          </w:tcPr>
          <w:p>
            <w:pPr>
              <w:spacing w:after="0"/>
              <w:rPr>
                <w:sz w:val="16"/>
                <w:szCs w:val="16"/>
                <w:color w:val="auto"/>
              </w:rPr>
            </w:pPr>
          </w:p>
        </w:tc>
        <w:tc>
          <w:tcPr>
            <w:tcW w:w="520" w:type="dxa"/>
            <w:vAlign w:val="bottom"/>
          </w:tcPr>
          <w:p>
            <w:pPr>
              <w:spacing w:after="0" w:line="185" w:lineRule="exact"/>
              <w:rPr>
                <w:rFonts w:ascii="Arial" w:cs="Arial" w:eastAsia="Arial" w:hAnsi="Arial"/>
                <w:sz w:val="17"/>
                <w:szCs w:val="17"/>
                <w:b w:val="1"/>
                <w:bCs w:val="1"/>
                <w:color w:val="0000EE"/>
                <w:w w:val="92"/>
              </w:rPr>
            </w:pPr>
            <w:hyperlink w:anchor="page59">
              <w:r>
                <w:rPr>
                  <w:rFonts w:ascii="Arial" w:cs="Arial" w:eastAsia="Arial" w:hAnsi="Arial"/>
                  <w:sz w:val="17"/>
                  <w:szCs w:val="17"/>
                  <w:b w:val="1"/>
                  <w:bCs w:val="1"/>
                  <w:color w:val="0000EE"/>
                  <w:w w:val="92"/>
                </w:rPr>
                <w:t>Item 5.</w:t>
              </w:r>
            </w:hyperlink>
          </w:p>
        </w:tc>
        <w:tc>
          <w:tcPr>
            <w:tcW w:w="420" w:type="dxa"/>
            <w:vAlign w:val="bottom"/>
            <w:gridSpan w:val="2"/>
          </w:tcPr>
          <w:p>
            <w:pPr>
              <w:spacing w:after="0"/>
              <w:rPr>
                <w:sz w:val="16"/>
                <w:szCs w:val="16"/>
                <w:color w:val="auto"/>
              </w:rPr>
            </w:pPr>
          </w:p>
        </w:tc>
        <w:tc>
          <w:tcPr>
            <w:tcW w:w="9140" w:type="dxa"/>
            <w:vAlign w:val="bottom"/>
            <w:gridSpan w:val="18"/>
          </w:tcPr>
          <w:p>
            <w:pPr>
              <w:spacing w:after="0" w:line="185" w:lineRule="exact"/>
              <w:rPr>
                <w:rFonts w:ascii="Arial" w:cs="Arial" w:eastAsia="Arial" w:hAnsi="Arial"/>
                <w:sz w:val="17"/>
                <w:szCs w:val="17"/>
                <w:b w:val="1"/>
                <w:bCs w:val="1"/>
                <w:color w:val="0000EE"/>
              </w:rPr>
            </w:pPr>
            <w:hyperlink w:anchor="page59">
              <w:r>
                <w:rPr>
                  <w:rFonts w:ascii="Arial" w:cs="Arial" w:eastAsia="Arial" w:hAnsi="Arial"/>
                  <w:sz w:val="17"/>
                  <w:szCs w:val="17"/>
                  <w:b w:val="1"/>
                  <w:bCs w:val="1"/>
                  <w:color w:val="0000EE"/>
                </w:rPr>
                <w:t>Other Information.</w:t>
              </w:r>
            </w:hyperlink>
          </w:p>
        </w:tc>
        <w:tc>
          <w:tcPr>
            <w:tcW w:w="420" w:type="dxa"/>
            <w:vAlign w:val="bottom"/>
          </w:tcPr>
          <w:p>
            <w:pPr>
              <w:jc w:val="right"/>
              <w:spacing w:after="0" w:line="185" w:lineRule="exact"/>
              <w:rPr>
                <w:sz w:val="20"/>
                <w:szCs w:val="20"/>
                <w:color w:val="auto"/>
              </w:rPr>
            </w:pPr>
            <w:r>
              <w:rPr>
                <w:rFonts w:ascii="Arial" w:cs="Arial" w:eastAsia="Arial" w:hAnsi="Arial"/>
                <w:sz w:val="17"/>
                <w:szCs w:val="17"/>
                <w:color w:val="auto"/>
              </w:rPr>
              <w:t>57</w:t>
            </w: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740" w:type="dxa"/>
            <w:vAlign w:val="bottom"/>
            <w:gridSpan w:val="1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5"/>
        </w:trPr>
        <w:tc>
          <w:tcPr>
            <w:tcW w:w="920" w:type="dxa"/>
            <w:vAlign w:val="bottom"/>
          </w:tcPr>
          <w:p>
            <w:pPr>
              <w:spacing w:after="0"/>
              <w:rPr>
                <w:sz w:val="16"/>
                <w:szCs w:val="16"/>
                <w:color w:val="auto"/>
              </w:rPr>
            </w:pPr>
          </w:p>
        </w:tc>
        <w:tc>
          <w:tcPr>
            <w:tcW w:w="520" w:type="dxa"/>
            <w:vAlign w:val="bottom"/>
          </w:tcPr>
          <w:p>
            <w:pPr>
              <w:spacing w:after="0" w:line="185" w:lineRule="exact"/>
              <w:rPr>
                <w:rFonts w:ascii="Arial" w:cs="Arial" w:eastAsia="Arial" w:hAnsi="Arial"/>
                <w:sz w:val="17"/>
                <w:szCs w:val="17"/>
                <w:b w:val="1"/>
                <w:bCs w:val="1"/>
                <w:color w:val="0000EE"/>
                <w:w w:val="92"/>
              </w:rPr>
            </w:pPr>
            <w:hyperlink w:anchor="page60">
              <w:r>
                <w:rPr>
                  <w:rFonts w:ascii="Arial" w:cs="Arial" w:eastAsia="Arial" w:hAnsi="Arial"/>
                  <w:sz w:val="17"/>
                  <w:szCs w:val="17"/>
                  <w:b w:val="1"/>
                  <w:bCs w:val="1"/>
                  <w:color w:val="0000EE"/>
                  <w:w w:val="92"/>
                </w:rPr>
                <w:t>Item 6.</w:t>
              </w:r>
            </w:hyperlink>
          </w:p>
        </w:tc>
        <w:tc>
          <w:tcPr>
            <w:tcW w:w="420" w:type="dxa"/>
            <w:vAlign w:val="bottom"/>
            <w:gridSpan w:val="2"/>
          </w:tcPr>
          <w:p>
            <w:pPr>
              <w:spacing w:after="0"/>
              <w:rPr>
                <w:sz w:val="16"/>
                <w:szCs w:val="16"/>
                <w:color w:val="auto"/>
              </w:rPr>
            </w:pPr>
          </w:p>
        </w:tc>
        <w:tc>
          <w:tcPr>
            <w:tcW w:w="9140" w:type="dxa"/>
            <w:vAlign w:val="bottom"/>
            <w:gridSpan w:val="18"/>
          </w:tcPr>
          <w:p>
            <w:pPr>
              <w:spacing w:after="0" w:line="185" w:lineRule="exact"/>
              <w:rPr>
                <w:rFonts w:ascii="Arial" w:cs="Arial" w:eastAsia="Arial" w:hAnsi="Arial"/>
                <w:sz w:val="17"/>
                <w:szCs w:val="17"/>
                <w:b w:val="1"/>
                <w:bCs w:val="1"/>
                <w:color w:val="0000EE"/>
              </w:rPr>
            </w:pPr>
            <w:hyperlink w:anchor="page60">
              <w:r>
                <w:rPr>
                  <w:rFonts w:ascii="Arial" w:cs="Arial" w:eastAsia="Arial" w:hAnsi="Arial"/>
                  <w:sz w:val="17"/>
                  <w:szCs w:val="17"/>
                  <w:b w:val="1"/>
                  <w:bCs w:val="1"/>
                  <w:color w:val="0000EE"/>
                </w:rPr>
                <w:t>Exhibits.</w:t>
              </w:r>
            </w:hyperlink>
          </w:p>
        </w:tc>
        <w:tc>
          <w:tcPr>
            <w:tcW w:w="420" w:type="dxa"/>
            <w:vAlign w:val="bottom"/>
          </w:tcPr>
          <w:p>
            <w:pPr>
              <w:jc w:val="right"/>
              <w:spacing w:after="0" w:line="185" w:lineRule="exact"/>
              <w:rPr>
                <w:sz w:val="20"/>
                <w:szCs w:val="20"/>
                <w:color w:val="auto"/>
              </w:rPr>
            </w:pPr>
            <w:r>
              <w:rPr>
                <w:rFonts w:ascii="Arial" w:cs="Arial" w:eastAsia="Arial" w:hAnsi="Arial"/>
                <w:sz w:val="17"/>
                <w:szCs w:val="17"/>
                <w:color w:val="auto"/>
              </w:rPr>
              <w:t>58</w:t>
            </w:r>
          </w:p>
        </w:tc>
      </w:tr>
      <w:tr>
        <w:trPr>
          <w:trHeight w:val="659"/>
        </w:trPr>
        <w:tc>
          <w:tcPr>
            <w:tcW w:w="920" w:type="dxa"/>
            <w:vAlign w:val="bottom"/>
            <w:tcBorders>
              <w:bottom w:val="single" w:sz="8" w:color="DCDCDC"/>
            </w:tcBorders>
          </w:tcPr>
          <w:p>
            <w:pPr>
              <w:spacing w:after="0"/>
              <w:rPr>
                <w:sz w:val="24"/>
                <w:szCs w:val="24"/>
                <w:color w:val="auto"/>
              </w:rPr>
            </w:pPr>
          </w:p>
        </w:tc>
        <w:tc>
          <w:tcPr>
            <w:tcW w:w="520" w:type="dxa"/>
            <w:vAlign w:val="bottom"/>
            <w:tcBorders>
              <w:top w:val="single" w:sz="8" w:color="0000EE"/>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640" w:type="dxa"/>
            <w:vAlign w:val="bottom"/>
            <w:tcBorders>
              <w:top w:val="single" w:sz="8" w:color="0000EE"/>
              <w:bottom w:val="single" w:sz="8" w:color="DCDCDC"/>
            </w:tcBorders>
            <w:gridSpan w:val="3"/>
          </w:tcPr>
          <w:p>
            <w:pPr>
              <w:spacing w:after="0"/>
              <w:rPr>
                <w:sz w:val="24"/>
                <w:szCs w:val="24"/>
                <w:color w:val="auto"/>
              </w:rPr>
            </w:pPr>
          </w:p>
        </w:tc>
        <w:tc>
          <w:tcPr>
            <w:tcW w:w="3720" w:type="dxa"/>
            <w:vAlign w:val="bottom"/>
            <w:tcBorders>
              <w:bottom w:val="single" w:sz="8" w:color="DCDCDC"/>
            </w:tcBorders>
            <w:gridSpan w:val="7"/>
          </w:tcPr>
          <w:p>
            <w:pPr>
              <w:jc w:val="right"/>
              <w:ind w:right="460"/>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DCDCDC"/>
            </w:tcBorders>
          </w:tcPr>
          <w:p>
            <w:pPr>
              <w:spacing w:after="0"/>
              <w:rPr>
                <w:sz w:val="24"/>
                <w:szCs w:val="24"/>
                <w:color w:val="auto"/>
              </w:rPr>
            </w:pPr>
          </w:p>
        </w:tc>
        <w:tc>
          <w:tcPr>
            <w:tcW w:w="2060" w:type="dxa"/>
            <w:vAlign w:val="bottom"/>
            <w:tcBorders>
              <w:bottom w:val="single" w:sz="8" w:color="DCDCDC"/>
            </w:tcBorders>
          </w:tcPr>
          <w:p>
            <w:pPr>
              <w:spacing w:after="0"/>
              <w:rPr>
                <w:sz w:val="24"/>
                <w:szCs w:val="24"/>
                <w:color w:val="auto"/>
              </w:rPr>
            </w:pPr>
          </w:p>
        </w:tc>
        <w:tc>
          <w:tcPr>
            <w:tcW w:w="70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4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79" w:right="2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Part I – Financial Information</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UNITED COMMUNITY BANKS,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Consolidated Statement of Income </w:t>
      </w:r>
      <w:r>
        <w:rPr>
          <w:rFonts w:ascii="Arial" w:cs="Arial" w:eastAsia="Arial" w:hAnsi="Arial"/>
          <w:sz w:val="17"/>
          <w:szCs w:val="17"/>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18820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8200" cy="1651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6"/>
          </w:tcPr>
          <w:p>
            <w:pPr>
              <w:jc w:val="right"/>
              <w:ind w:right="580"/>
              <w:spacing w:after="0"/>
              <w:rPr>
                <w:sz w:val="20"/>
                <w:szCs w:val="20"/>
                <w:color w:val="auto"/>
              </w:rPr>
            </w:pPr>
            <w:r>
              <w:rPr>
                <w:rFonts w:ascii="Arial" w:cs="Arial" w:eastAsia="Arial" w:hAnsi="Arial"/>
                <w:sz w:val="17"/>
                <w:szCs w:val="17"/>
                <w:b w:val="1"/>
                <w:bCs w:val="1"/>
                <w:color w:val="auto"/>
              </w:rPr>
              <w:t>Three Months Ended</w:t>
            </w:r>
          </w:p>
        </w:tc>
      </w:tr>
      <w:tr>
        <w:trPr>
          <w:trHeight w:val="227"/>
        </w:trPr>
        <w:tc>
          <w:tcPr>
            <w:tcW w:w="8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7"/>
                <w:szCs w:val="17"/>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870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(in thousands, except per share data)</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8"/>
                <w:szCs w:val="18"/>
                <w:color w:val="auto"/>
              </w:rPr>
            </w:pPr>
          </w:p>
        </w:tc>
      </w:tr>
      <w:tr>
        <w:trPr>
          <w:trHeight w:val="205"/>
        </w:trPr>
        <w:tc>
          <w:tcPr>
            <w:tcW w:w="8700" w:type="dxa"/>
            <w:vAlign w:val="bottom"/>
            <w:shd w:val="clear" w:color="auto" w:fill="F0FFFF"/>
          </w:tcPr>
          <w:p>
            <w:pPr>
              <w:spacing w:after="0"/>
              <w:rPr>
                <w:sz w:val="20"/>
                <w:szCs w:val="20"/>
                <w:color w:val="auto"/>
              </w:rPr>
            </w:pPr>
            <w:r>
              <w:rPr>
                <w:rFonts w:ascii="Arial" w:cs="Arial" w:eastAsia="Arial" w:hAnsi="Arial"/>
                <w:sz w:val="17"/>
                <w:szCs w:val="17"/>
                <w:b w:val="1"/>
                <w:bCs w:val="1"/>
                <w:color w:val="auto"/>
              </w:rPr>
              <w:t>Interest revenue:</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8700" w:type="dxa"/>
            <w:vAlign w:val="bottom"/>
          </w:tcPr>
          <w:p>
            <w:pPr>
              <w:ind w:left="160"/>
              <w:spacing w:after="0"/>
              <w:rPr>
                <w:sz w:val="20"/>
                <w:szCs w:val="20"/>
                <w:color w:val="auto"/>
              </w:rPr>
            </w:pPr>
            <w:r>
              <w:rPr>
                <w:rFonts w:ascii="Arial" w:cs="Arial" w:eastAsia="Arial" w:hAnsi="Arial"/>
                <w:sz w:val="17"/>
                <w:szCs w:val="17"/>
                <w:color w:val="auto"/>
              </w:rPr>
              <w:t>Loans, including fees</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49,664</w:t>
            </w: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47,688</w:t>
            </w:r>
          </w:p>
        </w:tc>
      </w:tr>
      <w:tr>
        <w:trPr>
          <w:trHeight w:val="205"/>
        </w:trPr>
        <w:tc>
          <w:tcPr>
            <w:tcW w:w="8700" w:type="dxa"/>
            <w:vAlign w:val="bottom"/>
            <w:shd w:val="clear" w:color="auto" w:fill="F0FFFF"/>
          </w:tcPr>
          <w:p>
            <w:pPr>
              <w:ind w:left="160"/>
              <w:spacing w:after="0"/>
              <w:rPr>
                <w:sz w:val="20"/>
                <w:szCs w:val="20"/>
                <w:color w:val="auto"/>
              </w:rPr>
            </w:pPr>
            <w:r>
              <w:rPr>
                <w:rFonts w:ascii="Arial" w:cs="Arial" w:eastAsia="Arial" w:hAnsi="Arial"/>
                <w:sz w:val="17"/>
                <w:szCs w:val="17"/>
                <w:color w:val="auto"/>
              </w:rPr>
              <w:t>Investment securities, including tax exempt of $158 and $188</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12,058</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11,607</w:t>
            </w:r>
          </w:p>
        </w:tc>
      </w:tr>
      <w:tr>
        <w:trPr>
          <w:trHeight w:val="205"/>
        </w:trPr>
        <w:tc>
          <w:tcPr>
            <w:tcW w:w="8700" w:type="dxa"/>
            <w:vAlign w:val="bottom"/>
          </w:tcPr>
          <w:p>
            <w:pPr>
              <w:ind w:left="160"/>
              <w:spacing w:after="0"/>
              <w:rPr>
                <w:sz w:val="20"/>
                <w:szCs w:val="20"/>
                <w:color w:val="auto"/>
              </w:rPr>
            </w:pPr>
            <w:r>
              <w:rPr>
                <w:rFonts w:ascii="Arial" w:cs="Arial" w:eastAsia="Arial" w:hAnsi="Arial"/>
                <w:sz w:val="17"/>
                <w:szCs w:val="17"/>
                <w:color w:val="auto"/>
              </w:rPr>
              <w:t>Deposits in banks and short-term investments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812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843</w:t>
            </w:r>
          </w:p>
        </w:tc>
      </w:tr>
      <w:tr>
        <w:trPr>
          <w:trHeight w:val="26"/>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8700" w:type="dxa"/>
            <w:vAlign w:val="bottom"/>
            <w:shd w:val="clear" w:color="auto" w:fill="F0FFFF"/>
          </w:tcPr>
          <w:p>
            <w:pPr>
              <w:ind w:left="460"/>
              <w:spacing w:after="0"/>
              <w:rPr>
                <w:sz w:val="20"/>
                <w:szCs w:val="20"/>
                <w:color w:val="auto"/>
              </w:rPr>
            </w:pPr>
            <w:r>
              <w:rPr>
                <w:rFonts w:ascii="Arial" w:cs="Arial" w:eastAsia="Arial" w:hAnsi="Arial"/>
                <w:sz w:val="17"/>
                <w:szCs w:val="17"/>
                <w:color w:val="auto"/>
              </w:rPr>
              <w:t>Total interest revenue</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62,534</w:t>
            </w:r>
          </w:p>
        </w:tc>
        <w:tc>
          <w:tcPr>
            <w:tcW w:w="1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60,138</w:t>
            </w:r>
          </w:p>
        </w:tc>
      </w:tr>
      <w:tr>
        <w:trPr>
          <w:trHeight w:val="205"/>
        </w:trPr>
        <w:tc>
          <w:tcPr>
            <w:tcW w:w="870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r>
      <w:tr>
        <w:trPr>
          <w:trHeight w:val="205"/>
        </w:trPr>
        <w:tc>
          <w:tcPr>
            <w:tcW w:w="8700" w:type="dxa"/>
            <w:vAlign w:val="bottom"/>
            <w:shd w:val="clear" w:color="auto" w:fill="F0FFFF"/>
          </w:tcPr>
          <w:p>
            <w:pPr>
              <w:spacing w:after="0"/>
              <w:rPr>
                <w:sz w:val="20"/>
                <w:szCs w:val="20"/>
                <w:color w:val="auto"/>
              </w:rPr>
            </w:pPr>
            <w:r>
              <w:rPr>
                <w:rFonts w:ascii="Arial" w:cs="Arial" w:eastAsia="Arial" w:hAnsi="Arial"/>
                <w:sz w:val="17"/>
                <w:szCs w:val="17"/>
                <w:b w:val="1"/>
                <w:bCs w:val="1"/>
                <w:color w:val="auto"/>
              </w:rPr>
              <w:t>Interest expense:</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8700" w:type="dxa"/>
            <w:vAlign w:val="bottom"/>
          </w:tcPr>
          <w:p>
            <w:pPr>
              <w:ind w:left="160"/>
              <w:spacing w:after="0"/>
              <w:rPr>
                <w:sz w:val="20"/>
                <w:szCs w:val="20"/>
                <w:color w:val="auto"/>
              </w:rPr>
            </w:pPr>
            <w:r>
              <w:rPr>
                <w:rFonts w:ascii="Arial" w:cs="Arial" w:eastAsia="Arial" w:hAnsi="Arial"/>
                <w:sz w:val="17"/>
                <w:szCs w:val="17"/>
                <w:color w:val="auto"/>
              </w:rPr>
              <w:t>Deposits: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700" w:type="dxa"/>
            <w:vAlign w:val="bottom"/>
            <w:shd w:val="clear" w:color="auto" w:fill="F0FFFF"/>
          </w:tcPr>
          <w:p>
            <w:pPr>
              <w:ind w:left="320"/>
              <w:spacing w:after="0"/>
              <w:rPr>
                <w:sz w:val="20"/>
                <w:szCs w:val="20"/>
                <w:color w:val="auto"/>
              </w:rPr>
            </w:pPr>
            <w:r>
              <w:rPr>
                <w:rFonts w:ascii="Arial" w:cs="Arial" w:eastAsia="Arial" w:hAnsi="Arial"/>
                <w:sz w:val="17"/>
                <w:szCs w:val="17"/>
                <w:color w:val="auto"/>
              </w:rPr>
              <w:t>NOW</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394</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440</w:t>
            </w:r>
          </w:p>
        </w:tc>
      </w:tr>
      <w:tr>
        <w:trPr>
          <w:trHeight w:val="205"/>
        </w:trPr>
        <w:tc>
          <w:tcPr>
            <w:tcW w:w="8700" w:type="dxa"/>
            <w:vAlign w:val="bottom"/>
          </w:tcPr>
          <w:p>
            <w:pPr>
              <w:ind w:left="320"/>
              <w:spacing w:after="0"/>
              <w:rPr>
                <w:sz w:val="20"/>
                <w:szCs w:val="20"/>
                <w:color w:val="auto"/>
              </w:rPr>
            </w:pPr>
            <w:r>
              <w:rPr>
                <w:rFonts w:ascii="Arial" w:cs="Arial" w:eastAsia="Arial" w:hAnsi="Arial"/>
                <w:sz w:val="17"/>
                <w:szCs w:val="17"/>
                <w:color w:val="auto"/>
              </w:rPr>
              <w:t>Money market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673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563</w:t>
            </w:r>
          </w:p>
        </w:tc>
      </w:tr>
      <w:tr>
        <w:trPr>
          <w:trHeight w:val="205"/>
        </w:trPr>
        <w:tc>
          <w:tcPr>
            <w:tcW w:w="8700" w:type="dxa"/>
            <w:vAlign w:val="bottom"/>
            <w:shd w:val="clear" w:color="auto" w:fill="F0FFFF"/>
          </w:tcPr>
          <w:p>
            <w:pPr>
              <w:ind w:left="320"/>
              <w:spacing w:after="0"/>
              <w:rPr>
                <w:sz w:val="20"/>
                <w:szCs w:val="20"/>
                <w:color w:val="auto"/>
              </w:rPr>
            </w:pPr>
            <w:r>
              <w:rPr>
                <w:rFonts w:ascii="Arial" w:cs="Arial" w:eastAsia="Arial" w:hAnsi="Arial"/>
                <w:sz w:val="17"/>
                <w:szCs w:val="17"/>
                <w:color w:val="auto"/>
              </w:rPr>
              <w:t>Savings</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20</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F0FFFF"/>
          </w:tcPr>
          <w:p>
            <w:pPr>
              <w:spacing w:after="0"/>
              <w:rPr>
                <w:sz w:val="17"/>
                <w:szCs w:val="17"/>
                <w:color w:val="auto"/>
              </w:rPr>
            </w:pPr>
          </w:p>
        </w:tc>
      </w:tr>
      <w:tr>
        <w:trPr>
          <w:trHeight w:val="205"/>
        </w:trPr>
        <w:tc>
          <w:tcPr>
            <w:tcW w:w="8700" w:type="dxa"/>
            <w:vAlign w:val="bottom"/>
          </w:tcPr>
          <w:p>
            <w:pPr>
              <w:ind w:left="320"/>
              <w:spacing w:after="0"/>
              <w:rPr>
                <w:sz w:val="20"/>
                <w:szCs w:val="20"/>
                <w:color w:val="auto"/>
              </w:rPr>
            </w:pPr>
            <w:r>
              <w:rPr>
                <w:rFonts w:ascii="Arial" w:cs="Arial" w:eastAsia="Arial" w:hAnsi="Arial"/>
                <w:sz w:val="17"/>
                <w:szCs w:val="17"/>
                <w:color w:val="auto"/>
              </w:rPr>
              <w:t>Time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1,109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1,771</w:t>
            </w:r>
          </w:p>
        </w:tc>
      </w:tr>
      <w:tr>
        <w:trPr>
          <w:trHeight w:val="26"/>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8700" w:type="dxa"/>
            <w:vAlign w:val="bottom"/>
            <w:shd w:val="clear" w:color="auto" w:fill="F0FFFF"/>
          </w:tcPr>
          <w:p>
            <w:pPr>
              <w:ind w:left="460"/>
              <w:spacing w:after="0"/>
              <w:rPr>
                <w:sz w:val="20"/>
                <w:szCs w:val="20"/>
                <w:color w:val="auto"/>
              </w:rPr>
            </w:pPr>
            <w:r>
              <w:rPr>
                <w:rFonts w:ascii="Arial" w:cs="Arial" w:eastAsia="Arial" w:hAnsi="Arial"/>
                <w:sz w:val="17"/>
                <w:szCs w:val="17"/>
                <w:color w:val="auto"/>
              </w:rPr>
              <w:t>Total deposit interest expense</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2,196</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2,794</w:t>
            </w:r>
          </w:p>
        </w:tc>
      </w:tr>
      <w:tr>
        <w:trPr>
          <w:trHeight w:val="205"/>
        </w:trPr>
        <w:tc>
          <w:tcPr>
            <w:tcW w:w="8700" w:type="dxa"/>
            <w:vAlign w:val="bottom"/>
          </w:tcPr>
          <w:p>
            <w:pPr>
              <w:ind w:left="160"/>
              <w:spacing w:after="0"/>
              <w:rPr>
                <w:sz w:val="20"/>
                <w:szCs w:val="20"/>
                <w:color w:val="auto"/>
              </w:rPr>
            </w:pPr>
            <w:r>
              <w:rPr>
                <w:rFonts w:ascii="Arial" w:cs="Arial" w:eastAsia="Arial" w:hAnsi="Arial"/>
                <w:sz w:val="17"/>
                <w:szCs w:val="17"/>
                <w:color w:val="auto"/>
              </w:rPr>
              <w:t>Short-term borrowings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840</w:t>
            </w:r>
          </w:p>
        </w:tc>
      </w:tr>
      <w:tr>
        <w:trPr>
          <w:trHeight w:val="205"/>
        </w:trPr>
        <w:tc>
          <w:tcPr>
            <w:tcW w:w="8700" w:type="dxa"/>
            <w:vAlign w:val="bottom"/>
            <w:shd w:val="clear" w:color="auto" w:fill="F0FFFF"/>
          </w:tcPr>
          <w:p>
            <w:pPr>
              <w:ind w:left="160"/>
              <w:spacing w:after="0"/>
              <w:rPr>
                <w:sz w:val="20"/>
                <w:szCs w:val="20"/>
                <w:color w:val="auto"/>
              </w:rPr>
            </w:pPr>
            <w:r>
              <w:rPr>
                <w:rFonts w:ascii="Arial" w:cs="Arial" w:eastAsia="Arial" w:hAnsi="Arial"/>
                <w:sz w:val="17"/>
                <w:szCs w:val="17"/>
                <w:color w:val="auto"/>
              </w:rPr>
              <w:t>Federal Home Loan Bank advances</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392</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F0FFFF"/>
          </w:tcPr>
          <w:p>
            <w:pPr>
              <w:spacing w:after="0"/>
              <w:rPr>
                <w:sz w:val="17"/>
                <w:szCs w:val="17"/>
                <w:color w:val="auto"/>
              </w:rPr>
            </w:pPr>
          </w:p>
        </w:tc>
      </w:tr>
      <w:tr>
        <w:trPr>
          <w:trHeight w:val="205"/>
        </w:trPr>
        <w:tc>
          <w:tcPr>
            <w:tcW w:w="8700" w:type="dxa"/>
            <w:vAlign w:val="bottom"/>
          </w:tcPr>
          <w:p>
            <w:pPr>
              <w:ind w:left="160"/>
              <w:spacing w:after="0"/>
              <w:rPr>
                <w:sz w:val="20"/>
                <w:szCs w:val="20"/>
                <w:color w:val="auto"/>
              </w:rPr>
            </w:pPr>
            <w:r>
              <w:rPr>
                <w:rFonts w:ascii="Arial" w:cs="Arial" w:eastAsia="Arial" w:hAnsi="Arial"/>
                <w:sz w:val="17"/>
                <w:szCs w:val="17"/>
                <w:color w:val="auto"/>
              </w:rPr>
              <w:t>Long-term debt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2,606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2,634</w:t>
            </w:r>
          </w:p>
        </w:tc>
      </w:tr>
      <w:tr>
        <w:trPr>
          <w:trHeight w:val="26"/>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8700" w:type="dxa"/>
            <w:vAlign w:val="bottom"/>
            <w:shd w:val="clear" w:color="auto" w:fill="F0FFFF"/>
          </w:tcPr>
          <w:p>
            <w:pPr>
              <w:ind w:left="320"/>
              <w:spacing w:after="0"/>
              <w:rPr>
                <w:sz w:val="20"/>
                <w:szCs w:val="20"/>
                <w:color w:val="auto"/>
              </w:rPr>
            </w:pPr>
            <w:r>
              <w:rPr>
                <w:rFonts w:ascii="Arial" w:cs="Arial" w:eastAsia="Arial" w:hAnsi="Arial"/>
                <w:sz w:val="17"/>
                <w:szCs w:val="17"/>
                <w:color w:val="auto"/>
              </w:rPr>
              <w:t>Total interest expense</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5,292</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6,326</w:t>
            </w:r>
          </w:p>
        </w:tc>
      </w:tr>
      <w:tr>
        <w:trPr>
          <w:trHeight w:val="26"/>
        </w:trPr>
        <w:tc>
          <w:tcPr>
            <w:tcW w:w="87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05"/>
        </w:trPr>
        <w:tc>
          <w:tcPr>
            <w:tcW w:w="8700" w:type="dxa"/>
            <w:vAlign w:val="bottom"/>
          </w:tcPr>
          <w:p>
            <w:pPr>
              <w:ind w:left="320"/>
              <w:spacing w:after="0"/>
              <w:rPr>
                <w:sz w:val="20"/>
                <w:szCs w:val="20"/>
                <w:color w:val="auto"/>
              </w:rPr>
            </w:pPr>
            <w:r>
              <w:rPr>
                <w:rFonts w:ascii="Arial" w:cs="Arial" w:eastAsia="Arial" w:hAnsi="Arial"/>
                <w:sz w:val="17"/>
                <w:szCs w:val="17"/>
                <w:color w:val="auto"/>
              </w:rPr>
              <w:t>Net interest revenue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57,242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53,812</w:t>
            </w:r>
          </w:p>
        </w:tc>
      </w:tr>
      <w:tr>
        <w:trPr>
          <w:trHeight w:val="205"/>
        </w:trPr>
        <w:tc>
          <w:tcPr>
            <w:tcW w:w="8700" w:type="dxa"/>
            <w:vAlign w:val="bottom"/>
            <w:shd w:val="clear" w:color="auto" w:fill="F0FFFF"/>
          </w:tcPr>
          <w:p>
            <w:pPr>
              <w:ind w:left="160"/>
              <w:spacing w:after="0"/>
              <w:rPr>
                <w:sz w:val="20"/>
                <w:szCs w:val="20"/>
                <w:color w:val="auto"/>
              </w:rPr>
            </w:pPr>
            <w:r>
              <w:rPr>
                <w:rFonts w:ascii="Arial" w:cs="Arial" w:eastAsia="Arial" w:hAnsi="Arial"/>
                <w:sz w:val="17"/>
                <w:szCs w:val="17"/>
                <w:color w:val="auto"/>
              </w:rPr>
              <w:t>Provision for credit losses</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1,800</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2,500</w:t>
            </w:r>
          </w:p>
        </w:tc>
      </w:tr>
      <w:tr>
        <w:trPr>
          <w:trHeight w:val="26"/>
        </w:trPr>
        <w:tc>
          <w:tcPr>
            <w:tcW w:w="87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11"/>
        </w:trPr>
        <w:tc>
          <w:tcPr>
            <w:tcW w:w="8700" w:type="dxa"/>
            <w:vAlign w:val="bottom"/>
          </w:tcPr>
          <w:p>
            <w:pPr>
              <w:ind w:left="320"/>
              <w:spacing w:after="0"/>
              <w:rPr>
                <w:sz w:val="20"/>
                <w:szCs w:val="20"/>
                <w:color w:val="auto"/>
              </w:rPr>
            </w:pPr>
            <w:r>
              <w:rPr>
                <w:rFonts w:ascii="Arial" w:cs="Arial" w:eastAsia="Arial" w:hAnsi="Arial"/>
                <w:sz w:val="17"/>
                <w:szCs w:val="17"/>
                <w:color w:val="auto"/>
              </w:rPr>
              <w:t>Net interest revenue after provision for credit losses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55,442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51,312</w:t>
            </w:r>
          </w:p>
        </w:tc>
      </w:tr>
      <w:tr>
        <w:trPr>
          <w:trHeight w:val="205"/>
        </w:trPr>
        <w:tc>
          <w:tcPr>
            <w:tcW w:w="87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tcBorders>
              <w:top w:val="single" w:sz="8" w:color="auto"/>
            </w:tcBorders>
            <w:shd w:val="clear" w:color="auto" w:fill="F0FFFF"/>
          </w:tcPr>
          <w:p>
            <w:pPr>
              <w:spacing w:after="0"/>
              <w:rPr>
                <w:sz w:val="17"/>
                <w:szCs w:val="17"/>
                <w:color w:val="auto"/>
              </w:rPr>
            </w:pPr>
          </w:p>
        </w:tc>
        <w:tc>
          <w:tcPr>
            <w:tcW w:w="90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320" w:type="dxa"/>
            <w:vAlign w:val="bottom"/>
            <w:tcBorders>
              <w:top w:val="single" w:sz="8" w:color="auto"/>
            </w:tcBorders>
            <w:shd w:val="clear" w:color="auto" w:fill="F0FFFF"/>
          </w:tcPr>
          <w:p>
            <w:pPr>
              <w:spacing w:after="0"/>
              <w:rPr>
                <w:sz w:val="17"/>
                <w:szCs w:val="17"/>
                <w:color w:val="auto"/>
              </w:rPr>
            </w:pPr>
          </w:p>
        </w:tc>
        <w:tc>
          <w:tcPr>
            <w:tcW w:w="80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b w:val="1"/>
                <w:bCs w:val="1"/>
                <w:color w:val="auto"/>
              </w:rPr>
              <w:t>Fee revenue: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700" w:type="dxa"/>
            <w:vAlign w:val="bottom"/>
            <w:shd w:val="clear" w:color="auto" w:fill="F0FFFF"/>
          </w:tcPr>
          <w:p>
            <w:pPr>
              <w:ind w:left="160"/>
              <w:spacing w:after="0"/>
              <w:rPr>
                <w:sz w:val="20"/>
                <w:szCs w:val="20"/>
                <w:color w:val="auto"/>
              </w:rPr>
            </w:pPr>
            <w:r>
              <w:rPr>
                <w:rFonts w:ascii="Arial" w:cs="Arial" w:eastAsia="Arial" w:hAnsi="Arial"/>
                <w:sz w:val="17"/>
                <w:szCs w:val="17"/>
                <w:color w:val="auto"/>
              </w:rPr>
              <w:t>Service charges and fees</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7,615</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7,898</w:t>
            </w:r>
          </w:p>
        </w:tc>
      </w:tr>
      <w:tr>
        <w:trPr>
          <w:trHeight w:val="205"/>
        </w:trPr>
        <w:tc>
          <w:tcPr>
            <w:tcW w:w="8700" w:type="dxa"/>
            <w:vAlign w:val="bottom"/>
          </w:tcPr>
          <w:p>
            <w:pPr>
              <w:ind w:left="160"/>
              <w:spacing w:after="0"/>
              <w:rPr>
                <w:sz w:val="20"/>
                <w:szCs w:val="20"/>
                <w:color w:val="auto"/>
              </w:rPr>
            </w:pPr>
            <w:r>
              <w:rPr>
                <w:rFonts w:ascii="Arial" w:cs="Arial" w:eastAsia="Arial" w:hAnsi="Arial"/>
                <w:sz w:val="17"/>
                <w:szCs w:val="17"/>
                <w:color w:val="auto"/>
              </w:rPr>
              <w:t>Mortgage loan and other related fees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2,755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1,354</w:t>
            </w:r>
          </w:p>
        </w:tc>
      </w:tr>
      <w:tr>
        <w:trPr>
          <w:trHeight w:val="205"/>
        </w:trPr>
        <w:tc>
          <w:tcPr>
            <w:tcW w:w="8700" w:type="dxa"/>
            <w:vAlign w:val="bottom"/>
            <w:shd w:val="clear" w:color="auto" w:fill="F0FFFF"/>
          </w:tcPr>
          <w:p>
            <w:pPr>
              <w:ind w:left="160"/>
              <w:spacing w:after="0"/>
              <w:rPr>
                <w:sz w:val="20"/>
                <w:szCs w:val="20"/>
                <w:color w:val="auto"/>
              </w:rPr>
            </w:pPr>
            <w:r>
              <w:rPr>
                <w:rFonts w:ascii="Arial" w:cs="Arial" w:eastAsia="Arial" w:hAnsi="Arial"/>
                <w:sz w:val="17"/>
                <w:szCs w:val="17"/>
                <w:color w:val="auto"/>
              </w:rPr>
              <w:t>Brokerage fees</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1,551</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1,177</w:t>
            </w:r>
          </w:p>
        </w:tc>
      </w:tr>
      <w:tr>
        <w:trPr>
          <w:trHeight w:val="205"/>
        </w:trPr>
        <w:tc>
          <w:tcPr>
            <w:tcW w:w="8700" w:type="dxa"/>
            <w:vAlign w:val="bottom"/>
          </w:tcPr>
          <w:p>
            <w:pPr>
              <w:ind w:left="160"/>
              <w:spacing w:after="0"/>
              <w:rPr>
                <w:sz w:val="20"/>
                <w:szCs w:val="20"/>
                <w:color w:val="auto"/>
              </w:rPr>
            </w:pPr>
            <w:r>
              <w:rPr>
                <w:rFonts w:ascii="Arial" w:cs="Arial" w:eastAsia="Arial" w:hAnsi="Arial"/>
                <w:sz w:val="17"/>
                <w:szCs w:val="17"/>
                <w:color w:val="auto"/>
              </w:rPr>
              <w:t>Gains from sales of SBA loans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1,141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5"/>
        </w:trPr>
        <w:tc>
          <w:tcPr>
            <w:tcW w:w="8700" w:type="dxa"/>
            <w:vAlign w:val="bottom"/>
            <w:shd w:val="clear" w:color="auto" w:fill="F0FFFF"/>
          </w:tcPr>
          <w:p>
            <w:pPr>
              <w:ind w:left="160"/>
              <w:spacing w:after="0"/>
              <w:rPr>
                <w:sz w:val="20"/>
                <w:szCs w:val="20"/>
                <w:color w:val="auto"/>
              </w:rPr>
            </w:pPr>
            <w:r>
              <w:rPr>
                <w:rFonts w:ascii="Arial" w:cs="Arial" w:eastAsia="Arial" w:hAnsi="Arial"/>
                <w:sz w:val="17"/>
                <w:szCs w:val="17"/>
                <w:color w:val="auto"/>
              </w:rPr>
              <w:t>Securities gains, net</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1,539</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217</w:t>
            </w:r>
          </w:p>
        </w:tc>
      </w:tr>
      <w:tr>
        <w:trPr>
          <w:trHeight w:val="205"/>
        </w:trPr>
        <w:tc>
          <w:tcPr>
            <w:tcW w:w="8700" w:type="dxa"/>
            <w:vAlign w:val="bottom"/>
          </w:tcPr>
          <w:p>
            <w:pPr>
              <w:ind w:left="160"/>
              <w:spacing w:after="0"/>
              <w:rPr>
                <w:sz w:val="20"/>
                <w:szCs w:val="20"/>
                <w:color w:val="auto"/>
              </w:rPr>
            </w:pPr>
            <w:r>
              <w:rPr>
                <w:rFonts w:ascii="Arial" w:cs="Arial" w:eastAsia="Arial" w:hAnsi="Arial"/>
                <w:sz w:val="17"/>
                <w:szCs w:val="17"/>
                <w:color w:val="auto"/>
              </w:rPr>
              <w:t>Loss from prepayment of debt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(1,038)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5"/>
        </w:trPr>
        <w:tc>
          <w:tcPr>
            <w:tcW w:w="8700" w:type="dxa"/>
            <w:vAlign w:val="bottom"/>
            <w:shd w:val="clear" w:color="auto" w:fill="F0FFFF"/>
          </w:tcPr>
          <w:p>
            <w:pPr>
              <w:ind w:left="160"/>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2,119</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1,530</w:t>
            </w:r>
          </w:p>
        </w:tc>
      </w:tr>
      <w:tr>
        <w:trPr>
          <w:trHeight w:val="26"/>
        </w:trPr>
        <w:tc>
          <w:tcPr>
            <w:tcW w:w="87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05"/>
        </w:trPr>
        <w:tc>
          <w:tcPr>
            <w:tcW w:w="8700" w:type="dxa"/>
            <w:vAlign w:val="bottom"/>
          </w:tcPr>
          <w:p>
            <w:pPr>
              <w:ind w:left="320"/>
              <w:spacing w:after="0"/>
              <w:rPr>
                <w:sz w:val="20"/>
                <w:szCs w:val="20"/>
                <w:color w:val="auto"/>
              </w:rPr>
            </w:pPr>
            <w:r>
              <w:rPr>
                <w:rFonts w:ascii="Arial" w:cs="Arial" w:eastAsia="Arial" w:hAnsi="Arial"/>
                <w:sz w:val="17"/>
                <w:szCs w:val="17"/>
                <w:color w:val="auto"/>
              </w:rPr>
              <w:t>Total fee revenue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15,682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12,176</w:t>
            </w:r>
          </w:p>
        </w:tc>
      </w:tr>
      <w:tr>
        <w:trPr>
          <w:trHeight w:val="26"/>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8700" w:type="dxa"/>
            <w:vAlign w:val="bottom"/>
            <w:shd w:val="clear" w:color="auto" w:fill="F0FFFF"/>
          </w:tcPr>
          <w:p>
            <w:pPr>
              <w:ind w:left="320"/>
              <w:spacing w:after="0"/>
              <w:rPr>
                <w:sz w:val="20"/>
                <w:szCs w:val="20"/>
                <w:color w:val="auto"/>
              </w:rPr>
            </w:pPr>
            <w:r>
              <w:rPr>
                <w:rFonts w:ascii="Arial" w:cs="Arial" w:eastAsia="Arial" w:hAnsi="Arial"/>
                <w:sz w:val="17"/>
                <w:szCs w:val="17"/>
                <w:b w:val="1"/>
                <w:bCs w:val="1"/>
                <w:color w:val="auto"/>
              </w:rPr>
              <w:t>Total revenue</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71,124</w:t>
            </w:r>
          </w:p>
        </w:tc>
        <w:tc>
          <w:tcPr>
            <w:tcW w:w="1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63,488</w:t>
            </w:r>
          </w:p>
        </w:tc>
      </w:tr>
      <w:tr>
        <w:trPr>
          <w:trHeight w:val="205"/>
        </w:trPr>
        <w:tc>
          <w:tcPr>
            <w:tcW w:w="870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r>
      <w:tr>
        <w:trPr>
          <w:trHeight w:val="205"/>
        </w:trPr>
        <w:tc>
          <w:tcPr>
            <w:tcW w:w="8700" w:type="dxa"/>
            <w:vAlign w:val="bottom"/>
            <w:shd w:val="clear" w:color="auto" w:fill="F0FFFF"/>
          </w:tcPr>
          <w:p>
            <w:pPr>
              <w:spacing w:after="0"/>
              <w:rPr>
                <w:sz w:val="20"/>
                <w:szCs w:val="20"/>
                <w:color w:val="auto"/>
              </w:rPr>
            </w:pPr>
            <w:r>
              <w:rPr>
                <w:rFonts w:ascii="Arial" w:cs="Arial" w:eastAsia="Arial" w:hAnsi="Arial"/>
                <w:sz w:val="17"/>
                <w:szCs w:val="17"/>
                <w:b w:val="1"/>
                <w:bCs w:val="1"/>
                <w:color w:val="auto"/>
              </w:rPr>
              <w:t>Operating expenses:</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8700" w:type="dxa"/>
            <w:vAlign w:val="bottom"/>
          </w:tcPr>
          <w:p>
            <w:pPr>
              <w:ind w:left="160"/>
              <w:spacing w:after="0"/>
              <w:rPr>
                <w:sz w:val="20"/>
                <w:szCs w:val="20"/>
                <w:color w:val="auto"/>
              </w:rPr>
            </w:pPr>
            <w:r>
              <w:rPr>
                <w:rFonts w:ascii="Arial" w:cs="Arial" w:eastAsia="Arial" w:hAnsi="Arial"/>
                <w:sz w:val="17"/>
                <w:szCs w:val="17"/>
                <w:color w:val="auto"/>
              </w:rPr>
              <w:t>Salaries and employee benefits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26,446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24,396</w:t>
            </w:r>
          </w:p>
        </w:tc>
      </w:tr>
      <w:tr>
        <w:trPr>
          <w:trHeight w:val="205"/>
        </w:trPr>
        <w:tc>
          <w:tcPr>
            <w:tcW w:w="8700" w:type="dxa"/>
            <w:vAlign w:val="bottom"/>
            <w:shd w:val="clear" w:color="auto" w:fill="F0FFFF"/>
          </w:tcPr>
          <w:p>
            <w:pPr>
              <w:ind w:left="160"/>
              <w:spacing w:after="0"/>
              <w:rPr>
                <w:sz w:val="20"/>
                <w:szCs w:val="20"/>
                <w:color w:val="auto"/>
              </w:rPr>
            </w:pPr>
            <w:r>
              <w:rPr>
                <w:rFonts w:ascii="Arial" w:cs="Arial" w:eastAsia="Arial" w:hAnsi="Arial"/>
                <w:sz w:val="17"/>
                <w:szCs w:val="17"/>
                <w:color w:val="auto"/>
              </w:rPr>
              <w:t>Communications and equipment</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3,271</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3,239</w:t>
            </w:r>
          </w:p>
        </w:tc>
      </w:tr>
      <w:tr>
        <w:trPr>
          <w:trHeight w:val="205"/>
        </w:trPr>
        <w:tc>
          <w:tcPr>
            <w:tcW w:w="8700" w:type="dxa"/>
            <w:vAlign w:val="bottom"/>
          </w:tcPr>
          <w:p>
            <w:pPr>
              <w:ind w:left="160"/>
              <w:spacing w:after="0"/>
              <w:rPr>
                <w:sz w:val="20"/>
                <w:szCs w:val="20"/>
                <w:color w:val="auto"/>
              </w:rPr>
            </w:pPr>
            <w:r>
              <w:rPr>
                <w:rFonts w:ascii="Arial" w:cs="Arial" w:eastAsia="Arial" w:hAnsi="Arial"/>
                <w:sz w:val="17"/>
                <w:szCs w:val="17"/>
                <w:color w:val="auto"/>
              </w:rPr>
              <w:t>Occupancy</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3,278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3,378</w:t>
            </w:r>
          </w:p>
        </w:tc>
      </w:tr>
      <w:tr>
        <w:trPr>
          <w:trHeight w:val="205"/>
        </w:trPr>
        <w:tc>
          <w:tcPr>
            <w:tcW w:w="8700" w:type="dxa"/>
            <w:vAlign w:val="bottom"/>
            <w:shd w:val="clear" w:color="auto" w:fill="F0FFFF"/>
          </w:tcPr>
          <w:p>
            <w:pPr>
              <w:ind w:left="160"/>
              <w:spacing w:after="0"/>
              <w:rPr>
                <w:sz w:val="20"/>
                <w:szCs w:val="20"/>
                <w:color w:val="auto"/>
              </w:rPr>
            </w:pPr>
            <w:r>
              <w:rPr>
                <w:rFonts w:ascii="Arial" w:cs="Arial" w:eastAsia="Arial" w:hAnsi="Arial"/>
                <w:sz w:val="17"/>
                <w:szCs w:val="17"/>
                <w:color w:val="auto"/>
              </w:rPr>
              <w:t>Advertising and public relations</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750</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626</w:t>
            </w:r>
          </w:p>
        </w:tc>
      </w:tr>
      <w:tr>
        <w:trPr>
          <w:trHeight w:val="205"/>
        </w:trPr>
        <w:tc>
          <w:tcPr>
            <w:tcW w:w="8700" w:type="dxa"/>
            <w:vAlign w:val="bottom"/>
          </w:tcPr>
          <w:p>
            <w:pPr>
              <w:ind w:left="160"/>
              <w:spacing w:after="0"/>
              <w:rPr>
                <w:sz w:val="20"/>
                <w:szCs w:val="20"/>
                <w:color w:val="auto"/>
              </w:rPr>
            </w:pPr>
            <w:r>
              <w:rPr>
                <w:rFonts w:ascii="Arial" w:cs="Arial" w:eastAsia="Arial" w:hAnsi="Arial"/>
                <w:sz w:val="17"/>
                <w:szCs w:val="17"/>
                <w:color w:val="auto"/>
              </w:rPr>
              <w:t>Postage, printing and supplies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938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776</w:t>
            </w:r>
          </w:p>
        </w:tc>
      </w:tr>
      <w:tr>
        <w:trPr>
          <w:trHeight w:val="205"/>
        </w:trPr>
        <w:tc>
          <w:tcPr>
            <w:tcW w:w="8700" w:type="dxa"/>
            <w:vAlign w:val="bottom"/>
            <w:shd w:val="clear" w:color="auto" w:fill="F0FFFF"/>
          </w:tcPr>
          <w:p>
            <w:pPr>
              <w:ind w:left="160"/>
              <w:spacing w:after="0"/>
              <w:rPr>
                <w:sz w:val="20"/>
                <w:szCs w:val="20"/>
                <w:color w:val="auto"/>
              </w:rPr>
            </w:pPr>
            <w:r>
              <w:rPr>
                <w:rFonts w:ascii="Arial" w:cs="Arial" w:eastAsia="Arial" w:hAnsi="Arial"/>
                <w:sz w:val="17"/>
                <w:szCs w:val="17"/>
                <w:color w:val="auto"/>
              </w:rPr>
              <w:t>Professional fees</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1,919</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1,427</w:t>
            </w:r>
          </w:p>
        </w:tc>
      </w:tr>
      <w:tr>
        <w:trPr>
          <w:trHeight w:val="205"/>
        </w:trPr>
        <w:tc>
          <w:tcPr>
            <w:tcW w:w="8700" w:type="dxa"/>
            <w:vAlign w:val="bottom"/>
          </w:tcPr>
          <w:p>
            <w:pPr>
              <w:ind w:left="160"/>
              <w:spacing w:after="0"/>
              <w:rPr>
                <w:sz w:val="20"/>
                <w:szCs w:val="20"/>
                <w:color w:val="auto"/>
              </w:rPr>
            </w:pPr>
            <w:r>
              <w:rPr>
                <w:rFonts w:ascii="Arial" w:cs="Arial" w:eastAsia="Arial" w:hAnsi="Arial"/>
                <w:sz w:val="17"/>
                <w:szCs w:val="17"/>
                <w:color w:val="auto"/>
              </w:rPr>
              <w:t>FDIC assessments and other regulatory charges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1,209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1,353</w:t>
            </w:r>
          </w:p>
        </w:tc>
      </w:tr>
      <w:tr>
        <w:trPr>
          <w:trHeight w:val="205"/>
        </w:trPr>
        <w:tc>
          <w:tcPr>
            <w:tcW w:w="8700" w:type="dxa"/>
            <w:vAlign w:val="bottom"/>
            <w:shd w:val="clear" w:color="auto" w:fill="F0FFFF"/>
          </w:tcPr>
          <w:p>
            <w:pPr>
              <w:ind w:left="160"/>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5,250</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3,855</w:t>
            </w:r>
          </w:p>
        </w:tc>
      </w:tr>
      <w:tr>
        <w:trPr>
          <w:trHeight w:val="26"/>
        </w:trPr>
        <w:tc>
          <w:tcPr>
            <w:tcW w:w="87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05"/>
        </w:trPr>
        <w:tc>
          <w:tcPr>
            <w:tcW w:w="8700" w:type="dxa"/>
            <w:vAlign w:val="bottom"/>
          </w:tcPr>
          <w:p>
            <w:pPr>
              <w:ind w:left="320"/>
              <w:spacing w:after="0"/>
              <w:rPr>
                <w:sz w:val="20"/>
                <w:szCs w:val="20"/>
                <w:color w:val="auto"/>
              </w:rPr>
            </w:pPr>
            <w:r>
              <w:rPr>
                <w:rFonts w:ascii="Arial" w:cs="Arial" w:eastAsia="Arial" w:hAnsi="Arial"/>
                <w:sz w:val="17"/>
                <w:szCs w:val="17"/>
                <w:color w:val="auto"/>
              </w:rPr>
              <w:t>Total operating expenses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43,061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39,050</w:t>
            </w:r>
          </w:p>
        </w:tc>
      </w:tr>
      <w:tr>
        <w:trPr>
          <w:trHeight w:val="26"/>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8700" w:type="dxa"/>
            <w:vAlign w:val="bottom"/>
            <w:shd w:val="clear" w:color="auto" w:fill="F0FFFF"/>
          </w:tcPr>
          <w:p>
            <w:pPr>
              <w:ind w:left="320"/>
              <w:spacing w:after="0"/>
              <w:rPr>
                <w:sz w:val="20"/>
                <w:szCs w:val="20"/>
                <w:color w:val="auto"/>
              </w:rPr>
            </w:pPr>
            <w:r>
              <w:rPr>
                <w:rFonts w:ascii="Arial" w:cs="Arial" w:eastAsia="Arial" w:hAnsi="Arial"/>
                <w:sz w:val="17"/>
                <w:szCs w:val="17"/>
                <w:color w:val="auto"/>
              </w:rPr>
              <w:t>Net income before income taxes</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28,063</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24,438</w:t>
            </w:r>
          </w:p>
        </w:tc>
      </w:tr>
      <w:tr>
        <w:trPr>
          <w:trHeight w:val="205"/>
        </w:trPr>
        <w:tc>
          <w:tcPr>
            <w:tcW w:w="8700" w:type="dxa"/>
            <w:vAlign w:val="bottom"/>
          </w:tcPr>
          <w:p>
            <w:pPr>
              <w:ind w:left="160"/>
              <w:spacing w:after="0"/>
              <w:rPr>
                <w:sz w:val="20"/>
                <w:szCs w:val="20"/>
                <w:color w:val="auto"/>
              </w:rPr>
            </w:pPr>
            <w:r>
              <w:rPr>
                <w:rFonts w:ascii="Arial" w:cs="Arial" w:eastAsia="Arial" w:hAnsi="Arial"/>
                <w:sz w:val="17"/>
                <w:szCs w:val="17"/>
                <w:color w:val="auto"/>
              </w:rPr>
              <w:t>Income tax expense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10,393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9,038</w:t>
            </w:r>
          </w:p>
        </w:tc>
      </w:tr>
      <w:tr>
        <w:trPr>
          <w:trHeight w:val="26"/>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8700" w:type="dxa"/>
            <w:vAlign w:val="bottom"/>
            <w:shd w:val="clear" w:color="auto" w:fill="F0FFFF"/>
          </w:tcPr>
          <w:p>
            <w:pPr>
              <w:ind w:left="320"/>
              <w:spacing w:after="0"/>
              <w:rPr>
                <w:sz w:val="20"/>
                <w:szCs w:val="20"/>
                <w:color w:val="auto"/>
              </w:rPr>
            </w:pPr>
            <w:r>
              <w:rPr>
                <w:rFonts w:ascii="Arial" w:cs="Arial" w:eastAsia="Arial" w:hAnsi="Arial"/>
                <w:sz w:val="17"/>
                <w:szCs w:val="17"/>
                <w:b w:val="1"/>
                <w:bCs w:val="1"/>
                <w:color w:val="auto"/>
              </w:rPr>
              <w:t>Net income</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17,670</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15,400</w:t>
            </w:r>
          </w:p>
        </w:tc>
      </w:tr>
      <w:tr>
        <w:trPr>
          <w:trHeight w:val="205"/>
        </w:trPr>
        <w:tc>
          <w:tcPr>
            <w:tcW w:w="8700" w:type="dxa"/>
            <w:vAlign w:val="bottom"/>
          </w:tcPr>
          <w:p>
            <w:pPr>
              <w:ind w:left="160"/>
              <w:spacing w:after="0"/>
              <w:rPr>
                <w:sz w:val="20"/>
                <w:szCs w:val="20"/>
                <w:color w:val="auto"/>
              </w:rPr>
            </w:pPr>
            <w:r>
              <w:rPr>
                <w:rFonts w:ascii="Arial" w:cs="Arial" w:eastAsia="Arial" w:hAnsi="Arial"/>
                <w:sz w:val="17"/>
                <w:szCs w:val="17"/>
                <w:color w:val="auto"/>
              </w:rPr>
              <w:t>Preferred stock dividends and discount accretion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439</w:t>
            </w:r>
          </w:p>
        </w:tc>
      </w:tr>
      <w:tr>
        <w:trPr>
          <w:trHeight w:val="26"/>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8700" w:type="dxa"/>
            <w:vAlign w:val="bottom"/>
            <w:shd w:val="clear" w:color="auto" w:fill="F0FFFF"/>
          </w:tcPr>
          <w:p>
            <w:pPr>
              <w:ind w:left="320"/>
              <w:spacing w:after="0"/>
              <w:rPr>
                <w:sz w:val="20"/>
                <w:szCs w:val="20"/>
                <w:color w:val="auto"/>
              </w:rPr>
            </w:pPr>
            <w:r>
              <w:rPr>
                <w:rFonts w:ascii="Arial" w:cs="Arial" w:eastAsia="Arial" w:hAnsi="Arial"/>
                <w:sz w:val="17"/>
                <w:szCs w:val="17"/>
                <w:b w:val="1"/>
                <w:bCs w:val="1"/>
                <w:color w:val="auto"/>
              </w:rPr>
              <w:t>Net income available to common shareholders</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17,670</w:t>
            </w:r>
          </w:p>
        </w:tc>
        <w:tc>
          <w:tcPr>
            <w:tcW w:w="42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14,961</w:t>
            </w:r>
          </w:p>
        </w:tc>
      </w:tr>
      <w:tr>
        <w:trPr>
          <w:trHeight w:val="196"/>
        </w:trPr>
        <w:tc>
          <w:tcPr>
            <w:tcW w:w="870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r>
      <w:tr>
        <w:trPr>
          <w:trHeight w:val="205"/>
        </w:trPr>
        <w:tc>
          <w:tcPr>
            <w:tcW w:w="8700" w:type="dxa"/>
            <w:vAlign w:val="bottom"/>
            <w:shd w:val="clear" w:color="auto" w:fill="F0FFFF"/>
          </w:tcPr>
          <w:p>
            <w:pPr>
              <w:spacing w:after="0"/>
              <w:rPr>
                <w:sz w:val="20"/>
                <w:szCs w:val="20"/>
                <w:color w:val="auto"/>
              </w:rPr>
            </w:pPr>
            <w:r>
              <w:rPr>
                <w:rFonts w:ascii="Arial" w:cs="Arial" w:eastAsia="Arial" w:hAnsi="Arial"/>
                <w:sz w:val="17"/>
                <w:szCs w:val="17"/>
                <w:color w:val="auto"/>
              </w:rPr>
              <w:t>Earnings per common share:</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8700" w:type="dxa"/>
            <w:vAlign w:val="bottom"/>
          </w:tcPr>
          <w:p>
            <w:pPr>
              <w:ind w:left="160"/>
              <w:spacing w:after="0"/>
              <w:rPr>
                <w:sz w:val="20"/>
                <w:szCs w:val="20"/>
                <w:color w:val="auto"/>
              </w:rPr>
            </w:pPr>
            <w:r>
              <w:rPr>
                <w:rFonts w:ascii="Arial" w:cs="Arial" w:eastAsia="Arial" w:hAnsi="Arial"/>
                <w:sz w:val="17"/>
                <w:szCs w:val="17"/>
                <w:color w:val="auto"/>
              </w:rPr>
              <w:t>Basic</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.29</w:t>
            </w: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.25</w:t>
            </w:r>
          </w:p>
        </w:tc>
      </w:tr>
      <w:tr>
        <w:trPr>
          <w:trHeight w:val="205"/>
        </w:trPr>
        <w:tc>
          <w:tcPr>
            <w:tcW w:w="8700" w:type="dxa"/>
            <w:vAlign w:val="bottom"/>
            <w:shd w:val="clear" w:color="auto" w:fill="F0FFFF"/>
          </w:tcPr>
          <w:p>
            <w:pPr>
              <w:ind w:left="160"/>
              <w:spacing w:after="0"/>
              <w:rPr>
                <w:sz w:val="20"/>
                <w:szCs w:val="20"/>
                <w:color w:val="auto"/>
              </w:rPr>
            </w:pPr>
            <w:r>
              <w:rPr>
                <w:rFonts w:ascii="Arial" w:cs="Arial" w:eastAsia="Arial" w:hAnsi="Arial"/>
                <w:sz w:val="17"/>
                <w:szCs w:val="17"/>
                <w:color w:val="auto"/>
              </w:rPr>
              <w:t>Diluted</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.29</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.25</w:t>
            </w:r>
          </w:p>
        </w:tc>
      </w:tr>
      <w:tr>
        <w:trPr>
          <w:trHeight w:val="205"/>
        </w:trPr>
        <w:tc>
          <w:tcPr>
            <w:tcW w:w="8700" w:type="dxa"/>
            <w:vAlign w:val="bottom"/>
          </w:tcPr>
          <w:p>
            <w:pPr>
              <w:spacing w:after="0"/>
              <w:rPr>
                <w:sz w:val="20"/>
                <w:szCs w:val="20"/>
                <w:color w:val="auto"/>
              </w:rPr>
            </w:pPr>
            <w:r>
              <w:rPr>
                <w:rFonts w:ascii="Arial" w:cs="Arial" w:eastAsia="Arial" w:hAnsi="Arial"/>
                <w:sz w:val="17"/>
                <w:szCs w:val="17"/>
                <w:color w:val="auto"/>
              </w:rPr>
              <w:t>Weighted average common shares outstanding:</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700" w:type="dxa"/>
            <w:vAlign w:val="bottom"/>
            <w:shd w:val="clear" w:color="auto" w:fill="F0FFFF"/>
          </w:tcPr>
          <w:p>
            <w:pPr>
              <w:ind w:left="160"/>
              <w:spacing w:after="0"/>
              <w:rPr>
                <w:sz w:val="20"/>
                <w:szCs w:val="20"/>
                <w:color w:val="auto"/>
              </w:rPr>
            </w:pPr>
            <w:r>
              <w:rPr>
                <w:rFonts w:ascii="Arial" w:cs="Arial" w:eastAsia="Arial" w:hAnsi="Arial"/>
                <w:sz w:val="17"/>
                <w:szCs w:val="17"/>
                <w:color w:val="auto"/>
              </w:rPr>
              <w:t>Basic</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60,905</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60,059</w:t>
            </w:r>
          </w:p>
        </w:tc>
      </w:tr>
      <w:tr>
        <w:trPr>
          <w:trHeight w:val="216"/>
        </w:trPr>
        <w:tc>
          <w:tcPr>
            <w:tcW w:w="8700" w:type="dxa"/>
            <w:vAlign w:val="bottom"/>
          </w:tcPr>
          <w:p>
            <w:pPr>
              <w:ind w:left="160"/>
              <w:spacing w:after="0"/>
              <w:rPr>
                <w:sz w:val="20"/>
                <w:szCs w:val="20"/>
                <w:color w:val="auto"/>
              </w:rPr>
            </w:pPr>
            <w:r>
              <w:rPr>
                <w:rFonts w:ascii="Arial" w:cs="Arial" w:eastAsia="Arial" w:hAnsi="Arial"/>
                <w:sz w:val="17"/>
                <w:szCs w:val="17"/>
                <w:color w:val="auto"/>
              </w:rPr>
              <w:t>Diluted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60,909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60,061</w:t>
            </w: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79" w:right="239" w:bottom="1092"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UNITED COMMUNITY BANKS,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Consolidated Statement of Comprehensive Income </w:t>
      </w:r>
      <w:r>
        <w:rPr>
          <w:rFonts w:ascii="Arial" w:cs="Arial" w:eastAsia="Arial" w:hAnsi="Arial"/>
          <w:sz w:val="17"/>
          <w:szCs w:val="17"/>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18820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8200" cy="1651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6"/>
          </w:tcPr>
          <w:p>
            <w:pPr>
              <w:jc w:val="right"/>
              <w:ind w:right="520"/>
              <w:spacing w:after="0"/>
              <w:rPr>
                <w:sz w:val="20"/>
                <w:szCs w:val="20"/>
                <w:color w:val="auto"/>
              </w:rPr>
            </w:pPr>
            <w:r>
              <w:rPr>
                <w:rFonts w:ascii="Arial" w:cs="Arial" w:eastAsia="Arial" w:hAnsi="Arial"/>
                <w:sz w:val="17"/>
                <w:szCs w:val="17"/>
                <w:b w:val="1"/>
                <w:bCs w:val="1"/>
                <w:color w:val="auto"/>
              </w:rPr>
              <w:t>Three Months 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3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6"/>
          </w:tcPr>
          <w:p>
            <w:pPr>
              <w:jc w:val="right"/>
              <w:ind w:right="940"/>
              <w:spacing w:after="0"/>
              <w:rPr>
                <w:sz w:val="20"/>
                <w:szCs w:val="20"/>
                <w:color w:val="auto"/>
              </w:rPr>
            </w:pPr>
            <w:r>
              <w:rPr>
                <w:rFonts w:ascii="Arial" w:cs="Arial" w:eastAsia="Arial" w:hAnsi="Arial"/>
                <w:sz w:val="17"/>
                <w:szCs w:val="17"/>
                <w:b w:val="1"/>
                <w:bCs w:val="1"/>
                <w:color w:val="auto"/>
              </w:rPr>
              <w:t>March 31,</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366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(in thousands)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2015</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2014</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394"/>
        </w:trPr>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8"/>
              </w:rPr>
              <w:t>Tax</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5"/>
              </w:rPr>
              <w:t>Tax</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3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90"/>
              </w:rPr>
              <w:t>Before-tax</w:t>
            </w:r>
          </w:p>
        </w:tc>
        <w:tc>
          <w:tcPr>
            <w:tcW w:w="14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(Expense)</w:t>
            </w:r>
          </w:p>
        </w:tc>
        <w:tc>
          <w:tcPr>
            <w:tcW w:w="12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2"/>
              </w:rPr>
              <w:t>Net of Tax</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2"/>
              </w:rPr>
              <w:t>Before-tax</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8"/>
              </w:rPr>
              <w:t>(Expense)</w:t>
            </w:r>
          </w:p>
        </w:tc>
        <w:tc>
          <w:tcPr>
            <w:tcW w:w="12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2"/>
              </w:rPr>
              <w:t>Net of Tax</w:t>
            </w:r>
          </w:p>
        </w:tc>
      </w:tr>
      <w:tr>
        <w:trPr>
          <w:trHeight w:val="227"/>
        </w:trPr>
        <w:tc>
          <w:tcPr>
            <w:tcW w:w="3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Amount</w:t>
            </w:r>
          </w:p>
        </w:tc>
        <w:tc>
          <w:tcPr>
            <w:tcW w:w="14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0"/>
              </w:rPr>
              <w:t>Benefit</w:t>
            </w:r>
          </w:p>
        </w:tc>
        <w:tc>
          <w:tcPr>
            <w:tcW w:w="12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Amount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Amount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0"/>
              </w:rPr>
              <w:t>Benefit</w:t>
            </w:r>
          </w:p>
        </w:tc>
        <w:tc>
          <w:tcPr>
            <w:tcW w:w="12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Amount</w:t>
            </w:r>
          </w:p>
        </w:tc>
      </w:tr>
      <w:tr>
        <w:trPr>
          <w:trHeight w:val="205"/>
        </w:trPr>
        <w:tc>
          <w:tcPr>
            <w:tcW w:w="3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660" w:type="dxa"/>
            <w:vAlign w:val="bottom"/>
            <w:shd w:val="clear" w:color="auto" w:fill="F0FFFF"/>
          </w:tcPr>
          <w:p>
            <w:pPr>
              <w:spacing w:after="0"/>
              <w:rPr>
                <w:sz w:val="20"/>
                <w:szCs w:val="20"/>
                <w:color w:val="auto"/>
              </w:rPr>
            </w:pPr>
            <w:r>
              <w:rPr>
                <w:rFonts w:ascii="Arial" w:cs="Arial" w:eastAsia="Arial" w:hAnsi="Arial"/>
                <w:sz w:val="17"/>
                <w:szCs w:val="17"/>
                <w:color w:val="auto"/>
              </w:rPr>
              <w:t>Net income</w:t>
            </w:r>
          </w:p>
        </w:tc>
        <w:tc>
          <w:tcPr>
            <w:tcW w:w="20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28,063</w:t>
            </w:r>
          </w:p>
        </w:tc>
        <w:tc>
          <w:tcPr>
            <w:tcW w:w="14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(10,393)</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17,670</w:t>
            </w: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24,438</w:t>
            </w: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(9,038)</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15,400</w:t>
            </w:r>
          </w:p>
        </w:tc>
      </w:tr>
      <w:tr>
        <w:trPr>
          <w:trHeight w:val="205"/>
        </w:trPr>
        <w:tc>
          <w:tcPr>
            <w:tcW w:w="3660" w:type="dxa"/>
            <w:vAlign w:val="bottom"/>
          </w:tcPr>
          <w:p>
            <w:pPr>
              <w:spacing w:after="0"/>
              <w:rPr>
                <w:sz w:val="20"/>
                <w:szCs w:val="20"/>
                <w:color w:val="auto"/>
              </w:rPr>
            </w:pPr>
            <w:r>
              <w:rPr>
                <w:rFonts w:ascii="Arial" w:cs="Arial" w:eastAsia="Arial" w:hAnsi="Arial"/>
                <w:sz w:val="17"/>
                <w:szCs w:val="17"/>
                <w:color w:val="auto"/>
              </w:rPr>
              <w:t>Other comprehensive income: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660" w:type="dxa"/>
            <w:vAlign w:val="bottom"/>
            <w:shd w:val="clear" w:color="auto" w:fill="F0FFFF"/>
          </w:tcPr>
          <w:p>
            <w:pPr>
              <w:ind w:left="160"/>
              <w:spacing w:after="0"/>
              <w:rPr>
                <w:sz w:val="20"/>
                <w:szCs w:val="20"/>
                <w:color w:val="auto"/>
              </w:rPr>
            </w:pPr>
            <w:r>
              <w:rPr>
                <w:rFonts w:ascii="Arial" w:cs="Arial" w:eastAsia="Arial" w:hAnsi="Arial"/>
                <w:sz w:val="17"/>
                <w:szCs w:val="17"/>
                <w:color w:val="auto"/>
                <w:w w:val="95"/>
              </w:rPr>
              <w:t>Unrealized gains on available-for-sale securities:</w:t>
            </w: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3660" w:type="dxa"/>
            <w:vAlign w:val="bottom"/>
          </w:tcPr>
          <w:p>
            <w:pPr>
              <w:ind w:left="460"/>
              <w:spacing w:after="0"/>
              <w:rPr>
                <w:sz w:val="20"/>
                <w:szCs w:val="20"/>
                <w:color w:val="auto"/>
              </w:rPr>
            </w:pPr>
            <w:r>
              <w:rPr>
                <w:rFonts w:ascii="Arial" w:cs="Arial" w:eastAsia="Arial" w:hAnsi="Arial"/>
                <w:sz w:val="17"/>
                <w:szCs w:val="17"/>
                <w:color w:val="auto"/>
                <w:w w:val="92"/>
              </w:rPr>
              <w:t>Unrealized holding gains arising during period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13,989</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(5,305)</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8,684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3,869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(1,441)</w:t>
            </w: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2,428</w:t>
            </w:r>
          </w:p>
        </w:tc>
      </w:tr>
      <w:tr>
        <w:trPr>
          <w:trHeight w:val="193"/>
        </w:trPr>
        <w:tc>
          <w:tcPr>
            <w:tcW w:w="3660" w:type="dxa"/>
            <w:vAlign w:val="bottom"/>
            <w:shd w:val="clear" w:color="auto" w:fill="F0FFFF"/>
          </w:tcPr>
          <w:p>
            <w:pPr>
              <w:ind w:left="460"/>
              <w:spacing w:after="0" w:line="193" w:lineRule="exact"/>
              <w:rPr>
                <w:sz w:val="20"/>
                <w:szCs w:val="20"/>
                <w:color w:val="auto"/>
              </w:rPr>
            </w:pPr>
            <w:r>
              <w:rPr>
                <w:rFonts w:ascii="Arial" w:cs="Arial" w:eastAsia="Arial" w:hAnsi="Arial"/>
                <w:sz w:val="17"/>
                <w:szCs w:val="17"/>
                <w:color w:val="auto"/>
                <w:w w:val="92"/>
              </w:rPr>
              <w:t>Reclassification adjustment for gains included</w:t>
            </w: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6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6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6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r>
      <w:tr>
        <w:trPr>
          <w:trHeight w:val="217"/>
        </w:trPr>
        <w:tc>
          <w:tcPr>
            <w:tcW w:w="3660" w:type="dxa"/>
            <w:vAlign w:val="bottom"/>
            <w:shd w:val="clear" w:color="auto" w:fill="F0FFFF"/>
          </w:tcPr>
          <w:p>
            <w:pPr>
              <w:ind w:left="620"/>
              <w:spacing w:after="0"/>
              <w:rPr>
                <w:sz w:val="20"/>
                <w:szCs w:val="20"/>
                <w:color w:val="auto"/>
              </w:rPr>
            </w:pPr>
            <w:r>
              <w:rPr>
                <w:rFonts w:ascii="Arial" w:cs="Arial" w:eastAsia="Arial" w:hAnsi="Arial"/>
                <w:sz w:val="17"/>
                <w:szCs w:val="17"/>
                <w:color w:val="auto"/>
              </w:rPr>
              <w:t>in net income</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(1,539)</w:t>
            </w:r>
          </w:p>
        </w:tc>
        <w:tc>
          <w:tcPr>
            <w:tcW w:w="1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598</w:t>
            </w: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(941)</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(217)</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92</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(125)</w:t>
            </w:r>
          </w:p>
        </w:tc>
      </w:tr>
      <w:tr>
        <w:trPr>
          <w:trHeight w:val="26"/>
        </w:trPr>
        <w:tc>
          <w:tcPr>
            <w:tcW w:w="366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05"/>
        </w:trPr>
        <w:tc>
          <w:tcPr>
            <w:tcW w:w="3660" w:type="dxa"/>
            <w:vAlign w:val="bottom"/>
          </w:tcPr>
          <w:p>
            <w:pPr>
              <w:ind w:left="460"/>
              <w:spacing w:after="0"/>
              <w:rPr>
                <w:sz w:val="20"/>
                <w:szCs w:val="20"/>
                <w:color w:val="auto"/>
              </w:rPr>
            </w:pPr>
            <w:r>
              <w:rPr>
                <w:rFonts w:ascii="Arial" w:cs="Arial" w:eastAsia="Arial" w:hAnsi="Arial"/>
                <w:sz w:val="17"/>
                <w:szCs w:val="17"/>
                <w:color w:val="auto"/>
              </w:rPr>
              <w:t>Net unrealized gains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12,450</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(4,707)</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7,743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3,652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(1,349)</w:t>
            </w: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2,303</w:t>
            </w:r>
          </w:p>
        </w:tc>
      </w:tr>
      <w:tr>
        <w:trPr>
          <w:trHeight w:val="193"/>
        </w:trPr>
        <w:tc>
          <w:tcPr>
            <w:tcW w:w="3660" w:type="dxa"/>
            <w:vAlign w:val="bottom"/>
            <w:shd w:val="clear" w:color="auto" w:fill="F0FFFF"/>
          </w:tcPr>
          <w:p>
            <w:pPr>
              <w:ind w:left="160"/>
              <w:spacing w:after="0" w:line="193" w:lineRule="exact"/>
              <w:rPr>
                <w:sz w:val="20"/>
                <w:szCs w:val="20"/>
                <w:color w:val="auto"/>
              </w:rPr>
            </w:pPr>
            <w:r>
              <w:rPr>
                <w:rFonts w:ascii="Arial" w:cs="Arial" w:eastAsia="Arial" w:hAnsi="Arial"/>
                <w:sz w:val="17"/>
                <w:szCs w:val="17"/>
                <w:color w:val="auto"/>
              </w:rPr>
              <w:t>Amortization of losses included in net income</w:t>
            </w: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6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6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6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r>
      <w:tr>
        <w:trPr>
          <w:trHeight w:val="205"/>
        </w:trPr>
        <w:tc>
          <w:tcPr>
            <w:tcW w:w="3660" w:type="dxa"/>
            <w:vAlign w:val="bottom"/>
            <w:shd w:val="clear" w:color="auto" w:fill="F0FFFF"/>
          </w:tcPr>
          <w:p>
            <w:pPr>
              <w:ind w:left="320"/>
              <w:spacing w:after="0"/>
              <w:rPr>
                <w:sz w:val="20"/>
                <w:szCs w:val="20"/>
                <w:color w:val="auto"/>
              </w:rPr>
            </w:pPr>
            <w:r>
              <w:rPr>
                <w:rFonts w:ascii="Arial" w:cs="Arial" w:eastAsia="Arial" w:hAnsi="Arial"/>
                <w:sz w:val="17"/>
                <w:szCs w:val="17"/>
                <w:color w:val="auto"/>
                <w:w w:val="98"/>
              </w:rPr>
              <w:t>on available-for-sale securities transferred to</w:t>
            </w: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17"/>
        </w:trPr>
        <w:tc>
          <w:tcPr>
            <w:tcW w:w="3660" w:type="dxa"/>
            <w:vAlign w:val="bottom"/>
            <w:shd w:val="clear" w:color="auto" w:fill="F0FFFF"/>
          </w:tcPr>
          <w:p>
            <w:pPr>
              <w:ind w:left="320"/>
              <w:spacing w:after="0"/>
              <w:rPr>
                <w:sz w:val="20"/>
                <w:szCs w:val="20"/>
                <w:color w:val="auto"/>
              </w:rPr>
            </w:pPr>
            <w:r>
              <w:rPr>
                <w:rFonts w:ascii="Arial" w:cs="Arial" w:eastAsia="Arial" w:hAnsi="Arial"/>
                <w:sz w:val="17"/>
                <w:szCs w:val="17"/>
                <w:color w:val="auto"/>
              </w:rPr>
              <w:t>held-to-maturity</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484</w:t>
            </w:r>
          </w:p>
        </w:tc>
        <w:tc>
          <w:tcPr>
            <w:tcW w:w="1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(182)</w:t>
            </w: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302</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330</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(123)</w:t>
            </w:r>
          </w:p>
        </w:tc>
        <w:tc>
          <w:tcPr>
            <w:tcW w:w="1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207</w:t>
            </w:r>
          </w:p>
        </w:tc>
      </w:tr>
      <w:tr>
        <w:trPr>
          <w:trHeight w:val="26"/>
        </w:trPr>
        <w:tc>
          <w:tcPr>
            <w:tcW w:w="366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05"/>
        </w:trPr>
        <w:tc>
          <w:tcPr>
            <w:tcW w:w="3660" w:type="dxa"/>
            <w:vAlign w:val="bottom"/>
          </w:tcPr>
          <w:p>
            <w:pPr>
              <w:ind w:left="460"/>
              <w:spacing w:after="0"/>
              <w:rPr>
                <w:sz w:val="20"/>
                <w:szCs w:val="20"/>
                <w:color w:val="auto"/>
              </w:rPr>
            </w:pPr>
            <w:r>
              <w:rPr>
                <w:rFonts w:ascii="Arial" w:cs="Arial" w:eastAsia="Arial" w:hAnsi="Arial"/>
                <w:sz w:val="17"/>
                <w:szCs w:val="17"/>
                <w:color w:val="auto"/>
              </w:rPr>
              <w:t>Net unrealized gains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484</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(182)</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302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330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(123)</w:t>
            </w: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207</w:t>
            </w:r>
          </w:p>
        </w:tc>
      </w:tr>
      <w:tr>
        <w:trPr>
          <w:trHeight w:val="193"/>
        </w:trPr>
        <w:tc>
          <w:tcPr>
            <w:tcW w:w="3660" w:type="dxa"/>
            <w:vAlign w:val="bottom"/>
            <w:shd w:val="clear" w:color="auto" w:fill="F0FFFF"/>
          </w:tcPr>
          <w:p>
            <w:pPr>
              <w:ind w:left="160"/>
              <w:spacing w:after="0" w:line="193" w:lineRule="exact"/>
              <w:rPr>
                <w:sz w:val="20"/>
                <w:szCs w:val="20"/>
                <w:color w:val="auto"/>
              </w:rPr>
            </w:pPr>
            <w:r>
              <w:rPr>
                <w:rFonts w:ascii="Arial" w:cs="Arial" w:eastAsia="Arial" w:hAnsi="Arial"/>
                <w:sz w:val="17"/>
                <w:szCs w:val="17"/>
                <w:color w:val="auto"/>
                <w:w w:val="95"/>
              </w:rPr>
              <w:t>Amortization of losses included in net income on</w:t>
            </w: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6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6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6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r>
      <w:tr>
        <w:trPr>
          <w:trHeight w:val="205"/>
        </w:trPr>
        <w:tc>
          <w:tcPr>
            <w:tcW w:w="3660" w:type="dxa"/>
            <w:vAlign w:val="bottom"/>
            <w:shd w:val="clear" w:color="auto" w:fill="F0FFFF"/>
          </w:tcPr>
          <w:p>
            <w:pPr>
              <w:ind w:left="320"/>
              <w:spacing w:after="0"/>
              <w:rPr>
                <w:sz w:val="20"/>
                <w:szCs w:val="20"/>
                <w:color w:val="auto"/>
              </w:rPr>
            </w:pPr>
            <w:r>
              <w:rPr>
                <w:rFonts w:ascii="Arial" w:cs="Arial" w:eastAsia="Arial" w:hAnsi="Arial"/>
                <w:sz w:val="17"/>
                <w:szCs w:val="17"/>
                <w:color w:val="auto"/>
              </w:rPr>
              <w:t>terminated derivative financial instruments</w:t>
            </w: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3660" w:type="dxa"/>
            <w:vAlign w:val="bottom"/>
            <w:shd w:val="clear" w:color="auto" w:fill="F0FFFF"/>
          </w:tcPr>
          <w:p>
            <w:pPr>
              <w:ind w:left="320"/>
              <w:spacing w:after="0"/>
              <w:rPr>
                <w:sz w:val="20"/>
                <w:szCs w:val="20"/>
                <w:color w:val="auto"/>
              </w:rPr>
            </w:pPr>
            <w:r>
              <w:rPr>
                <w:rFonts w:ascii="Arial" w:cs="Arial" w:eastAsia="Arial" w:hAnsi="Arial"/>
                <w:sz w:val="17"/>
                <w:szCs w:val="17"/>
                <w:color w:val="auto"/>
                <w:w w:val="92"/>
              </w:rPr>
              <w:t>that were previously accounted for as cash flow</w:t>
            </w: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18"/>
        </w:trPr>
        <w:tc>
          <w:tcPr>
            <w:tcW w:w="3660" w:type="dxa"/>
            <w:vAlign w:val="bottom"/>
            <w:shd w:val="clear" w:color="auto" w:fill="F0FFFF"/>
          </w:tcPr>
          <w:p>
            <w:pPr>
              <w:ind w:left="320"/>
              <w:spacing w:after="0"/>
              <w:rPr>
                <w:sz w:val="20"/>
                <w:szCs w:val="20"/>
                <w:color w:val="auto"/>
              </w:rPr>
            </w:pPr>
            <w:r>
              <w:rPr>
                <w:rFonts w:ascii="Arial" w:cs="Arial" w:eastAsia="Arial" w:hAnsi="Arial"/>
                <w:sz w:val="17"/>
                <w:szCs w:val="17"/>
                <w:color w:val="auto"/>
              </w:rPr>
              <w:t>hedges</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425</w:t>
            </w:r>
          </w:p>
        </w:tc>
        <w:tc>
          <w:tcPr>
            <w:tcW w:w="1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(165)</w:t>
            </w: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260</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97</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(38)</w:t>
            </w:r>
          </w:p>
        </w:tc>
        <w:tc>
          <w:tcPr>
            <w:tcW w:w="12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F0FFFF"/>
          </w:tcPr>
          <w:p>
            <w:pPr>
              <w:spacing w:after="0"/>
              <w:rPr>
                <w:sz w:val="18"/>
                <w:szCs w:val="18"/>
                <w:color w:val="auto"/>
              </w:rPr>
            </w:pPr>
          </w:p>
        </w:tc>
      </w:tr>
      <w:tr>
        <w:trPr>
          <w:trHeight w:val="193"/>
        </w:trPr>
        <w:tc>
          <w:tcPr>
            <w:tcW w:w="3660" w:type="dxa"/>
            <w:vAlign w:val="bottom"/>
          </w:tcPr>
          <w:p>
            <w:pPr>
              <w:ind w:left="160"/>
              <w:spacing w:after="0" w:line="193" w:lineRule="exact"/>
              <w:rPr>
                <w:sz w:val="20"/>
                <w:szCs w:val="20"/>
                <w:color w:val="auto"/>
              </w:rPr>
            </w:pPr>
            <w:r>
              <w:rPr>
                <w:rFonts w:ascii="Arial" w:cs="Arial" w:eastAsia="Arial" w:hAnsi="Arial"/>
                <w:sz w:val="17"/>
                <w:szCs w:val="17"/>
                <w:color w:val="auto"/>
              </w:rPr>
              <w:t>Unrealized losses on derivative financial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3660" w:type="dxa"/>
            <w:vAlign w:val="bottom"/>
          </w:tcPr>
          <w:p>
            <w:pPr>
              <w:ind w:left="320"/>
              <w:spacing w:after="0"/>
              <w:rPr>
                <w:sz w:val="20"/>
                <w:szCs w:val="20"/>
                <w:color w:val="auto"/>
              </w:rPr>
            </w:pPr>
            <w:r>
              <w:rPr>
                <w:rFonts w:ascii="Arial" w:cs="Arial" w:eastAsia="Arial" w:hAnsi="Arial"/>
                <w:sz w:val="17"/>
                <w:szCs w:val="17"/>
                <w:color w:val="auto"/>
                <w:w w:val="93"/>
              </w:rPr>
              <w:t>instruments accounted for as cash flow hedges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(471)</w:t>
            </w: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183</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(2,832)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(1,730)</w:t>
            </w:r>
          </w:p>
        </w:tc>
      </w:tr>
      <w:tr>
        <w:trPr>
          <w:trHeight w:val="26"/>
        </w:trPr>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3660" w:type="dxa"/>
            <w:vAlign w:val="bottom"/>
            <w:shd w:val="clear" w:color="auto" w:fill="F0FFFF"/>
          </w:tcPr>
          <w:p>
            <w:pPr>
              <w:ind w:left="320"/>
              <w:spacing w:after="0"/>
              <w:rPr>
                <w:sz w:val="20"/>
                <w:szCs w:val="20"/>
                <w:color w:val="auto"/>
              </w:rPr>
            </w:pPr>
            <w:r>
              <w:rPr>
                <w:rFonts w:ascii="Arial" w:cs="Arial" w:eastAsia="Arial" w:hAnsi="Arial"/>
                <w:sz w:val="17"/>
                <w:szCs w:val="17"/>
                <w:color w:val="auto"/>
              </w:rPr>
              <w:t>Net unrealized losses</w:t>
            </w: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(46)</w:t>
            </w:r>
          </w:p>
        </w:tc>
        <w:tc>
          <w:tcPr>
            <w:tcW w:w="140" w:type="dxa"/>
            <w:vAlign w:val="bottom"/>
            <w:shd w:val="clear" w:color="auto" w:fill="F0FFFF"/>
          </w:tcPr>
          <w:p>
            <w:pPr>
              <w:spacing w:after="0"/>
              <w:rPr>
                <w:sz w:val="17"/>
                <w:szCs w:val="17"/>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18</w:t>
            </w: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(28)</w:t>
            </w: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(2,735)</w:t>
            </w: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1,064</w:t>
            </w: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(1,671)</w:t>
            </w:r>
          </w:p>
        </w:tc>
      </w:tr>
      <w:tr>
        <w:trPr>
          <w:trHeight w:val="205"/>
        </w:trPr>
        <w:tc>
          <w:tcPr>
            <w:tcW w:w="3660" w:type="dxa"/>
            <w:vAlign w:val="bottom"/>
          </w:tcPr>
          <w:p>
            <w:pPr>
              <w:ind w:left="160"/>
              <w:spacing w:after="0"/>
              <w:rPr>
                <w:sz w:val="20"/>
                <w:szCs w:val="20"/>
                <w:color w:val="auto"/>
              </w:rPr>
            </w:pPr>
            <w:r>
              <w:rPr>
                <w:rFonts w:ascii="Arial" w:cs="Arial" w:eastAsia="Arial" w:hAnsi="Arial"/>
                <w:sz w:val="17"/>
                <w:szCs w:val="17"/>
                <w:color w:val="auto"/>
                <w:w w:val="93"/>
              </w:rPr>
              <w:t>Net actuarial gain on defined benefit pension plan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(115)</w:t>
            </w: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181</w:t>
            </w:r>
          </w:p>
        </w:tc>
      </w:tr>
      <w:tr>
        <w:trPr>
          <w:trHeight w:val="193"/>
        </w:trPr>
        <w:tc>
          <w:tcPr>
            <w:tcW w:w="3660" w:type="dxa"/>
            <w:vAlign w:val="bottom"/>
            <w:shd w:val="clear" w:color="auto" w:fill="F0FFFF"/>
          </w:tcPr>
          <w:p>
            <w:pPr>
              <w:ind w:left="160"/>
              <w:spacing w:after="0" w:line="193" w:lineRule="exact"/>
              <w:rPr>
                <w:sz w:val="20"/>
                <w:szCs w:val="20"/>
                <w:color w:val="auto"/>
              </w:rPr>
            </w:pPr>
            <w:r>
              <w:rPr>
                <w:rFonts w:ascii="Arial" w:cs="Arial" w:eastAsia="Arial" w:hAnsi="Arial"/>
                <w:sz w:val="17"/>
                <w:szCs w:val="17"/>
                <w:color w:val="auto"/>
                <w:w w:val="99"/>
              </w:rPr>
              <w:t>Amortization of prior service cost and actuarial</w:t>
            </w: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6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6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6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r>
      <w:tr>
        <w:trPr>
          <w:trHeight w:val="205"/>
        </w:trPr>
        <w:tc>
          <w:tcPr>
            <w:tcW w:w="3660" w:type="dxa"/>
            <w:vAlign w:val="bottom"/>
            <w:shd w:val="clear" w:color="auto" w:fill="F0FFFF"/>
          </w:tcPr>
          <w:p>
            <w:pPr>
              <w:ind w:left="320"/>
              <w:spacing w:after="0"/>
              <w:rPr>
                <w:sz w:val="20"/>
                <w:szCs w:val="20"/>
                <w:color w:val="auto"/>
              </w:rPr>
            </w:pPr>
            <w:r>
              <w:rPr>
                <w:rFonts w:ascii="Arial" w:cs="Arial" w:eastAsia="Arial" w:hAnsi="Arial"/>
                <w:sz w:val="17"/>
                <w:szCs w:val="17"/>
                <w:color w:val="auto"/>
                <w:w w:val="94"/>
              </w:rPr>
              <w:t>losses included in net periodic pension cost for</w:t>
            </w: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17"/>
        </w:trPr>
        <w:tc>
          <w:tcPr>
            <w:tcW w:w="3660" w:type="dxa"/>
            <w:vAlign w:val="bottom"/>
            <w:shd w:val="clear" w:color="auto" w:fill="F0FFFF"/>
          </w:tcPr>
          <w:p>
            <w:pPr>
              <w:ind w:left="320"/>
              <w:spacing w:after="0"/>
              <w:rPr>
                <w:sz w:val="20"/>
                <w:szCs w:val="20"/>
                <w:color w:val="auto"/>
              </w:rPr>
            </w:pPr>
            <w:r>
              <w:rPr>
                <w:rFonts w:ascii="Arial" w:cs="Arial" w:eastAsia="Arial" w:hAnsi="Arial"/>
                <w:sz w:val="17"/>
                <w:szCs w:val="17"/>
                <w:color w:val="auto"/>
              </w:rPr>
              <w:t>defined benefit pension plan</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159</w:t>
            </w:r>
          </w:p>
        </w:tc>
        <w:tc>
          <w:tcPr>
            <w:tcW w:w="1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(62)</w:t>
            </w:r>
          </w:p>
        </w:tc>
        <w:tc>
          <w:tcPr>
            <w:tcW w:w="12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97</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91</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(35)</w:t>
            </w:r>
          </w:p>
        </w:tc>
        <w:tc>
          <w:tcPr>
            <w:tcW w:w="12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F0FFFF"/>
          </w:tcPr>
          <w:p>
            <w:pPr>
              <w:spacing w:after="0"/>
              <w:rPr>
                <w:sz w:val="18"/>
                <w:szCs w:val="18"/>
                <w:color w:val="auto"/>
              </w:rPr>
            </w:pPr>
          </w:p>
        </w:tc>
      </w:tr>
      <w:tr>
        <w:trPr>
          <w:trHeight w:val="26"/>
        </w:trPr>
        <w:tc>
          <w:tcPr>
            <w:tcW w:w="366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11"/>
        </w:trPr>
        <w:tc>
          <w:tcPr>
            <w:tcW w:w="3660" w:type="dxa"/>
            <w:vAlign w:val="bottom"/>
          </w:tcPr>
          <w:p>
            <w:pPr>
              <w:ind w:left="620"/>
              <w:spacing w:after="0"/>
              <w:rPr>
                <w:sz w:val="20"/>
                <w:szCs w:val="20"/>
                <w:color w:val="auto"/>
              </w:rPr>
            </w:pPr>
            <w:r>
              <w:rPr>
                <w:rFonts w:ascii="Arial" w:cs="Arial" w:eastAsia="Arial" w:hAnsi="Arial"/>
                <w:sz w:val="17"/>
                <w:szCs w:val="17"/>
                <w:color w:val="auto"/>
              </w:rPr>
              <w:t>Net defined benefit pension plan activity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159</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(62)</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387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(150)</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237</w:t>
            </w:r>
          </w:p>
        </w:tc>
      </w:tr>
      <w:tr>
        <w:trPr>
          <w:trHeight w:val="205"/>
        </w:trPr>
        <w:tc>
          <w:tcPr>
            <w:tcW w:w="36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960" w:type="dxa"/>
            <w:vAlign w:val="bottom"/>
            <w:tcBorders>
              <w:top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960" w:type="dxa"/>
            <w:vAlign w:val="bottom"/>
            <w:tcBorders>
              <w:top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980" w:type="dxa"/>
            <w:vAlign w:val="bottom"/>
            <w:tcBorders>
              <w:top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96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980" w:type="dxa"/>
            <w:vAlign w:val="bottom"/>
            <w:tcBorders>
              <w:top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98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11"/>
        </w:trPr>
        <w:tc>
          <w:tcPr>
            <w:tcW w:w="3660" w:type="dxa"/>
            <w:vAlign w:val="bottom"/>
          </w:tcPr>
          <w:p>
            <w:pPr>
              <w:ind w:left="620"/>
              <w:spacing w:after="0"/>
              <w:rPr>
                <w:sz w:val="20"/>
                <w:szCs w:val="20"/>
                <w:color w:val="auto"/>
              </w:rPr>
            </w:pPr>
            <w:r>
              <w:rPr>
                <w:rFonts w:ascii="Arial" w:cs="Arial" w:eastAsia="Arial" w:hAnsi="Arial"/>
                <w:sz w:val="17"/>
                <w:szCs w:val="17"/>
                <w:color w:val="auto"/>
              </w:rPr>
              <w:t>Total other comprehensive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13,047</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(4,933)</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8,114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1,634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(558)</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1,076</w:t>
            </w:r>
          </w:p>
        </w:tc>
      </w:tr>
      <w:tr>
        <w:trPr>
          <w:trHeight w:val="205"/>
        </w:trPr>
        <w:tc>
          <w:tcPr>
            <w:tcW w:w="36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960" w:type="dxa"/>
            <w:vAlign w:val="bottom"/>
            <w:tcBorders>
              <w:top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960" w:type="dxa"/>
            <w:vAlign w:val="bottom"/>
            <w:tcBorders>
              <w:top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980" w:type="dxa"/>
            <w:vAlign w:val="bottom"/>
            <w:tcBorders>
              <w:top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96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980" w:type="dxa"/>
            <w:vAlign w:val="bottom"/>
            <w:tcBorders>
              <w:top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98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3660" w:type="dxa"/>
            <w:vAlign w:val="bottom"/>
          </w:tcPr>
          <w:p>
            <w:pPr>
              <w:ind w:left="620"/>
              <w:spacing w:after="0"/>
              <w:rPr>
                <w:sz w:val="20"/>
                <w:szCs w:val="20"/>
                <w:color w:val="auto"/>
              </w:rPr>
            </w:pPr>
            <w:r>
              <w:rPr>
                <w:rFonts w:ascii="Arial" w:cs="Arial" w:eastAsia="Arial" w:hAnsi="Arial"/>
                <w:sz w:val="17"/>
                <w:szCs w:val="17"/>
                <w:color w:val="auto"/>
              </w:rPr>
              <w:t>Comprehensive income</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41,110</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(15,326)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25,784</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26,072</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(9,596)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16,476</w:t>
            </w:r>
          </w:p>
        </w:tc>
      </w:tr>
      <w:tr>
        <w:trPr>
          <w:trHeight w:val="20"/>
        </w:trPr>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UNITED COMMUNITY BANKS,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Consolidated Balance Sheet </w:t>
      </w:r>
      <w:r>
        <w:rPr>
          <w:rFonts w:ascii="Arial" w:cs="Arial" w:eastAsia="Arial" w:hAnsi="Arial"/>
          <w:sz w:val="17"/>
          <w:szCs w:val="17"/>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18820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8200" cy="1651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w w:val="99"/>
              </w:rPr>
              <w:t>March 31,</w:t>
            </w:r>
          </w:p>
        </w:tc>
        <w:tc>
          <w:tcPr>
            <w:tcW w:w="130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w w:val="95"/>
              </w:rPr>
              <w:t>December 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9"/>
              </w:rPr>
              <w:t>March 31,</w:t>
            </w:r>
          </w:p>
        </w:tc>
      </w:tr>
      <w:tr>
        <w:trPr>
          <w:trHeight w:val="227"/>
        </w:trPr>
        <w:tc>
          <w:tcPr>
            <w:tcW w:w="732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(in thousands, except share and per share data)</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2015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9"/>
                <w:szCs w:val="19"/>
                <w:color w:val="auto"/>
              </w:rPr>
            </w:pPr>
          </w:p>
        </w:tc>
      </w:tr>
      <w:tr>
        <w:trPr>
          <w:trHeight w:val="205"/>
        </w:trPr>
        <w:tc>
          <w:tcPr>
            <w:tcW w:w="7320" w:type="dxa"/>
            <w:vAlign w:val="bottom"/>
            <w:shd w:val="clear" w:color="auto" w:fill="F0FFFF"/>
          </w:tcPr>
          <w:p>
            <w:pPr>
              <w:spacing w:after="0"/>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7320" w:type="dxa"/>
            <w:vAlign w:val="bottom"/>
          </w:tcPr>
          <w:p>
            <w:pPr>
              <w:ind w:left="160"/>
              <w:spacing w:after="0"/>
              <w:rPr>
                <w:sz w:val="20"/>
                <w:szCs w:val="20"/>
                <w:color w:val="auto"/>
              </w:rPr>
            </w:pPr>
            <w:r>
              <w:rPr>
                <w:rFonts w:ascii="Arial" w:cs="Arial" w:eastAsia="Arial" w:hAnsi="Arial"/>
                <w:sz w:val="17"/>
                <w:szCs w:val="17"/>
                <w:color w:val="auto"/>
              </w:rPr>
              <w:t>Cash and due from banks</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77,493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77,180</w:t>
            </w:r>
          </w:p>
        </w:tc>
        <w:tc>
          <w:tcPr>
            <w:tcW w:w="2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52,813</w:t>
            </w:r>
          </w:p>
        </w:tc>
      </w:tr>
      <w:tr>
        <w:trPr>
          <w:trHeight w:val="205"/>
        </w:trPr>
        <w:tc>
          <w:tcPr>
            <w:tcW w:w="7320" w:type="dxa"/>
            <w:vAlign w:val="bottom"/>
            <w:shd w:val="clear" w:color="auto" w:fill="F0FFFF"/>
          </w:tcPr>
          <w:p>
            <w:pPr>
              <w:ind w:left="160"/>
              <w:spacing w:after="0"/>
              <w:rPr>
                <w:sz w:val="20"/>
                <w:szCs w:val="20"/>
                <w:color w:val="auto"/>
              </w:rPr>
            </w:pPr>
            <w:r>
              <w:rPr>
                <w:rFonts w:ascii="Arial" w:cs="Arial" w:eastAsia="Arial" w:hAnsi="Arial"/>
                <w:sz w:val="17"/>
                <w:szCs w:val="17"/>
                <w:color w:val="auto"/>
              </w:rPr>
              <w:t>Interest-bearing deposits in banks</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82,269</w:t>
            </w:r>
          </w:p>
        </w:tc>
        <w:tc>
          <w:tcPr>
            <w:tcW w:w="24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89,074</w:t>
            </w: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110,529</w:t>
            </w:r>
          </w:p>
        </w:tc>
      </w:tr>
      <w:tr>
        <w:trPr>
          <w:trHeight w:val="205"/>
        </w:trPr>
        <w:tc>
          <w:tcPr>
            <w:tcW w:w="7320" w:type="dxa"/>
            <w:vAlign w:val="bottom"/>
          </w:tcPr>
          <w:p>
            <w:pPr>
              <w:ind w:left="160"/>
              <w:spacing w:after="0"/>
              <w:rPr>
                <w:sz w:val="20"/>
                <w:szCs w:val="20"/>
                <w:color w:val="auto"/>
              </w:rPr>
            </w:pPr>
            <w:r>
              <w:rPr>
                <w:rFonts w:ascii="Arial" w:cs="Arial" w:eastAsia="Arial" w:hAnsi="Arial"/>
                <w:sz w:val="17"/>
                <w:szCs w:val="17"/>
                <w:color w:val="auto"/>
              </w:rPr>
              <w:t>Short-term investments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25,902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26,401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49,999</w:t>
            </w:r>
          </w:p>
        </w:tc>
      </w:tr>
      <w:tr>
        <w:trPr>
          <w:trHeight w:val="26"/>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7320" w:type="dxa"/>
            <w:vAlign w:val="bottom"/>
            <w:shd w:val="clear" w:color="auto" w:fill="F0FFFF"/>
          </w:tcPr>
          <w:p>
            <w:pPr>
              <w:ind w:left="320"/>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185,664</w:t>
            </w: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192,655</w:t>
            </w: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213,341</w:t>
            </w:r>
          </w:p>
        </w:tc>
      </w:tr>
      <w:tr>
        <w:trPr>
          <w:trHeight w:val="205"/>
        </w:trPr>
        <w:tc>
          <w:tcPr>
            <w:tcW w:w="7320" w:type="dxa"/>
            <w:vAlign w:val="bottom"/>
          </w:tcPr>
          <w:p>
            <w:pPr>
              <w:ind w:left="160"/>
              <w:spacing w:after="0"/>
              <w:rPr>
                <w:sz w:val="20"/>
                <w:szCs w:val="20"/>
                <w:color w:val="auto"/>
              </w:rPr>
            </w:pPr>
            <w:r>
              <w:rPr>
                <w:rFonts w:ascii="Arial" w:cs="Arial" w:eastAsia="Arial" w:hAnsi="Arial"/>
                <w:sz w:val="17"/>
                <w:szCs w:val="17"/>
                <w:color w:val="auto"/>
              </w:rPr>
              <w:t>Securities available for sale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1,801,973</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1,782,734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1,837,676</w:t>
            </w:r>
          </w:p>
        </w:tc>
        <w:tc>
          <w:tcPr>
            <w:tcW w:w="100" w:type="dxa"/>
            <w:vAlign w:val="bottom"/>
          </w:tcPr>
          <w:p>
            <w:pPr>
              <w:spacing w:after="0"/>
              <w:rPr>
                <w:sz w:val="17"/>
                <w:szCs w:val="17"/>
                <w:color w:val="auto"/>
              </w:rPr>
            </w:pPr>
          </w:p>
        </w:tc>
      </w:tr>
      <w:tr>
        <w:trPr>
          <w:trHeight w:val="205"/>
        </w:trPr>
        <w:tc>
          <w:tcPr>
            <w:tcW w:w="7320" w:type="dxa"/>
            <w:vAlign w:val="bottom"/>
            <w:shd w:val="clear" w:color="auto" w:fill="F0FFFF"/>
          </w:tcPr>
          <w:p>
            <w:pPr>
              <w:ind w:left="160"/>
              <w:spacing w:after="0"/>
              <w:rPr>
                <w:sz w:val="20"/>
                <w:szCs w:val="20"/>
                <w:color w:val="auto"/>
              </w:rPr>
            </w:pPr>
            <w:r>
              <w:rPr>
                <w:rFonts w:ascii="Arial" w:cs="Arial" w:eastAsia="Arial" w:hAnsi="Arial"/>
                <w:sz w:val="17"/>
                <w:szCs w:val="17"/>
                <w:color w:val="auto"/>
              </w:rPr>
              <w:t>Securities held to maturity (fair value $413,550, $425,233 and $473,136)</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399,228</w:t>
            </w:r>
          </w:p>
        </w:tc>
        <w:tc>
          <w:tcPr>
            <w:tcW w:w="24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415,267</w:t>
            </w: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464,697</w:t>
            </w:r>
          </w:p>
        </w:tc>
      </w:tr>
      <w:tr>
        <w:trPr>
          <w:trHeight w:val="205"/>
        </w:trPr>
        <w:tc>
          <w:tcPr>
            <w:tcW w:w="7320" w:type="dxa"/>
            <w:vAlign w:val="bottom"/>
          </w:tcPr>
          <w:p>
            <w:pPr>
              <w:ind w:left="160"/>
              <w:spacing w:after="0"/>
              <w:rPr>
                <w:sz w:val="20"/>
                <w:szCs w:val="20"/>
                <w:color w:val="auto"/>
              </w:rPr>
            </w:pPr>
            <w:r>
              <w:rPr>
                <w:rFonts w:ascii="Arial" w:cs="Arial" w:eastAsia="Arial" w:hAnsi="Arial"/>
                <w:sz w:val="17"/>
                <w:szCs w:val="17"/>
                <w:color w:val="auto"/>
              </w:rPr>
              <w:t>Mortgage loans held for sale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15,723</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13,737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10,933</w:t>
            </w:r>
          </w:p>
        </w:tc>
      </w:tr>
      <w:tr>
        <w:trPr>
          <w:trHeight w:val="205"/>
        </w:trPr>
        <w:tc>
          <w:tcPr>
            <w:tcW w:w="7320" w:type="dxa"/>
            <w:vAlign w:val="bottom"/>
            <w:shd w:val="clear" w:color="auto" w:fill="F0FFFF"/>
          </w:tcPr>
          <w:p>
            <w:pPr>
              <w:ind w:left="160"/>
              <w:spacing w:after="0"/>
              <w:rPr>
                <w:sz w:val="20"/>
                <w:szCs w:val="20"/>
                <w:color w:val="auto"/>
              </w:rPr>
            </w:pPr>
            <w:r>
              <w:rPr>
                <w:rFonts w:ascii="Arial" w:cs="Arial" w:eastAsia="Arial" w:hAnsi="Arial"/>
                <w:sz w:val="17"/>
                <w:szCs w:val="17"/>
                <w:color w:val="auto"/>
              </w:rPr>
              <w:t>Loans, net of unearned income</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4,787,689</w:t>
            </w:r>
          </w:p>
        </w:tc>
        <w:tc>
          <w:tcPr>
            <w:tcW w:w="24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4,672,119</w:t>
            </w: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4,355,708</w:t>
            </w:r>
          </w:p>
        </w:tc>
        <w:tc>
          <w:tcPr>
            <w:tcW w:w="100" w:type="dxa"/>
            <w:vAlign w:val="bottom"/>
            <w:shd w:val="clear" w:color="auto" w:fill="F0FFFF"/>
          </w:tcPr>
          <w:p>
            <w:pPr>
              <w:spacing w:after="0"/>
              <w:rPr>
                <w:sz w:val="17"/>
                <w:szCs w:val="17"/>
                <w:color w:val="auto"/>
              </w:rPr>
            </w:pPr>
          </w:p>
        </w:tc>
      </w:tr>
      <w:tr>
        <w:trPr>
          <w:trHeight w:val="211"/>
        </w:trPr>
        <w:tc>
          <w:tcPr>
            <w:tcW w:w="7320" w:type="dxa"/>
            <w:vAlign w:val="bottom"/>
          </w:tcPr>
          <w:p>
            <w:pPr>
              <w:ind w:left="320"/>
              <w:spacing w:after="0"/>
              <w:rPr>
                <w:sz w:val="20"/>
                <w:szCs w:val="20"/>
                <w:color w:val="auto"/>
              </w:rPr>
            </w:pPr>
            <w:r>
              <w:rPr>
                <w:rFonts w:ascii="Arial" w:cs="Arial" w:eastAsia="Arial" w:hAnsi="Arial"/>
                <w:sz w:val="17"/>
                <w:szCs w:val="17"/>
                <w:color w:val="auto"/>
              </w:rPr>
              <w:t>Less allowance for loan losses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(70,007)</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(71,619)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(75,223)</w:t>
            </w:r>
          </w:p>
        </w:tc>
      </w:tr>
      <w:tr>
        <w:trPr>
          <w:trHeight w:val="205"/>
        </w:trPr>
        <w:tc>
          <w:tcPr>
            <w:tcW w:w="7320" w:type="dxa"/>
            <w:vAlign w:val="bottom"/>
            <w:shd w:val="clear" w:color="auto" w:fill="F0FFFF"/>
          </w:tcPr>
          <w:p>
            <w:pPr>
              <w:ind w:left="460"/>
              <w:spacing w:after="0"/>
              <w:rPr>
                <w:sz w:val="20"/>
                <w:szCs w:val="20"/>
                <w:color w:val="auto"/>
              </w:rPr>
            </w:pPr>
            <w:r>
              <w:rPr>
                <w:rFonts w:ascii="Arial" w:cs="Arial" w:eastAsia="Arial" w:hAnsi="Arial"/>
                <w:sz w:val="17"/>
                <w:szCs w:val="17"/>
                <w:color w:val="auto"/>
              </w:rPr>
              <w:t>Loans, net</w:t>
            </w:r>
          </w:p>
        </w:tc>
        <w:tc>
          <w:tcPr>
            <w:tcW w:w="120" w:type="dxa"/>
            <w:vAlign w:val="bottom"/>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4,717,682</w:t>
            </w:r>
          </w:p>
        </w:tc>
        <w:tc>
          <w:tcPr>
            <w:tcW w:w="220" w:type="dxa"/>
            <w:vAlign w:val="bottom"/>
            <w:shd w:val="clear" w:color="auto" w:fill="F0FFFF"/>
          </w:tcPr>
          <w:p>
            <w:pPr>
              <w:spacing w:after="0"/>
              <w:rPr>
                <w:sz w:val="17"/>
                <w:szCs w:val="17"/>
                <w:color w:val="auto"/>
              </w:rPr>
            </w:pPr>
          </w:p>
        </w:tc>
        <w:tc>
          <w:tcPr>
            <w:tcW w:w="240" w:type="dxa"/>
            <w:vAlign w:val="bottom"/>
            <w:tcBorders>
              <w:top w:val="single" w:sz="8" w:color="auto"/>
            </w:tcBorders>
            <w:shd w:val="clear" w:color="auto" w:fill="F0FFFF"/>
          </w:tcPr>
          <w:p>
            <w:pPr>
              <w:spacing w:after="0"/>
              <w:rPr>
                <w:sz w:val="17"/>
                <w:szCs w:val="17"/>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4,600,500</w:t>
            </w: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4,280,485</w:t>
            </w:r>
          </w:p>
        </w:tc>
        <w:tc>
          <w:tcPr>
            <w:tcW w:w="100" w:type="dxa"/>
            <w:vAlign w:val="bottom"/>
            <w:shd w:val="clear" w:color="auto" w:fill="F0FFFF"/>
          </w:tcPr>
          <w:p>
            <w:pPr>
              <w:spacing w:after="0"/>
              <w:rPr>
                <w:sz w:val="17"/>
                <w:szCs w:val="17"/>
                <w:color w:val="auto"/>
              </w:rPr>
            </w:pPr>
          </w:p>
        </w:tc>
      </w:tr>
      <w:tr>
        <w:trPr>
          <w:trHeight w:val="205"/>
        </w:trPr>
        <w:tc>
          <w:tcPr>
            <w:tcW w:w="7320" w:type="dxa"/>
            <w:vAlign w:val="bottom"/>
          </w:tcPr>
          <w:p>
            <w:pPr>
              <w:ind w:left="160"/>
              <w:spacing w:after="0"/>
              <w:rPr>
                <w:sz w:val="20"/>
                <w:szCs w:val="20"/>
                <w:color w:val="auto"/>
              </w:rPr>
            </w:pPr>
            <w:r>
              <w:rPr>
                <w:rFonts w:ascii="Arial" w:cs="Arial" w:eastAsia="Arial" w:hAnsi="Arial"/>
                <w:sz w:val="17"/>
                <w:szCs w:val="17"/>
                <w:color w:val="auto"/>
              </w:rPr>
              <w:t>Assets covered by loss sharing agreements with the FDIC</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3,315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21,353</w:t>
            </w:r>
          </w:p>
        </w:tc>
      </w:tr>
      <w:tr>
        <w:trPr>
          <w:trHeight w:val="205"/>
        </w:trPr>
        <w:tc>
          <w:tcPr>
            <w:tcW w:w="7320" w:type="dxa"/>
            <w:vAlign w:val="bottom"/>
            <w:shd w:val="clear" w:color="auto" w:fill="F0FFFF"/>
          </w:tcPr>
          <w:p>
            <w:pPr>
              <w:ind w:left="160"/>
              <w:spacing w:after="0"/>
              <w:rPr>
                <w:sz w:val="20"/>
                <w:szCs w:val="20"/>
                <w:color w:val="auto"/>
              </w:rPr>
            </w:pPr>
            <w:r>
              <w:rPr>
                <w:rFonts w:ascii="Arial" w:cs="Arial" w:eastAsia="Arial" w:hAnsi="Arial"/>
                <w:sz w:val="17"/>
                <w:szCs w:val="17"/>
                <w:color w:val="auto"/>
              </w:rPr>
              <w:t>Premises and equipment, net</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159,036</w:t>
            </w:r>
          </w:p>
        </w:tc>
        <w:tc>
          <w:tcPr>
            <w:tcW w:w="24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159,390</w:t>
            </w: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161,540</w:t>
            </w:r>
          </w:p>
        </w:tc>
      </w:tr>
      <w:tr>
        <w:trPr>
          <w:trHeight w:val="205"/>
        </w:trPr>
        <w:tc>
          <w:tcPr>
            <w:tcW w:w="7320" w:type="dxa"/>
            <w:vAlign w:val="bottom"/>
          </w:tcPr>
          <w:p>
            <w:pPr>
              <w:ind w:left="160"/>
              <w:spacing w:after="0"/>
              <w:rPr>
                <w:sz w:val="20"/>
                <w:szCs w:val="20"/>
                <w:color w:val="auto"/>
              </w:rPr>
            </w:pPr>
            <w:r>
              <w:rPr>
                <w:rFonts w:ascii="Arial" w:cs="Arial" w:eastAsia="Arial" w:hAnsi="Arial"/>
                <w:sz w:val="17"/>
                <w:szCs w:val="17"/>
                <w:color w:val="auto"/>
              </w:rPr>
              <w:t>Bank owned life insurance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81,490</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81,294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80,790</w:t>
            </w:r>
          </w:p>
        </w:tc>
      </w:tr>
      <w:tr>
        <w:trPr>
          <w:trHeight w:val="205"/>
        </w:trPr>
        <w:tc>
          <w:tcPr>
            <w:tcW w:w="7320" w:type="dxa"/>
            <w:vAlign w:val="bottom"/>
            <w:shd w:val="clear" w:color="auto" w:fill="F0FFFF"/>
          </w:tcPr>
          <w:p>
            <w:pPr>
              <w:ind w:left="160"/>
              <w:spacing w:after="0"/>
              <w:rPr>
                <w:sz w:val="20"/>
                <w:szCs w:val="20"/>
                <w:color w:val="auto"/>
              </w:rPr>
            </w:pPr>
            <w:r>
              <w:rPr>
                <w:rFonts w:ascii="Arial" w:cs="Arial" w:eastAsia="Arial" w:hAnsi="Arial"/>
                <w:sz w:val="17"/>
                <w:szCs w:val="17"/>
                <w:color w:val="auto"/>
              </w:rPr>
              <w:t>Accrued interest receivable</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20,154</w:t>
            </w:r>
          </w:p>
        </w:tc>
        <w:tc>
          <w:tcPr>
            <w:tcW w:w="24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20,103</w:t>
            </w: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18,572</w:t>
            </w:r>
          </w:p>
        </w:tc>
      </w:tr>
      <w:tr>
        <w:trPr>
          <w:trHeight w:val="205"/>
        </w:trPr>
        <w:tc>
          <w:tcPr>
            <w:tcW w:w="7320" w:type="dxa"/>
            <w:vAlign w:val="bottom"/>
          </w:tcPr>
          <w:p>
            <w:pPr>
              <w:ind w:left="160"/>
              <w:spacing w:after="0"/>
              <w:rPr>
                <w:sz w:val="20"/>
                <w:szCs w:val="20"/>
                <w:color w:val="auto"/>
              </w:rPr>
            </w:pPr>
            <w:r>
              <w:rPr>
                <w:rFonts w:ascii="Arial" w:cs="Arial" w:eastAsia="Arial" w:hAnsi="Arial"/>
                <w:sz w:val="17"/>
                <w:szCs w:val="17"/>
                <w:color w:val="auto"/>
              </w:rPr>
              <w:t>Net deferred tax asset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201,898</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215,503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243,683</w:t>
            </w:r>
          </w:p>
        </w:tc>
      </w:tr>
      <w:tr>
        <w:trPr>
          <w:trHeight w:val="205"/>
        </w:trPr>
        <w:tc>
          <w:tcPr>
            <w:tcW w:w="7320" w:type="dxa"/>
            <w:vAlign w:val="bottom"/>
            <w:shd w:val="clear" w:color="auto" w:fill="F0FFFF"/>
          </w:tcPr>
          <w:p>
            <w:pPr>
              <w:ind w:left="160"/>
              <w:spacing w:after="0"/>
              <w:rPr>
                <w:sz w:val="20"/>
                <w:szCs w:val="20"/>
                <w:color w:val="auto"/>
              </w:rPr>
            </w:pPr>
            <w:r>
              <w:rPr>
                <w:rFonts w:ascii="Arial" w:cs="Arial" w:eastAsia="Arial" w:hAnsi="Arial"/>
                <w:sz w:val="17"/>
                <w:szCs w:val="17"/>
                <w:color w:val="auto"/>
              </w:rPr>
              <w:t>Derivative financial instruments</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20,291</w:t>
            </w:r>
          </w:p>
        </w:tc>
        <w:tc>
          <w:tcPr>
            <w:tcW w:w="24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20,599</w:t>
            </w: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21,563</w:t>
            </w:r>
          </w:p>
        </w:tc>
      </w:tr>
      <w:tr>
        <w:trPr>
          <w:trHeight w:val="205"/>
        </w:trPr>
        <w:tc>
          <w:tcPr>
            <w:tcW w:w="7320" w:type="dxa"/>
            <w:vAlign w:val="bottom"/>
          </w:tcPr>
          <w:p>
            <w:pPr>
              <w:ind w:left="160"/>
              <w:spacing w:after="0"/>
              <w:rPr>
                <w:sz w:val="20"/>
                <w:szCs w:val="20"/>
                <w:color w:val="auto"/>
              </w:rPr>
            </w:pPr>
            <w:r>
              <w:rPr>
                <w:rFonts w:ascii="Arial" w:cs="Arial" w:eastAsia="Arial" w:hAnsi="Arial"/>
                <w:sz w:val="17"/>
                <w:szCs w:val="17"/>
                <w:color w:val="auto"/>
              </w:rPr>
              <w:t>Other assets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60,764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61,889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43,604</w:t>
            </w:r>
          </w:p>
        </w:tc>
      </w:tr>
      <w:tr>
        <w:trPr>
          <w:trHeight w:val="26"/>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7320" w:type="dxa"/>
            <w:vAlign w:val="bottom"/>
            <w:shd w:val="clear" w:color="auto" w:fill="F0FFFF"/>
          </w:tcPr>
          <w:p>
            <w:pPr>
              <w:ind w:left="320"/>
              <w:spacing w:after="0"/>
              <w:rPr>
                <w:sz w:val="20"/>
                <w:szCs w:val="20"/>
                <w:color w:val="auto"/>
              </w:rPr>
            </w:pPr>
            <w:r>
              <w:rPr>
                <w:rFonts w:ascii="Arial" w:cs="Arial" w:eastAsia="Arial" w:hAnsi="Arial"/>
                <w:sz w:val="17"/>
                <w:szCs w:val="17"/>
                <w:b w:val="1"/>
                <w:bCs w:val="1"/>
                <w:color w:val="auto"/>
              </w:rPr>
              <w:t>Total assets</w:t>
            </w:r>
          </w:p>
        </w:tc>
        <w:tc>
          <w:tcPr>
            <w:tcW w:w="26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7,663,903</w:t>
            </w:r>
          </w:p>
        </w:tc>
        <w:tc>
          <w:tcPr>
            <w:tcW w:w="240" w:type="dxa"/>
            <w:vAlign w:val="bottom"/>
            <w:shd w:val="clear" w:color="auto" w:fill="F0FFFF"/>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7,566,986</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7,398,237</w:t>
            </w:r>
          </w:p>
        </w:tc>
        <w:tc>
          <w:tcPr>
            <w:tcW w:w="100" w:type="dxa"/>
            <w:vAlign w:val="bottom"/>
            <w:shd w:val="clear" w:color="auto" w:fill="F0FFFF"/>
          </w:tcPr>
          <w:p>
            <w:pPr>
              <w:spacing w:after="0"/>
              <w:rPr>
                <w:sz w:val="21"/>
                <w:szCs w:val="21"/>
                <w:color w:val="auto"/>
              </w:rPr>
            </w:pPr>
          </w:p>
        </w:tc>
      </w:tr>
      <w:tr>
        <w:trPr>
          <w:trHeight w:val="196"/>
        </w:trPr>
        <w:tc>
          <w:tcPr>
            <w:tcW w:w="7320" w:type="dxa"/>
            <w:vAlign w:val="bottom"/>
            <w:tcBorders>
              <w:top w:val="single" w:sz="8" w:color="F0FFFF"/>
            </w:tcBorders>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2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r>
      <w:tr>
        <w:trPr>
          <w:trHeight w:val="205"/>
        </w:trPr>
        <w:tc>
          <w:tcPr>
            <w:tcW w:w="7320" w:type="dxa"/>
            <w:vAlign w:val="bottom"/>
            <w:shd w:val="clear" w:color="auto" w:fill="F0FFFF"/>
          </w:tcPr>
          <w:p>
            <w:pPr>
              <w:spacing w:after="0"/>
              <w:rPr>
                <w:sz w:val="20"/>
                <w:szCs w:val="20"/>
                <w:color w:val="auto"/>
              </w:rPr>
            </w:pPr>
            <w:r>
              <w:rPr>
                <w:rFonts w:ascii="Arial" w:cs="Arial" w:eastAsia="Arial" w:hAnsi="Arial"/>
                <w:sz w:val="17"/>
                <w:szCs w:val="17"/>
                <w:color w:val="auto"/>
              </w:rPr>
              <w:t>Liabilities:</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7320" w:type="dxa"/>
            <w:vAlign w:val="bottom"/>
          </w:tcPr>
          <w:p>
            <w:pPr>
              <w:ind w:left="160"/>
              <w:spacing w:after="0"/>
              <w:rPr>
                <w:sz w:val="20"/>
                <w:szCs w:val="20"/>
                <w:color w:val="auto"/>
              </w:rPr>
            </w:pPr>
            <w:r>
              <w:rPr>
                <w:rFonts w:ascii="Arial" w:cs="Arial" w:eastAsia="Arial" w:hAnsi="Arial"/>
                <w:sz w:val="17"/>
                <w:szCs w:val="17"/>
                <w:color w:val="auto"/>
              </w:rPr>
              <w:t>Deposits: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F0FFFF"/>
          </w:tcPr>
          <w:p>
            <w:pPr>
              <w:ind w:left="300"/>
              <w:spacing w:after="0"/>
              <w:rPr>
                <w:sz w:val="20"/>
                <w:szCs w:val="20"/>
                <w:color w:val="auto"/>
              </w:rPr>
            </w:pPr>
            <w:r>
              <w:rPr>
                <w:rFonts w:ascii="Arial" w:cs="Arial" w:eastAsia="Arial" w:hAnsi="Arial"/>
                <w:sz w:val="17"/>
                <w:szCs w:val="17"/>
                <w:color w:val="auto"/>
              </w:rPr>
              <w:t>Demand</w:t>
            </w:r>
          </w:p>
        </w:tc>
        <w:tc>
          <w:tcPr>
            <w:tcW w:w="26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1,694,755</w:t>
            </w:r>
          </w:p>
        </w:tc>
        <w:tc>
          <w:tcPr>
            <w:tcW w:w="240" w:type="dxa"/>
            <w:vAlign w:val="bottom"/>
            <w:shd w:val="clear" w:color="auto" w:fill="F0FFFF"/>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1,574,317</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1,471,781</w:t>
            </w:r>
          </w:p>
        </w:tc>
        <w:tc>
          <w:tcPr>
            <w:tcW w:w="100" w:type="dxa"/>
            <w:vAlign w:val="bottom"/>
            <w:shd w:val="clear" w:color="auto" w:fill="F0FFFF"/>
          </w:tcPr>
          <w:p>
            <w:pPr>
              <w:spacing w:after="0"/>
              <w:rPr>
                <w:sz w:val="17"/>
                <w:szCs w:val="17"/>
                <w:color w:val="auto"/>
              </w:rPr>
            </w:pPr>
          </w:p>
        </w:tc>
      </w:tr>
      <w:tr>
        <w:trPr>
          <w:trHeight w:val="205"/>
        </w:trPr>
        <w:tc>
          <w:tcPr>
            <w:tcW w:w="7320" w:type="dxa"/>
            <w:vAlign w:val="bottom"/>
          </w:tcPr>
          <w:p>
            <w:pPr>
              <w:ind w:left="300"/>
              <w:spacing w:after="0"/>
              <w:rPr>
                <w:sz w:val="20"/>
                <w:szCs w:val="20"/>
                <w:color w:val="auto"/>
              </w:rPr>
            </w:pPr>
            <w:r>
              <w:rPr>
                <w:rFonts w:ascii="Arial" w:cs="Arial" w:eastAsia="Arial" w:hAnsi="Arial"/>
                <w:sz w:val="17"/>
                <w:szCs w:val="17"/>
                <w:color w:val="auto"/>
              </w:rPr>
              <w:t>NOW</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1,420,956</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1,504,887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1,392,863</w:t>
            </w:r>
          </w:p>
        </w:tc>
        <w:tc>
          <w:tcPr>
            <w:tcW w:w="100" w:type="dxa"/>
            <w:vAlign w:val="bottom"/>
          </w:tcPr>
          <w:p>
            <w:pPr>
              <w:spacing w:after="0"/>
              <w:rPr>
                <w:sz w:val="17"/>
                <w:szCs w:val="17"/>
                <w:color w:val="auto"/>
              </w:rPr>
            </w:pPr>
          </w:p>
        </w:tc>
      </w:tr>
      <w:tr>
        <w:trPr>
          <w:trHeight w:val="205"/>
        </w:trPr>
        <w:tc>
          <w:tcPr>
            <w:tcW w:w="7320" w:type="dxa"/>
            <w:vAlign w:val="bottom"/>
            <w:shd w:val="clear" w:color="auto" w:fill="F0FFFF"/>
          </w:tcPr>
          <w:p>
            <w:pPr>
              <w:ind w:left="300"/>
              <w:spacing w:after="0"/>
              <w:rPr>
                <w:sz w:val="20"/>
                <w:szCs w:val="20"/>
                <w:color w:val="auto"/>
              </w:rPr>
            </w:pPr>
            <w:r>
              <w:rPr>
                <w:rFonts w:ascii="Arial" w:cs="Arial" w:eastAsia="Arial" w:hAnsi="Arial"/>
                <w:sz w:val="17"/>
                <w:szCs w:val="17"/>
                <w:color w:val="auto"/>
              </w:rPr>
              <w:t>Money market</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1,306,421</w:t>
            </w:r>
          </w:p>
        </w:tc>
        <w:tc>
          <w:tcPr>
            <w:tcW w:w="24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1,273,283</w:t>
            </w: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1,235,429</w:t>
            </w:r>
          </w:p>
        </w:tc>
        <w:tc>
          <w:tcPr>
            <w:tcW w:w="100" w:type="dxa"/>
            <w:vAlign w:val="bottom"/>
            <w:shd w:val="clear" w:color="auto" w:fill="F0FFFF"/>
          </w:tcPr>
          <w:p>
            <w:pPr>
              <w:spacing w:after="0"/>
              <w:rPr>
                <w:sz w:val="17"/>
                <w:szCs w:val="17"/>
                <w:color w:val="auto"/>
              </w:rPr>
            </w:pPr>
          </w:p>
        </w:tc>
      </w:tr>
      <w:tr>
        <w:trPr>
          <w:trHeight w:val="205"/>
        </w:trPr>
        <w:tc>
          <w:tcPr>
            <w:tcW w:w="7320" w:type="dxa"/>
            <w:vAlign w:val="bottom"/>
          </w:tcPr>
          <w:p>
            <w:pPr>
              <w:ind w:left="300"/>
              <w:spacing w:after="0"/>
              <w:rPr>
                <w:sz w:val="20"/>
                <w:szCs w:val="20"/>
                <w:color w:val="auto"/>
              </w:rPr>
            </w:pPr>
            <w:r>
              <w:rPr>
                <w:rFonts w:ascii="Arial" w:cs="Arial" w:eastAsia="Arial" w:hAnsi="Arial"/>
                <w:sz w:val="17"/>
                <w:szCs w:val="17"/>
                <w:color w:val="auto"/>
              </w:rPr>
              <w:t>Savings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312,013</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292,308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270,910</w:t>
            </w:r>
          </w:p>
        </w:tc>
      </w:tr>
      <w:tr>
        <w:trPr>
          <w:trHeight w:val="205"/>
        </w:trPr>
        <w:tc>
          <w:tcPr>
            <w:tcW w:w="7320" w:type="dxa"/>
            <w:vAlign w:val="bottom"/>
            <w:shd w:val="clear" w:color="auto" w:fill="F0FFFF"/>
          </w:tcPr>
          <w:p>
            <w:pPr>
              <w:ind w:left="300"/>
              <w:spacing w:after="0"/>
              <w:rPr>
                <w:sz w:val="20"/>
                <w:szCs w:val="20"/>
                <w:color w:val="auto"/>
              </w:rPr>
            </w:pPr>
            <w:r>
              <w:rPr>
                <w:rFonts w:ascii="Arial" w:cs="Arial" w:eastAsia="Arial" w:hAnsi="Arial"/>
                <w:sz w:val="17"/>
                <w:szCs w:val="17"/>
                <w:color w:val="auto"/>
              </w:rPr>
              <w:t>Time:</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7320" w:type="dxa"/>
            <w:vAlign w:val="bottom"/>
          </w:tcPr>
          <w:p>
            <w:pPr>
              <w:ind w:left="520"/>
              <w:spacing w:after="0"/>
              <w:rPr>
                <w:sz w:val="20"/>
                <w:szCs w:val="20"/>
                <w:color w:val="auto"/>
              </w:rPr>
            </w:pPr>
            <w:r>
              <w:rPr>
                <w:rFonts w:ascii="Arial" w:cs="Arial" w:eastAsia="Arial" w:hAnsi="Arial"/>
                <w:sz w:val="17"/>
                <w:szCs w:val="17"/>
                <w:color w:val="auto"/>
              </w:rPr>
              <w:t>Less than $100,000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723,323</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748,478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833,188</w:t>
            </w:r>
          </w:p>
        </w:tc>
      </w:tr>
      <w:tr>
        <w:trPr>
          <w:trHeight w:val="205"/>
        </w:trPr>
        <w:tc>
          <w:tcPr>
            <w:tcW w:w="7320" w:type="dxa"/>
            <w:vAlign w:val="bottom"/>
            <w:shd w:val="clear" w:color="auto" w:fill="F0FFFF"/>
          </w:tcPr>
          <w:p>
            <w:pPr>
              <w:ind w:left="520"/>
              <w:spacing w:after="0"/>
              <w:rPr>
                <w:sz w:val="20"/>
                <w:szCs w:val="20"/>
                <w:color w:val="auto"/>
              </w:rPr>
            </w:pPr>
            <w:r>
              <w:rPr>
                <w:rFonts w:ascii="Arial" w:cs="Arial" w:eastAsia="Arial" w:hAnsi="Arial"/>
                <w:sz w:val="17"/>
                <w:szCs w:val="17"/>
                <w:color w:val="auto"/>
              </w:rPr>
              <w:t>Greater than $100,000</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482,955</w:t>
            </w:r>
          </w:p>
        </w:tc>
        <w:tc>
          <w:tcPr>
            <w:tcW w:w="24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508,228</w:t>
            </w: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572,889</w:t>
            </w:r>
          </w:p>
        </w:tc>
      </w:tr>
      <w:tr>
        <w:trPr>
          <w:trHeight w:val="211"/>
        </w:trPr>
        <w:tc>
          <w:tcPr>
            <w:tcW w:w="7320" w:type="dxa"/>
            <w:vAlign w:val="bottom"/>
          </w:tcPr>
          <w:p>
            <w:pPr>
              <w:ind w:left="320"/>
              <w:spacing w:after="0"/>
              <w:rPr>
                <w:sz w:val="20"/>
                <w:szCs w:val="20"/>
                <w:color w:val="auto"/>
              </w:rPr>
            </w:pPr>
            <w:r>
              <w:rPr>
                <w:rFonts w:ascii="Arial" w:cs="Arial" w:eastAsia="Arial" w:hAnsi="Arial"/>
                <w:sz w:val="17"/>
                <w:szCs w:val="17"/>
                <w:color w:val="auto"/>
              </w:rPr>
              <w:t>Brokered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497,508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425,011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470,481</w:t>
            </w:r>
          </w:p>
        </w:tc>
      </w:tr>
      <w:tr>
        <w:trPr>
          <w:trHeight w:val="205"/>
        </w:trPr>
        <w:tc>
          <w:tcPr>
            <w:tcW w:w="7320" w:type="dxa"/>
            <w:vAlign w:val="bottom"/>
            <w:shd w:val="clear" w:color="auto" w:fill="F0FFFF"/>
          </w:tcPr>
          <w:p>
            <w:pPr>
              <w:ind w:left="900"/>
              <w:spacing w:after="0"/>
              <w:rPr>
                <w:sz w:val="20"/>
                <w:szCs w:val="20"/>
                <w:color w:val="auto"/>
              </w:rPr>
            </w:pPr>
            <w:r>
              <w:rPr>
                <w:rFonts w:ascii="Arial" w:cs="Arial" w:eastAsia="Arial" w:hAnsi="Arial"/>
                <w:sz w:val="17"/>
                <w:szCs w:val="17"/>
                <w:color w:val="auto"/>
              </w:rPr>
              <w:t>Total deposits</w:t>
            </w:r>
          </w:p>
        </w:tc>
        <w:tc>
          <w:tcPr>
            <w:tcW w:w="120" w:type="dxa"/>
            <w:vAlign w:val="bottom"/>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6,437,931</w:t>
            </w:r>
          </w:p>
        </w:tc>
        <w:tc>
          <w:tcPr>
            <w:tcW w:w="220" w:type="dxa"/>
            <w:vAlign w:val="bottom"/>
            <w:shd w:val="clear" w:color="auto" w:fill="F0FFFF"/>
          </w:tcPr>
          <w:p>
            <w:pPr>
              <w:spacing w:after="0"/>
              <w:rPr>
                <w:sz w:val="17"/>
                <w:szCs w:val="17"/>
                <w:color w:val="auto"/>
              </w:rPr>
            </w:pPr>
          </w:p>
        </w:tc>
        <w:tc>
          <w:tcPr>
            <w:tcW w:w="240" w:type="dxa"/>
            <w:vAlign w:val="bottom"/>
            <w:tcBorders>
              <w:top w:val="single" w:sz="8" w:color="auto"/>
            </w:tcBorders>
            <w:shd w:val="clear" w:color="auto" w:fill="F0FFFF"/>
          </w:tcPr>
          <w:p>
            <w:pPr>
              <w:spacing w:after="0"/>
              <w:rPr>
                <w:sz w:val="17"/>
                <w:szCs w:val="17"/>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6,326,512</w:t>
            </w: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6,247,541</w:t>
            </w:r>
          </w:p>
        </w:tc>
        <w:tc>
          <w:tcPr>
            <w:tcW w:w="100" w:type="dxa"/>
            <w:vAlign w:val="bottom"/>
            <w:shd w:val="clear" w:color="auto" w:fill="F0FFFF"/>
          </w:tcPr>
          <w:p>
            <w:pPr>
              <w:spacing w:after="0"/>
              <w:rPr>
                <w:sz w:val="17"/>
                <w:szCs w:val="17"/>
                <w:color w:val="auto"/>
              </w:rPr>
            </w:pPr>
          </w:p>
        </w:tc>
      </w:tr>
      <w:tr>
        <w:trPr>
          <w:trHeight w:val="205"/>
        </w:trPr>
        <w:tc>
          <w:tcPr>
            <w:tcW w:w="7320" w:type="dxa"/>
            <w:vAlign w:val="bottom"/>
          </w:tcPr>
          <w:p>
            <w:pPr>
              <w:ind w:left="160"/>
              <w:spacing w:after="0"/>
              <w:rPr>
                <w:sz w:val="20"/>
                <w:szCs w:val="20"/>
                <w:color w:val="auto"/>
              </w:rPr>
            </w:pPr>
            <w:r>
              <w:rPr>
                <w:rFonts w:ascii="Arial" w:cs="Arial" w:eastAsia="Arial" w:hAnsi="Arial"/>
                <w:sz w:val="17"/>
                <w:szCs w:val="17"/>
                <w:color w:val="auto"/>
              </w:rPr>
              <w:t>Repurchase agreements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6,000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123,075</w:t>
            </w:r>
          </w:p>
        </w:tc>
      </w:tr>
      <w:tr>
        <w:trPr>
          <w:trHeight w:val="205"/>
        </w:trPr>
        <w:tc>
          <w:tcPr>
            <w:tcW w:w="7320" w:type="dxa"/>
            <w:vAlign w:val="bottom"/>
            <w:shd w:val="clear" w:color="auto" w:fill="F0FFFF"/>
          </w:tcPr>
          <w:p>
            <w:pPr>
              <w:ind w:left="160"/>
              <w:spacing w:after="0"/>
              <w:rPr>
                <w:sz w:val="20"/>
                <w:szCs w:val="20"/>
                <w:color w:val="auto"/>
              </w:rPr>
            </w:pPr>
            <w:r>
              <w:rPr>
                <w:rFonts w:ascii="Arial" w:cs="Arial" w:eastAsia="Arial" w:hAnsi="Arial"/>
                <w:sz w:val="17"/>
                <w:szCs w:val="17"/>
                <w:color w:val="auto"/>
              </w:rPr>
              <w:t>Federal Home Loan Bank advances</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270,125</w:t>
            </w:r>
          </w:p>
        </w:tc>
        <w:tc>
          <w:tcPr>
            <w:tcW w:w="24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270,125</w:t>
            </w: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50,125</w:t>
            </w:r>
          </w:p>
        </w:tc>
      </w:tr>
      <w:tr>
        <w:trPr>
          <w:trHeight w:val="205"/>
        </w:trPr>
        <w:tc>
          <w:tcPr>
            <w:tcW w:w="7320" w:type="dxa"/>
            <w:vAlign w:val="bottom"/>
          </w:tcPr>
          <w:p>
            <w:pPr>
              <w:ind w:left="160"/>
              <w:spacing w:after="0"/>
              <w:rPr>
                <w:sz w:val="20"/>
                <w:szCs w:val="20"/>
                <w:color w:val="auto"/>
              </w:rPr>
            </w:pPr>
            <w:r>
              <w:rPr>
                <w:rFonts w:ascii="Arial" w:cs="Arial" w:eastAsia="Arial" w:hAnsi="Arial"/>
                <w:sz w:val="17"/>
                <w:szCs w:val="17"/>
                <w:color w:val="auto"/>
              </w:rPr>
              <w:t>Long-term debt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113,901</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129,865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129,865</w:t>
            </w:r>
          </w:p>
        </w:tc>
      </w:tr>
      <w:tr>
        <w:trPr>
          <w:trHeight w:val="205"/>
        </w:trPr>
        <w:tc>
          <w:tcPr>
            <w:tcW w:w="7320" w:type="dxa"/>
            <w:vAlign w:val="bottom"/>
            <w:shd w:val="clear" w:color="auto" w:fill="F0FFFF"/>
          </w:tcPr>
          <w:p>
            <w:pPr>
              <w:ind w:left="160"/>
              <w:spacing w:after="0"/>
              <w:rPr>
                <w:sz w:val="20"/>
                <w:szCs w:val="20"/>
                <w:color w:val="auto"/>
              </w:rPr>
            </w:pPr>
            <w:r>
              <w:rPr>
                <w:rFonts w:ascii="Arial" w:cs="Arial" w:eastAsia="Arial" w:hAnsi="Arial"/>
                <w:sz w:val="17"/>
                <w:szCs w:val="17"/>
                <w:color w:val="auto"/>
              </w:rPr>
              <w:t>Derivative financial instruments</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29,276</w:t>
            </w:r>
          </w:p>
        </w:tc>
        <w:tc>
          <w:tcPr>
            <w:tcW w:w="24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31,997</w:t>
            </w: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42,309</w:t>
            </w:r>
          </w:p>
        </w:tc>
      </w:tr>
      <w:tr>
        <w:trPr>
          <w:trHeight w:val="205"/>
        </w:trPr>
        <w:tc>
          <w:tcPr>
            <w:tcW w:w="7320" w:type="dxa"/>
            <w:vAlign w:val="bottom"/>
          </w:tcPr>
          <w:p>
            <w:pPr>
              <w:ind w:left="160"/>
              <w:spacing w:after="0"/>
              <w:rPr>
                <w:sz w:val="20"/>
                <w:szCs w:val="20"/>
                <w:color w:val="auto"/>
              </w:rPr>
            </w:pPr>
            <w:r>
              <w:rPr>
                <w:rFonts w:ascii="Arial" w:cs="Arial" w:eastAsia="Arial" w:hAnsi="Arial"/>
                <w:sz w:val="17"/>
                <w:szCs w:val="17"/>
                <w:color w:val="auto"/>
              </w:rPr>
              <w:t>Unsettled securities purchases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5,425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63,999</w:t>
            </w:r>
          </w:p>
        </w:tc>
      </w:tr>
      <w:tr>
        <w:trPr>
          <w:trHeight w:val="211"/>
        </w:trPr>
        <w:tc>
          <w:tcPr>
            <w:tcW w:w="7320" w:type="dxa"/>
            <w:vAlign w:val="bottom"/>
            <w:shd w:val="clear" w:color="auto" w:fill="F0FFFF"/>
          </w:tcPr>
          <w:p>
            <w:pPr>
              <w:ind w:left="160"/>
              <w:spacing w:after="0"/>
              <w:rPr>
                <w:sz w:val="20"/>
                <w:szCs w:val="20"/>
                <w:color w:val="auto"/>
              </w:rPr>
            </w:pPr>
            <w:r>
              <w:rPr>
                <w:rFonts w:ascii="Arial" w:cs="Arial" w:eastAsia="Arial" w:hAnsi="Arial"/>
                <w:sz w:val="17"/>
                <w:szCs w:val="17"/>
                <w:color w:val="auto"/>
              </w:rPr>
              <w:t>Accrued expenses and other liabilities</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48,965</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57,485</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37,593</w:t>
            </w:r>
          </w:p>
        </w:tc>
      </w:tr>
      <w:tr>
        <w:trPr>
          <w:trHeight w:val="211"/>
        </w:trPr>
        <w:tc>
          <w:tcPr>
            <w:tcW w:w="7320" w:type="dxa"/>
            <w:vAlign w:val="bottom"/>
            <w:tcBorders>
              <w:top w:val="single" w:sz="8" w:color="F0FFFF"/>
            </w:tcBorders>
          </w:tcPr>
          <w:p>
            <w:pPr>
              <w:ind w:left="320"/>
              <w:spacing w:after="0"/>
              <w:rPr>
                <w:sz w:val="20"/>
                <w:szCs w:val="20"/>
                <w:color w:val="auto"/>
              </w:rPr>
            </w:pPr>
            <w:r>
              <w:rPr>
                <w:rFonts w:ascii="Arial" w:cs="Arial" w:eastAsia="Arial" w:hAnsi="Arial"/>
                <w:sz w:val="17"/>
                <w:szCs w:val="17"/>
                <w:b w:val="1"/>
                <w:bCs w:val="1"/>
                <w:color w:val="auto"/>
              </w:rPr>
              <w:t>Total liabilities</w:t>
            </w:r>
          </w:p>
        </w:tc>
        <w:tc>
          <w:tcPr>
            <w:tcW w:w="12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6,900,198</w:t>
            </w:r>
          </w:p>
        </w:tc>
        <w:tc>
          <w:tcPr>
            <w:tcW w:w="22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6,827,409</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6,694,507</w:t>
            </w:r>
          </w:p>
        </w:tc>
        <w:tc>
          <w:tcPr>
            <w:tcW w:w="100" w:type="dxa"/>
            <w:vAlign w:val="bottom"/>
            <w:tcBorders>
              <w:top w:val="single" w:sz="8" w:color="F0FFFF"/>
            </w:tcBorders>
          </w:tcPr>
          <w:p>
            <w:pPr>
              <w:spacing w:after="0"/>
              <w:rPr>
                <w:sz w:val="18"/>
                <w:szCs w:val="18"/>
                <w:color w:val="auto"/>
              </w:rPr>
            </w:pPr>
          </w:p>
        </w:tc>
      </w:tr>
      <w:tr>
        <w:trPr>
          <w:trHeight w:val="205"/>
        </w:trPr>
        <w:tc>
          <w:tcPr>
            <w:tcW w:w="7320" w:type="dxa"/>
            <w:vAlign w:val="bottom"/>
            <w:shd w:val="clear" w:color="auto" w:fill="F0FFFF"/>
          </w:tcPr>
          <w:p>
            <w:pPr>
              <w:spacing w:after="0"/>
              <w:rPr>
                <w:sz w:val="20"/>
                <w:szCs w:val="20"/>
                <w:color w:val="auto"/>
              </w:rPr>
            </w:pPr>
            <w:r>
              <w:rPr>
                <w:rFonts w:ascii="Arial" w:cs="Arial" w:eastAsia="Arial" w:hAnsi="Arial"/>
                <w:sz w:val="17"/>
                <w:szCs w:val="17"/>
                <w:color w:val="auto"/>
              </w:rPr>
              <w:t>Shareholders’ equity:</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7320" w:type="dxa"/>
            <w:vAlign w:val="bottom"/>
          </w:tcPr>
          <w:p>
            <w:pPr>
              <w:ind w:left="180"/>
              <w:spacing w:after="0"/>
              <w:rPr>
                <w:sz w:val="20"/>
                <w:szCs w:val="20"/>
                <w:color w:val="auto"/>
              </w:rPr>
            </w:pPr>
            <w:r>
              <w:rPr>
                <w:rFonts w:ascii="Arial" w:cs="Arial" w:eastAsia="Arial" w:hAnsi="Arial"/>
                <w:sz w:val="17"/>
                <w:szCs w:val="17"/>
                <w:color w:val="auto"/>
              </w:rPr>
              <w:t>Common stock, $1 par value; 100,000,000 shares authorized;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F0FFFF"/>
          </w:tcPr>
          <w:p>
            <w:pPr>
              <w:ind w:left="320"/>
              <w:spacing w:after="0"/>
              <w:rPr>
                <w:sz w:val="20"/>
                <w:szCs w:val="20"/>
                <w:color w:val="auto"/>
              </w:rPr>
            </w:pPr>
            <w:r>
              <w:rPr>
                <w:rFonts w:ascii="Arial" w:cs="Arial" w:eastAsia="Arial" w:hAnsi="Arial"/>
                <w:sz w:val="17"/>
                <w:szCs w:val="17"/>
                <w:color w:val="auto"/>
              </w:rPr>
              <w:t>50,228,075, 50,178,605 and 50,011,094 shares issued and outstanding</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50,228</w:t>
            </w:r>
          </w:p>
        </w:tc>
        <w:tc>
          <w:tcPr>
            <w:tcW w:w="24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50,178</w:t>
            </w: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50,011</w:t>
            </w:r>
          </w:p>
        </w:tc>
      </w:tr>
      <w:tr>
        <w:trPr>
          <w:trHeight w:val="205"/>
        </w:trPr>
        <w:tc>
          <w:tcPr>
            <w:tcW w:w="7320" w:type="dxa"/>
            <w:vAlign w:val="bottom"/>
          </w:tcPr>
          <w:p>
            <w:pPr>
              <w:ind w:left="180"/>
              <w:spacing w:after="0"/>
              <w:rPr>
                <w:sz w:val="20"/>
                <w:szCs w:val="20"/>
                <w:color w:val="auto"/>
              </w:rPr>
            </w:pPr>
            <w:r>
              <w:rPr>
                <w:rFonts w:ascii="Arial" w:cs="Arial" w:eastAsia="Arial" w:hAnsi="Arial"/>
                <w:sz w:val="17"/>
                <w:szCs w:val="17"/>
                <w:color w:val="auto"/>
              </w:rPr>
              <w:t>Common stock, non-voting, $1 par value; 26,000,000 shares authorized;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320" w:type="dxa"/>
            <w:vAlign w:val="bottom"/>
            <w:shd w:val="clear" w:color="auto" w:fill="F0FFFF"/>
          </w:tcPr>
          <w:p>
            <w:pPr>
              <w:ind w:left="320"/>
              <w:spacing w:after="0"/>
              <w:rPr>
                <w:sz w:val="20"/>
                <w:szCs w:val="20"/>
                <w:color w:val="auto"/>
              </w:rPr>
            </w:pPr>
            <w:r>
              <w:rPr>
                <w:rFonts w:ascii="Arial" w:cs="Arial" w:eastAsia="Arial" w:hAnsi="Arial"/>
                <w:sz w:val="17"/>
                <w:szCs w:val="17"/>
                <w:color w:val="auto"/>
              </w:rPr>
              <w:t>10,080,787, 10,080,787 and 10,080,787 shares issued and outstanding</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10,081</w:t>
            </w:r>
          </w:p>
        </w:tc>
        <w:tc>
          <w:tcPr>
            <w:tcW w:w="24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10,081</w:t>
            </w: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10,081</w:t>
            </w:r>
          </w:p>
        </w:tc>
      </w:tr>
      <w:tr>
        <w:trPr>
          <w:trHeight w:val="205"/>
        </w:trPr>
        <w:tc>
          <w:tcPr>
            <w:tcW w:w="7320" w:type="dxa"/>
            <w:vAlign w:val="bottom"/>
          </w:tcPr>
          <w:p>
            <w:pPr>
              <w:ind w:left="180"/>
              <w:spacing w:after="0"/>
              <w:rPr>
                <w:sz w:val="20"/>
                <w:szCs w:val="20"/>
                <w:color w:val="auto"/>
              </w:rPr>
            </w:pPr>
            <w:r>
              <w:rPr>
                <w:rFonts w:ascii="Arial" w:cs="Arial" w:eastAsia="Arial" w:hAnsi="Arial"/>
                <w:sz w:val="17"/>
                <w:szCs w:val="17"/>
                <w:color w:val="auto"/>
              </w:rPr>
              <w:t>Common stock issuable; 400,369, 357,983 and 237,763 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5,895</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5,168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3,840</w:t>
            </w:r>
          </w:p>
        </w:tc>
      </w:tr>
      <w:tr>
        <w:trPr>
          <w:trHeight w:val="205"/>
        </w:trPr>
        <w:tc>
          <w:tcPr>
            <w:tcW w:w="7320" w:type="dxa"/>
            <w:vAlign w:val="bottom"/>
            <w:shd w:val="clear" w:color="auto" w:fill="F0FFFF"/>
          </w:tcPr>
          <w:p>
            <w:pPr>
              <w:ind w:left="180"/>
              <w:spacing w:after="0"/>
              <w:rPr>
                <w:sz w:val="20"/>
                <w:szCs w:val="20"/>
                <w:color w:val="auto"/>
              </w:rPr>
            </w:pPr>
            <w:r>
              <w:rPr>
                <w:rFonts w:ascii="Arial" w:cs="Arial" w:eastAsia="Arial" w:hAnsi="Arial"/>
                <w:sz w:val="17"/>
                <w:szCs w:val="17"/>
                <w:color w:val="auto"/>
              </w:rPr>
              <w:t>Capital surplus</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1,081,110</w:t>
            </w:r>
          </w:p>
        </w:tc>
        <w:tc>
          <w:tcPr>
            <w:tcW w:w="24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1,080,508</w:t>
            </w: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1,091,696</w:t>
            </w:r>
          </w:p>
        </w:tc>
        <w:tc>
          <w:tcPr>
            <w:tcW w:w="100" w:type="dxa"/>
            <w:vAlign w:val="bottom"/>
            <w:shd w:val="clear" w:color="auto" w:fill="F0FFFF"/>
          </w:tcPr>
          <w:p>
            <w:pPr>
              <w:spacing w:after="0"/>
              <w:rPr>
                <w:sz w:val="17"/>
                <w:szCs w:val="17"/>
                <w:color w:val="auto"/>
              </w:rPr>
            </w:pPr>
          </w:p>
        </w:tc>
      </w:tr>
      <w:tr>
        <w:trPr>
          <w:trHeight w:val="205"/>
        </w:trPr>
        <w:tc>
          <w:tcPr>
            <w:tcW w:w="7320" w:type="dxa"/>
            <w:vAlign w:val="bottom"/>
          </w:tcPr>
          <w:p>
            <w:pPr>
              <w:ind w:left="160"/>
              <w:spacing w:after="0"/>
              <w:rPr>
                <w:sz w:val="20"/>
                <w:szCs w:val="20"/>
                <w:color w:val="auto"/>
              </w:rPr>
            </w:pPr>
            <w:r>
              <w:rPr>
                <w:rFonts w:ascii="Arial" w:cs="Arial" w:eastAsia="Arial" w:hAnsi="Arial"/>
                <w:sz w:val="17"/>
                <w:szCs w:val="17"/>
                <w:color w:val="auto"/>
              </w:rPr>
              <w:t>Accumulated deficit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(372,933)</w:t>
            </w: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(387,568)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(433,130)</w:t>
            </w:r>
          </w:p>
        </w:tc>
      </w:tr>
      <w:tr>
        <w:trPr>
          <w:trHeight w:val="205"/>
        </w:trPr>
        <w:tc>
          <w:tcPr>
            <w:tcW w:w="7320" w:type="dxa"/>
            <w:vAlign w:val="bottom"/>
            <w:shd w:val="clear" w:color="auto" w:fill="F0FFFF"/>
          </w:tcPr>
          <w:p>
            <w:pPr>
              <w:ind w:left="160"/>
              <w:spacing w:after="0"/>
              <w:rPr>
                <w:sz w:val="20"/>
                <w:szCs w:val="20"/>
                <w:color w:val="auto"/>
              </w:rPr>
            </w:pPr>
            <w:r>
              <w:rPr>
                <w:rFonts w:ascii="Arial" w:cs="Arial" w:eastAsia="Arial" w:hAnsi="Arial"/>
                <w:sz w:val="17"/>
                <w:szCs w:val="17"/>
                <w:color w:val="auto"/>
              </w:rPr>
              <w:t>Accumulated other comprehensive loss</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(10,676)</w:t>
            </w:r>
          </w:p>
        </w:tc>
        <w:tc>
          <w:tcPr>
            <w:tcW w:w="24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(18,790)</w:t>
            </w: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(18,768)</w:t>
            </w:r>
          </w:p>
        </w:tc>
      </w:tr>
      <w:tr>
        <w:trPr>
          <w:trHeight w:val="26"/>
        </w:trPr>
        <w:tc>
          <w:tcPr>
            <w:tcW w:w="73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05"/>
        </w:trPr>
        <w:tc>
          <w:tcPr>
            <w:tcW w:w="7320" w:type="dxa"/>
            <w:vAlign w:val="bottom"/>
          </w:tcPr>
          <w:p>
            <w:pPr>
              <w:ind w:left="340"/>
              <w:spacing w:after="0"/>
              <w:rPr>
                <w:sz w:val="20"/>
                <w:szCs w:val="20"/>
                <w:color w:val="auto"/>
              </w:rPr>
            </w:pPr>
            <w:r>
              <w:rPr>
                <w:rFonts w:ascii="Arial" w:cs="Arial" w:eastAsia="Arial" w:hAnsi="Arial"/>
                <w:sz w:val="17"/>
                <w:szCs w:val="17"/>
                <w:b w:val="1"/>
                <w:bCs w:val="1"/>
                <w:color w:val="auto"/>
              </w:rPr>
              <w:t>Total shareholders’ equity</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763,705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739,577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703,730</w:t>
            </w:r>
          </w:p>
        </w:tc>
      </w:tr>
      <w:tr>
        <w:trPr>
          <w:trHeight w:val="26"/>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320" w:type="dxa"/>
            <w:vAlign w:val="bottom"/>
            <w:shd w:val="clear" w:color="auto" w:fill="F0FFFF"/>
          </w:tcPr>
          <w:p>
            <w:pPr>
              <w:ind w:left="340"/>
              <w:spacing w:after="0"/>
              <w:rPr>
                <w:sz w:val="20"/>
                <w:szCs w:val="20"/>
                <w:color w:val="auto"/>
              </w:rPr>
            </w:pPr>
            <w:r>
              <w:rPr>
                <w:rFonts w:ascii="Arial" w:cs="Arial" w:eastAsia="Arial" w:hAnsi="Arial"/>
                <w:sz w:val="17"/>
                <w:szCs w:val="17"/>
                <w:b w:val="1"/>
                <w:bCs w:val="1"/>
                <w:color w:val="auto"/>
              </w:rPr>
              <w:t>Total liabilities and shareholders’ equity</w:t>
            </w:r>
          </w:p>
        </w:tc>
        <w:tc>
          <w:tcPr>
            <w:tcW w:w="26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7,663,903</w:t>
            </w:r>
          </w:p>
        </w:tc>
        <w:tc>
          <w:tcPr>
            <w:tcW w:w="240" w:type="dxa"/>
            <w:vAlign w:val="bottom"/>
            <w:shd w:val="clear" w:color="auto" w:fill="F0FFFF"/>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7,566,986</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7,398,237</w:t>
            </w:r>
          </w:p>
        </w:tc>
        <w:tc>
          <w:tcPr>
            <w:tcW w:w="100" w:type="dxa"/>
            <w:vAlign w:val="bottom"/>
            <w:shd w:val="clear" w:color="auto" w:fill="F0FFFF"/>
          </w:tcPr>
          <w:p>
            <w:pPr>
              <w:spacing w:after="0"/>
              <w:rPr>
                <w:sz w:val="19"/>
                <w:szCs w:val="19"/>
                <w:color w:val="auto"/>
              </w:rPr>
            </w:pPr>
          </w:p>
        </w:tc>
      </w:tr>
      <w:tr>
        <w:trPr>
          <w:trHeight w:val="20"/>
        </w:trPr>
        <w:tc>
          <w:tcPr>
            <w:tcW w:w="73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See accompanying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UNITED COMMUNITY BANKS,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Consolidated Statement of Changes in Shareholders’ Equity </w:t>
      </w:r>
      <w:r>
        <w:rPr>
          <w:rFonts w:ascii="Arial" w:cs="Arial" w:eastAsia="Arial" w:hAnsi="Arial"/>
          <w:sz w:val="17"/>
          <w:szCs w:val="17"/>
          <w:i w:val="1"/>
          <w:iCs w:val="1"/>
          <w:color w:val="auto"/>
        </w:rPr>
        <w:t>(Unaudited)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25360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89"/>
              </w:rPr>
              <w:t>Accumulated</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7"/>
        </w:trPr>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5"/>
          </w:tcPr>
          <w:p>
            <w:pPr>
              <w:ind w:left="160"/>
              <w:spacing w:after="0"/>
              <w:rPr>
                <w:sz w:val="20"/>
                <w:szCs w:val="20"/>
                <w:color w:val="auto"/>
              </w:rPr>
            </w:pPr>
            <w:r>
              <w:rPr>
                <w:rFonts w:ascii="Arial" w:cs="Arial" w:eastAsia="Arial" w:hAnsi="Arial"/>
                <w:sz w:val="17"/>
                <w:szCs w:val="17"/>
                <w:b w:val="1"/>
                <w:bCs w:val="1"/>
                <w:color w:val="auto"/>
              </w:rPr>
              <w:t>Preferred Stock</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spacing w:after="0"/>
              <w:rPr>
                <w:sz w:val="20"/>
                <w:szCs w:val="20"/>
                <w:color w:val="auto"/>
              </w:rPr>
            </w:pPr>
            <w:r>
              <w:rPr>
                <w:rFonts w:ascii="Arial" w:cs="Arial" w:eastAsia="Arial" w:hAnsi="Arial"/>
                <w:sz w:val="17"/>
                <w:szCs w:val="17"/>
                <w:b w:val="1"/>
                <w:bCs w:val="1"/>
                <w:color w:val="auto"/>
              </w:rPr>
              <w:t>Non-Voting</w:t>
            </w:r>
          </w:p>
        </w:tc>
        <w:tc>
          <w:tcPr>
            <w:tcW w:w="92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9"/>
              </w:rPr>
              <w:t>Common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6"/>
              </w:rPr>
              <w:t>Other</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4"/>
        </w:trPr>
        <w:tc>
          <w:tcPr>
            <w:tcW w:w="2240" w:type="dxa"/>
            <w:vAlign w:val="bottom"/>
          </w:tcPr>
          <w:p>
            <w:pPr>
              <w:spacing w:after="0"/>
              <w:rPr>
                <w:sz w:val="20"/>
                <w:szCs w:val="20"/>
                <w:color w:val="auto"/>
              </w:rPr>
            </w:pPr>
            <w:r>
              <w:rPr>
                <w:rFonts w:ascii="Arial" w:cs="Arial" w:eastAsia="Arial" w:hAnsi="Arial"/>
                <w:sz w:val="17"/>
                <w:szCs w:val="17"/>
                <w:i w:val="1"/>
                <w:iCs w:val="1"/>
                <w:color w:val="auto"/>
              </w:rPr>
              <w:t>(in thousands, except share</w:t>
            </w: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ind w:left="60"/>
              <w:spacing w:after="0"/>
              <w:rPr>
                <w:sz w:val="20"/>
                <w:szCs w:val="20"/>
                <w:color w:val="auto"/>
              </w:rPr>
            </w:pPr>
            <w:r>
              <w:rPr>
                <w:rFonts w:ascii="Arial" w:cs="Arial" w:eastAsia="Arial" w:hAnsi="Arial"/>
                <w:sz w:val="17"/>
                <w:szCs w:val="17"/>
                <w:b w:val="1"/>
                <w:bCs w:val="1"/>
                <w:color w:val="auto"/>
              </w:rPr>
              <w:t>Series</w:t>
            </w: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b w:val="1"/>
                <w:bCs w:val="1"/>
                <w:color w:val="auto"/>
                <w:w w:val="90"/>
              </w:rPr>
              <w:t>Series</w:t>
            </w:r>
          </w:p>
        </w:tc>
        <w:tc>
          <w:tcPr>
            <w:tcW w:w="1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w w:val="94"/>
              </w:rPr>
              <w:t>Common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89"/>
              </w:rPr>
              <w:t>Common</w:t>
            </w:r>
          </w:p>
        </w:tc>
        <w:tc>
          <w:tcPr>
            <w:tcW w:w="10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0"/>
              </w:rPr>
              <w:t>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Capital</w:t>
            </w:r>
          </w:p>
        </w:tc>
        <w:tc>
          <w:tcPr>
            <w:tcW w:w="1080" w:type="dxa"/>
            <w:vAlign w:val="bottom"/>
            <w:gridSpan w:val="3"/>
          </w:tcPr>
          <w:p>
            <w:pPr>
              <w:spacing w:after="0"/>
              <w:rPr>
                <w:sz w:val="20"/>
                <w:szCs w:val="20"/>
                <w:color w:val="auto"/>
              </w:rPr>
            </w:pPr>
            <w:r>
              <w:rPr>
                <w:rFonts w:ascii="Arial" w:cs="Arial" w:eastAsia="Arial" w:hAnsi="Arial"/>
                <w:sz w:val="17"/>
                <w:szCs w:val="17"/>
                <w:b w:val="1"/>
                <w:bCs w:val="1"/>
                <w:color w:val="auto"/>
                <w:w w:val="99"/>
              </w:rPr>
              <w:t>Accumulated</w:t>
            </w:r>
          </w:p>
        </w:tc>
        <w:tc>
          <w:tcPr>
            <w:tcW w:w="1380" w:type="dxa"/>
            <w:vAlign w:val="bottom"/>
            <w:gridSpan w:val="4"/>
          </w:tcPr>
          <w:p>
            <w:pPr>
              <w:ind w:left="80"/>
              <w:spacing w:after="0"/>
              <w:rPr>
                <w:sz w:val="20"/>
                <w:szCs w:val="20"/>
                <w:color w:val="auto"/>
              </w:rPr>
            </w:pPr>
            <w:r>
              <w:rPr>
                <w:rFonts w:ascii="Arial" w:cs="Arial" w:eastAsia="Arial" w:hAnsi="Arial"/>
                <w:sz w:val="17"/>
                <w:szCs w:val="17"/>
                <w:b w:val="1"/>
                <w:bCs w:val="1"/>
                <w:color w:val="auto"/>
              </w:rPr>
              <w:t>Comprehensive</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2240" w:type="dxa"/>
            <w:vAlign w:val="bottom"/>
          </w:tcPr>
          <w:p>
            <w:pPr>
              <w:spacing w:after="0"/>
              <w:rPr>
                <w:sz w:val="20"/>
                <w:szCs w:val="20"/>
                <w:color w:val="auto"/>
              </w:rPr>
            </w:pPr>
            <w:r>
              <w:rPr>
                <w:rFonts w:ascii="Arial" w:cs="Arial" w:eastAsia="Arial" w:hAnsi="Arial"/>
                <w:sz w:val="17"/>
                <w:szCs w:val="17"/>
                <w:i w:val="1"/>
                <w:iCs w:val="1"/>
                <w:color w:val="auto"/>
              </w:rPr>
              <w:t>and per share data)</w:t>
            </w:r>
          </w:p>
        </w:tc>
        <w:tc>
          <w:tcPr>
            <w:tcW w:w="120" w:type="dxa"/>
            <w:vAlign w:val="bottom"/>
          </w:tcPr>
          <w:p>
            <w:pPr>
              <w:spacing w:after="0"/>
              <w:rPr>
                <w:sz w:val="19"/>
                <w:szCs w:val="19"/>
                <w:color w:val="auto"/>
              </w:rPr>
            </w:pPr>
          </w:p>
        </w:tc>
        <w:tc>
          <w:tcPr>
            <w:tcW w:w="840" w:type="dxa"/>
            <w:vAlign w:val="bottom"/>
            <w:gridSpan w:val="2"/>
          </w:tcPr>
          <w:p>
            <w:pPr>
              <w:ind w:left="260"/>
              <w:spacing w:after="0"/>
              <w:rPr>
                <w:sz w:val="20"/>
                <w:szCs w:val="20"/>
                <w:color w:val="auto"/>
              </w:rPr>
            </w:pPr>
            <w:r>
              <w:rPr>
                <w:rFonts w:ascii="Arial" w:cs="Arial" w:eastAsia="Arial" w:hAnsi="Arial"/>
                <w:sz w:val="17"/>
                <w:szCs w:val="17"/>
                <w:b w:val="1"/>
                <w:bCs w:val="1"/>
                <w:color w:val="auto"/>
              </w:rPr>
              <w:t>B</w:t>
            </w:r>
          </w:p>
        </w:tc>
        <w:tc>
          <w:tcPr>
            <w:tcW w:w="120" w:type="dxa"/>
            <w:vAlign w:val="bottom"/>
          </w:tcPr>
          <w:p>
            <w:pPr>
              <w:spacing w:after="0"/>
              <w:rPr>
                <w:sz w:val="19"/>
                <w:szCs w:val="19"/>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D</w:t>
            </w:r>
          </w:p>
        </w:tc>
        <w:tc>
          <w:tcPr>
            <w:tcW w:w="14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94"/>
              </w:rPr>
              <w:t>Stock</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Stock</w:t>
            </w:r>
          </w:p>
        </w:tc>
        <w:tc>
          <w:tcPr>
            <w:tcW w:w="100" w:type="dxa"/>
            <w:vAlign w:val="bottom"/>
          </w:tcPr>
          <w:p>
            <w:pPr>
              <w:spacing w:after="0"/>
              <w:rPr>
                <w:sz w:val="19"/>
                <w:szCs w:val="19"/>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8"/>
              </w:rPr>
              <w:t>Issuable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1"/>
              </w:rPr>
              <w:t>Surplus</w:t>
            </w:r>
          </w:p>
        </w:tc>
        <w:tc>
          <w:tcPr>
            <w:tcW w:w="18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Deficit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5"/>
              </w:rPr>
              <w:t>Loss</w:t>
            </w:r>
          </w:p>
        </w:tc>
        <w:tc>
          <w:tcPr>
            <w:tcW w:w="10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Total</w:t>
            </w:r>
          </w:p>
        </w:tc>
      </w:tr>
      <w:tr>
        <w:trPr>
          <w:trHeight w:val="205"/>
        </w:trPr>
        <w:tc>
          <w:tcPr>
            <w:tcW w:w="2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24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7"/>
                <w:szCs w:val="17"/>
                <w:b w:val="1"/>
                <w:bCs w:val="1"/>
                <w:color w:val="auto"/>
                <w:w w:val="96"/>
              </w:rPr>
              <w:t>Balance, December 31, 2013</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105,000</w:t>
            </w:r>
          </w:p>
        </w:tc>
        <w:tc>
          <w:tcPr>
            <w:tcW w:w="18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F0FFFF"/>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16,613</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46,243</w:t>
            </w:r>
          </w:p>
        </w:tc>
        <w:tc>
          <w:tcPr>
            <w:tcW w:w="180" w:type="dxa"/>
            <w:vAlign w:val="bottom"/>
            <w:gridSpan w:val="2"/>
            <w:shd w:val="clear" w:color="auto" w:fill="F0FFFF"/>
          </w:tcPr>
          <w:p>
            <w:pPr>
              <w:ind w:left="100"/>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F0FFFF"/>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13,188</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3,930</w:t>
            </w:r>
          </w:p>
        </w:tc>
        <w:tc>
          <w:tcPr>
            <w:tcW w:w="18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F0FFFF"/>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w w:val="95"/>
              </w:rPr>
              <w:t>1,078,676</w:t>
            </w:r>
          </w:p>
        </w:tc>
        <w:tc>
          <w:tcPr>
            <w:tcW w:w="180" w:type="dxa"/>
            <w:vAlign w:val="bottom"/>
            <w:shd w:val="clear" w:color="auto" w:fill="F0FFFF"/>
          </w:tcPr>
          <w:p>
            <w:pPr>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(448,091)</w:t>
            </w:r>
          </w:p>
        </w:tc>
        <w:tc>
          <w:tcPr>
            <w:tcW w:w="280" w:type="dxa"/>
            <w:vAlign w:val="bottom"/>
            <w:gridSpan w:val="2"/>
            <w:shd w:val="clear" w:color="auto" w:fill="F0FFFF"/>
          </w:tcPr>
          <w:p>
            <w:pPr>
              <w:ind w:left="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(19,844)</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w w:val="97"/>
              </w:rPr>
              <w:t>795,715</w:t>
            </w:r>
          </w:p>
        </w:tc>
      </w:tr>
      <w:tr>
        <w:trPr>
          <w:trHeight w:val="205"/>
        </w:trPr>
        <w:tc>
          <w:tcPr>
            <w:tcW w:w="2240" w:type="dxa"/>
            <w:vAlign w:val="bottom"/>
          </w:tcPr>
          <w:p>
            <w:pPr>
              <w:spacing w:after="0"/>
              <w:rPr>
                <w:sz w:val="20"/>
                <w:szCs w:val="20"/>
                <w:color w:val="auto"/>
              </w:rPr>
            </w:pPr>
            <w:r>
              <w:rPr>
                <w:rFonts w:ascii="Arial" w:cs="Arial" w:eastAsia="Arial" w:hAnsi="Arial"/>
                <w:sz w:val="17"/>
                <w:szCs w:val="17"/>
                <w:color w:val="auto"/>
              </w:rPr>
              <w:t>Net income</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15,400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15,400</w:t>
            </w:r>
          </w:p>
        </w:tc>
      </w:tr>
      <w:tr>
        <w:trPr>
          <w:trHeight w:val="205"/>
        </w:trPr>
        <w:tc>
          <w:tcPr>
            <w:tcW w:w="224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7"/>
                <w:szCs w:val="17"/>
                <w:color w:val="auto"/>
                <w:w w:val="99"/>
              </w:rPr>
              <w:t>Other comprehensive income</w:t>
            </w:r>
          </w:p>
        </w:tc>
        <w:tc>
          <w:tcPr>
            <w:tcW w:w="12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1,076</w:t>
            </w:r>
          </w:p>
        </w:tc>
        <w:tc>
          <w:tcPr>
            <w:tcW w:w="100" w:type="dxa"/>
            <w:vAlign w:val="bottom"/>
            <w:shd w:val="clear" w:color="auto" w:fill="F0FFFF"/>
          </w:tcPr>
          <w:p>
            <w:pPr>
              <w:spacing w:after="0"/>
              <w:rPr>
                <w:sz w:val="17"/>
                <w:szCs w:val="17"/>
                <w:color w:val="auto"/>
              </w:rPr>
            </w:pPr>
          </w:p>
        </w:tc>
        <w:tc>
          <w:tcPr>
            <w:tcW w:w="70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1,076</w:t>
            </w:r>
          </w:p>
        </w:tc>
      </w:tr>
      <w:tr>
        <w:trPr>
          <w:trHeight w:val="193"/>
        </w:trPr>
        <w:tc>
          <w:tcPr>
            <w:tcW w:w="2240" w:type="dxa"/>
            <w:vAlign w:val="bottom"/>
          </w:tcPr>
          <w:p>
            <w:pPr>
              <w:spacing w:after="0" w:line="193" w:lineRule="exact"/>
              <w:rPr>
                <w:sz w:val="20"/>
                <w:szCs w:val="20"/>
                <w:color w:val="auto"/>
              </w:rPr>
            </w:pPr>
            <w:r>
              <w:rPr>
                <w:rFonts w:ascii="Arial" w:cs="Arial" w:eastAsia="Arial" w:hAnsi="Arial"/>
                <w:sz w:val="17"/>
                <w:szCs w:val="17"/>
                <w:color w:val="auto"/>
              </w:rPr>
              <w:t>Redemption of Series B</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5"/>
        </w:trPr>
        <w:tc>
          <w:tcPr>
            <w:tcW w:w="2240" w:type="dxa"/>
            <w:vAlign w:val="bottom"/>
          </w:tcPr>
          <w:p>
            <w:pPr>
              <w:ind w:left="160"/>
              <w:spacing w:after="0"/>
              <w:rPr>
                <w:sz w:val="20"/>
                <w:szCs w:val="20"/>
                <w:color w:val="auto"/>
              </w:rPr>
            </w:pPr>
            <w:r>
              <w:rPr>
                <w:rFonts w:ascii="Arial" w:cs="Arial" w:eastAsia="Arial" w:hAnsi="Arial"/>
                <w:sz w:val="17"/>
                <w:szCs w:val="17"/>
                <w:color w:val="auto"/>
              </w:rPr>
              <w:t>preferred stock (105,000</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7"/>
        </w:trPr>
        <w:tc>
          <w:tcPr>
            <w:tcW w:w="2240" w:type="dxa"/>
            <w:vAlign w:val="bottom"/>
          </w:tcPr>
          <w:p>
            <w:pPr>
              <w:ind w:left="160"/>
              <w:spacing w:after="0"/>
              <w:rPr>
                <w:sz w:val="20"/>
                <w:szCs w:val="20"/>
                <w:color w:val="auto"/>
              </w:rPr>
            </w:pPr>
            <w:r>
              <w:rPr>
                <w:rFonts w:ascii="Arial" w:cs="Arial" w:eastAsia="Arial" w:hAnsi="Arial"/>
                <w:sz w:val="17"/>
                <w:szCs w:val="17"/>
                <w:color w:val="auto"/>
              </w:rPr>
              <w:t>shares)</w:t>
            </w:r>
          </w:p>
        </w:tc>
        <w:tc>
          <w:tcPr>
            <w:tcW w:w="12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7"/>
                <w:szCs w:val="17"/>
                <w:color w:val="auto"/>
              </w:rPr>
              <w:t>(105,000)</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w w:val="90"/>
              </w:rPr>
              <w:t>(105,000)</w:t>
            </w:r>
          </w:p>
        </w:tc>
      </w:tr>
      <w:tr>
        <w:trPr>
          <w:trHeight w:val="193"/>
        </w:trPr>
        <w:tc>
          <w:tcPr>
            <w:tcW w:w="2240" w:type="dxa"/>
            <w:vAlign w:val="bottom"/>
            <w:tcBorders>
              <w:right w:val="single" w:sz="8" w:color="F0FFFF"/>
            </w:tcBorders>
            <w:shd w:val="clear" w:color="auto" w:fill="F0FFFF"/>
          </w:tcPr>
          <w:p>
            <w:pPr>
              <w:spacing w:after="0" w:line="194" w:lineRule="exact"/>
              <w:rPr>
                <w:sz w:val="20"/>
                <w:szCs w:val="20"/>
                <w:color w:val="auto"/>
              </w:rPr>
            </w:pPr>
            <w:r>
              <w:rPr>
                <w:rFonts w:ascii="Arial" w:cs="Arial" w:eastAsia="Arial" w:hAnsi="Arial"/>
                <w:sz w:val="17"/>
                <w:szCs w:val="17"/>
                <w:color w:val="auto"/>
              </w:rPr>
              <w:t>Redemption of Series D</w:t>
            </w:r>
          </w:p>
        </w:tc>
        <w:tc>
          <w:tcPr>
            <w:tcW w:w="120" w:type="dxa"/>
            <w:vAlign w:val="bottom"/>
            <w:shd w:val="clear" w:color="auto" w:fill="F0FFFF"/>
          </w:tcPr>
          <w:p>
            <w:pPr>
              <w:spacing w:after="0"/>
              <w:rPr>
                <w:sz w:val="16"/>
                <w:szCs w:val="16"/>
                <w:color w:val="auto"/>
              </w:rPr>
            </w:pPr>
          </w:p>
        </w:tc>
        <w:tc>
          <w:tcPr>
            <w:tcW w:w="660" w:type="dxa"/>
            <w:vAlign w:val="bottom"/>
            <w:shd w:val="clear" w:color="auto" w:fill="F0FFFF"/>
          </w:tcPr>
          <w:p>
            <w:pPr>
              <w:spacing w:after="0"/>
              <w:rPr>
                <w:sz w:val="16"/>
                <w:szCs w:val="16"/>
                <w:color w:val="auto"/>
              </w:rPr>
            </w:pPr>
          </w:p>
        </w:tc>
        <w:tc>
          <w:tcPr>
            <w:tcW w:w="180" w:type="dxa"/>
            <w:vAlign w:val="bottom"/>
            <w:tcBorders>
              <w:right w:val="single" w:sz="8" w:color="F0FFFF"/>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640" w:type="dxa"/>
            <w:vAlign w:val="bottom"/>
            <w:shd w:val="clear" w:color="auto" w:fill="F0FFFF"/>
          </w:tcPr>
          <w:p>
            <w:pPr>
              <w:spacing w:after="0"/>
              <w:rPr>
                <w:sz w:val="16"/>
                <w:szCs w:val="16"/>
                <w:color w:val="auto"/>
              </w:rPr>
            </w:pPr>
          </w:p>
        </w:tc>
        <w:tc>
          <w:tcPr>
            <w:tcW w:w="180" w:type="dxa"/>
            <w:vAlign w:val="bottom"/>
            <w:tcBorders>
              <w:right w:val="single" w:sz="8" w:color="F0FFFF"/>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6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80" w:type="dxa"/>
            <w:vAlign w:val="bottom"/>
            <w:shd w:val="clear" w:color="auto" w:fill="F0FFFF"/>
          </w:tcPr>
          <w:p>
            <w:pPr>
              <w:spacing w:after="0"/>
              <w:rPr>
                <w:sz w:val="16"/>
                <w:szCs w:val="16"/>
                <w:color w:val="auto"/>
              </w:rPr>
            </w:pPr>
          </w:p>
        </w:tc>
        <w:tc>
          <w:tcPr>
            <w:tcW w:w="180" w:type="dxa"/>
            <w:vAlign w:val="bottom"/>
            <w:tcBorders>
              <w:right w:val="single" w:sz="8" w:color="F0FFFF"/>
            </w:tcBorders>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7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80" w:type="dxa"/>
            <w:vAlign w:val="bottom"/>
            <w:tcBorders>
              <w:right w:val="single" w:sz="8" w:color="F0FFFF"/>
            </w:tcBorders>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8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6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r>
      <w:tr>
        <w:trPr>
          <w:trHeight w:val="205"/>
        </w:trPr>
        <w:tc>
          <w:tcPr>
            <w:tcW w:w="2240" w:type="dxa"/>
            <w:vAlign w:val="bottom"/>
            <w:tcBorders>
              <w:right w:val="single" w:sz="8" w:color="F0FFFF"/>
            </w:tcBorders>
            <w:shd w:val="clear" w:color="auto" w:fill="F0FFFF"/>
          </w:tcPr>
          <w:p>
            <w:pPr>
              <w:ind w:left="160"/>
              <w:spacing w:after="0"/>
              <w:rPr>
                <w:sz w:val="20"/>
                <w:szCs w:val="20"/>
                <w:color w:val="auto"/>
              </w:rPr>
            </w:pPr>
            <w:r>
              <w:rPr>
                <w:rFonts w:ascii="Arial" w:cs="Arial" w:eastAsia="Arial" w:hAnsi="Arial"/>
                <w:sz w:val="17"/>
                <w:szCs w:val="17"/>
                <w:color w:val="auto"/>
              </w:rPr>
              <w:t>preferred stock (16,613</w:t>
            </w:r>
          </w:p>
        </w:tc>
        <w:tc>
          <w:tcPr>
            <w:tcW w:w="12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r>
      <w:tr>
        <w:trPr>
          <w:trHeight w:val="218"/>
        </w:trPr>
        <w:tc>
          <w:tcPr>
            <w:tcW w:w="2240" w:type="dxa"/>
            <w:vAlign w:val="bottom"/>
            <w:tcBorders>
              <w:right w:val="single" w:sz="8" w:color="F0FFFF"/>
            </w:tcBorders>
            <w:shd w:val="clear" w:color="auto" w:fill="F0FFFF"/>
          </w:tcPr>
          <w:p>
            <w:pPr>
              <w:ind w:left="160"/>
              <w:spacing w:after="0"/>
              <w:rPr>
                <w:sz w:val="20"/>
                <w:szCs w:val="20"/>
                <w:color w:val="auto"/>
              </w:rPr>
            </w:pPr>
            <w:r>
              <w:rPr>
                <w:rFonts w:ascii="Arial" w:cs="Arial" w:eastAsia="Arial" w:hAnsi="Arial"/>
                <w:sz w:val="17"/>
                <w:szCs w:val="17"/>
                <w:color w:val="auto"/>
              </w:rPr>
              <w:t>shares)</w:t>
            </w:r>
          </w:p>
        </w:tc>
        <w:tc>
          <w:tcPr>
            <w:tcW w:w="1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2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(16,613)</w:t>
            </w:r>
          </w:p>
        </w:tc>
        <w:tc>
          <w:tcPr>
            <w:tcW w:w="14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(16,613)</w:t>
            </w:r>
          </w:p>
        </w:tc>
      </w:tr>
      <w:tr>
        <w:trPr>
          <w:trHeight w:val="193"/>
        </w:trPr>
        <w:tc>
          <w:tcPr>
            <w:tcW w:w="2240" w:type="dxa"/>
            <w:vAlign w:val="bottom"/>
          </w:tcPr>
          <w:p>
            <w:pPr>
              <w:spacing w:after="0" w:line="193" w:lineRule="exact"/>
              <w:rPr>
                <w:sz w:val="20"/>
                <w:szCs w:val="20"/>
                <w:color w:val="auto"/>
              </w:rPr>
            </w:pPr>
            <w:r>
              <w:rPr>
                <w:rFonts w:ascii="Arial" w:cs="Arial" w:eastAsia="Arial" w:hAnsi="Arial"/>
                <w:sz w:val="17"/>
                <w:szCs w:val="17"/>
                <w:color w:val="auto"/>
              </w:rPr>
              <w:t>Common stock issued at</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7"/>
        </w:trPr>
        <w:tc>
          <w:tcPr>
            <w:tcW w:w="2240" w:type="dxa"/>
            <w:vAlign w:val="bottom"/>
          </w:tcPr>
          <w:p>
            <w:pPr>
              <w:ind w:left="160"/>
              <w:spacing w:after="0"/>
              <w:rPr>
                <w:sz w:val="20"/>
                <w:szCs w:val="20"/>
                <w:color w:val="auto"/>
              </w:rPr>
            </w:pPr>
            <w:r>
              <w:rPr>
                <w:rFonts w:ascii="Arial" w:cs="Arial" w:eastAsia="Arial" w:hAnsi="Arial"/>
                <w:sz w:val="17"/>
                <w:szCs w:val="17"/>
                <w:color w:val="auto"/>
              </w:rPr>
              <w:t>market (640,000 shares)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640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11,566</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12,206</w:t>
            </w:r>
          </w:p>
        </w:tc>
      </w:tr>
      <w:tr>
        <w:trPr>
          <w:trHeight w:val="193"/>
        </w:trPr>
        <w:tc>
          <w:tcPr>
            <w:tcW w:w="2240" w:type="dxa"/>
            <w:vAlign w:val="bottom"/>
            <w:tcBorders>
              <w:right w:val="single" w:sz="8" w:color="F0FFFF"/>
            </w:tcBorders>
            <w:shd w:val="clear" w:color="auto" w:fill="F0FFFF"/>
          </w:tcPr>
          <w:p>
            <w:pPr>
              <w:spacing w:after="0" w:line="194" w:lineRule="exact"/>
              <w:rPr>
                <w:sz w:val="20"/>
                <w:szCs w:val="20"/>
                <w:color w:val="auto"/>
              </w:rPr>
            </w:pPr>
            <w:r>
              <w:rPr>
                <w:rFonts w:ascii="Arial" w:cs="Arial" w:eastAsia="Arial" w:hAnsi="Arial"/>
                <w:sz w:val="17"/>
                <w:szCs w:val="17"/>
                <w:color w:val="auto"/>
              </w:rPr>
              <w:t>Common stock issued to</w:t>
            </w:r>
          </w:p>
        </w:tc>
        <w:tc>
          <w:tcPr>
            <w:tcW w:w="120" w:type="dxa"/>
            <w:vAlign w:val="bottom"/>
            <w:shd w:val="clear" w:color="auto" w:fill="F0FFFF"/>
          </w:tcPr>
          <w:p>
            <w:pPr>
              <w:spacing w:after="0"/>
              <w:rPr>
                <w:sz w:val="16"/>
                <w:szCs w:val="16"/>
                <w:color w:val="auto"/>
              </w:rPr>
            </w:pPr>
          </w:p>
        </w:tc>
        <w:tc>
          <w:tcPr>
            <w:tcW w:w="660" w:type="dxa"/>
            <w:vAlign w:val="bottom"/>
            <w:shd w:val="clear" w:color="auto" w:fill="F0FFFF"/>
          </w:tcPr>
          <w:p>
            <w:pPr>
              <w:spacing w:after="0"/>
              <w:rPr>
                <w:sz w:val="16"/>
                <w:szCs w:val="16"/>
                <w:color w:val="auto"/>
              </w:rPr>
            </w:pPr>
          </w:p>
        </w:tc>
        <w:tc>
          <w:tcPr>
            <w:tcW w:w="180" w:type="dxa"/>
            <w:vAlign w:val="bottom"/>
            <w:tcBorders>
              <w:right w:val="single" w:sz="8" w:color="F0FFFF"/>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640" w:type="dxa"/>
            <w:vAlign w:val="bottom"/>
            <w:shd w:val="clear" w:color="auto" w:fill="F0FFFF"/>
          </w:tcPr>
          <w:p>
            <w:pPr>
              <w:spacing w:after="0"/>
              <w:rPr>
                <w:sz w:val="16"/>
                <w:szCs w:val="16"/>
                <w:color w:val="auto"/>
              </w:rPr>
            </w:pPr>
          </w:p>
        </w:tc>
        <w:tc>
          <w:tcPr>
            <w:tcW w:w="180" w:type="dxa"/>
            <w:vAlign w:val="bottom"/>
            <w:tcBorders>
              <w:right w:val="single" w:sz="8" w:color="F0FFFF"/>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6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80" w:type="dxa"/>
            <w:vAlign w:val="bottom"/>
            <w:shd w:val="clear" w:color="auto" w:fill="F0FFFF"/>
          </w:tcPr>
          <w:p>
            <w:pPr>
              <w:spacing w:after="0"/>
              <w:rPr>
                <w:sz w:val="16"/>
                <w:szCs w:val="16"/>
                <w:color w:val="auto"/>
              </w:rPr>
            </w:pPr>
          </w:p>
        </w:tc>
        <w:tc>
          <w:tcPr>
            <w:tcW w:w="180" w:type="dxa"/>
            <w:vAlign w:val="bottom"/>
            <w:tcBorders>
              <w:right w:val="single" w:sz="8" w:color="F0FFFF"/>
            </w:tcBorders>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7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80" w:type="dxa"/>
            <w:vAlign w:val="bottom"/>
            <w:tcBorders>
              <w:right w:val="single" w:sz="8" w:color="F0FFFF"/>
            </w:tcBorders>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8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6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r>
      <w:tr>
        <w:trPr>
          <w:trHeight w:val="205"/>
        </w:trPr>
        <w:tc>
          <w:tcPr>
            <w:tcW w:w="2240" w:type="dxa"/>
            <w:vAlign w:val="bottom"/>
            <w:tcBorders>
              <w:right w:val="single" w:sz="8" w:color="F0FFFF"/>
            </w:tcBorders>
            <w:shd w:val="clear" w:color="auto" w:fill="F0FFFF"/>
          </w:tcPr>
          <w:p>
            <w:pPr>
              <w:ind w:left="160"/>
              <w:spacing w:after="0"/>
              <w:rPr>
                <w:sz w:val="20"/>
                <w:szCs w:val="20"/>
                <w:color w:val="auto"/>
              </w:rPr>
            </w:pPr>
            <w:r>
              <w:rPr>
                <w:rFonts w:ascii="Arial" w:cs="Arial" w:eastAsia="Arial" w:hAnsi="Arial"/>
                <w:sz w:val="17"/>
                <w:szCs w:val="17"/>
                <w:color w:val="auto"/>
              </w:rPr>
              <w:t>dividend reinvestment plan</w:t>
            </w:r>
          </w:p>
        </w:tc>
        <w:tc>
          <w:tcPr>
            <w:tcW w:w="12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r>
      <w:tr>
        <w:trPr>
          <w:trHeight w:val="205"/>
        </w:trPr>
        <w:tc>
          <w:tcPr>
            <w:tcW w:w="2240" w:type="dxa"/>
            <w:vAlign w:val="bottom"/>
            <w:tcBorders>
              <w:right w:val="single" w:sz="8" w:color="F0FFFF"/>
            </w:tcBorders>
            <w:shd w:val="clear" w:color="auto" w:fill="F0FFFF"/>
          </w:tcPr>
          <w:p>
            <w:pPr>
              <w:ind w:left="160"/>
              <w:spacing w:after="0"/>
              <w:rPr>
                <w:sz w:val="20"/>
                <w:szCs w:val="20"/>
                <w:color w:val="auto"/>
              </w:rPr>
            </w:pPr>
            <w:r>
              <w:rPr>
                <w:rFonts w:ascii="Arial" w:cs="Arial" w:eastAsia="Arial" w:hAnsi="Arial"/>
                <w:sz w:val="17"/>
                <w:szCs w:val="17"/>
                <w:color w:val="auto"/>
                <w:w w:val="98"/>
              </w:rPr>
              <w:t>and employee benefit plans</w:t>
            </w:r>
          </w:p>
        </w:tc>
        <w:tc>
          <w:tcPr>
            <w:tcW w:w="12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r>
      <w:tr>
        <w:trPr>
          <w:trHeight w:val="218"/>
        </w:trPr>
        <w:tc>
          <w:tcPr>
            <w:tcW w:w="2240" w:type="dxa"/>
            <w:vAlign w:val="bottom"/>
            <w:tcBorders>
              <w:right w:val="single" w:sz="8" w:color="F0FFFF"/>
            </w:tcBorders>
            <w:shd w:val="clear" w:color="auto" w:fill="F0FFFF"/>
          </w:tcPr>
          <w:p>
            <w:pPr>
              <w:ind w:left="160"/>
              <w:spacing w:after="0"/>
              <w:rPr>
                <w:sz w:val="20"/>
                <w:szCs w:val="20"/>
                <w:color w:val="auto"/>
              </w:rPr>
            </w:pPr>
            <w:r>
              <w:rPr>
                <w:rFonts w:ascii="Arial" w:cs="Arial" w:eastAsia="Arial" w:hAnsi="Arial"/>
                <w:sz w:val="17"/>
                <w:szCs w:val="17"/>
                <w:color w:val="auto"/>
              </w:rPr>
              <w:t>(11,837 shares)</w:t>
            </w:r>
          </w:p>
        </w:tc>
        <w:tc>
          <w:tcPr>
            <w:tcW w:w="1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2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12</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tcBorders>
              <w:right w:val="single" w:sz="8" w:color="F0FFFF"/>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197</w:t>
            </w:r>
          </w:p>
        </w:tc>
        <w:tc>
          <w:tcPr>
            <w:tcW w:w="1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209</w:t>
            </w:r>
          </w:p>
        </w:tc>
      </w:tr>
      <w:tr>
        <w:trPr>
          <w:trHeight w:val="193"/>
        </w:trPr>
        <w:tc>
          <w:tcPr>
            <w:tcW w:w="2240" w:type="dxa"/>
            <w:vAlign w:val="bottom"/>
          </w:tcPr>
          <w:p>
            <w:pPr>
              <w:spacing w:after="0" w:line="193" w:lineRule="exact"/>
              <w:rPr>
                <w:sz w:val="20"/>
                <w:szCs w:val="20"/>
                <w:color w:val="auto"/>
              </w:rPr>
            </w:pPr>
            <w:r>
              <w:rPr>
                <w:rFonts w:ascii="Arial" w:cs="Arial" w:eastAsia="Arial" w:hAnsi="Arial"/>
                <w:sz w:val="17"/>
                <w:szCs w:val="17"/>
                <w:color w:val="auto"/>
              </w:rPr>
              <w:t>Conversion of non-voting</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5"/>
        </w:trPr>
        <w:tc>
          <w:tcPr>
            <w:tcW w:w="2240" w:type="dxa"/>
            <w:vAlign w:val="bottom"/>
          </w:tcPr>
          <w:p>
            <w:pPr>
              <w:ind w:left="160"/>
              <w:spacing w:after="0"/>
              <w:rPr>
                <w:sz w:val="20"/>
                <w:szCs w:val="20"/>
                <w:color w:val="auto"/>
              </w:rPr>
            </w:pPr>
            <w:r>
              <w:rPr>
                <w:rFonts w:ascii="Arial" w:cs="Arial" w:eastAsia="Arial" w:hAnsi="Arial"/>
                <w:sz w:val="17"/>
                <w:szCs w:val="17"/>
                <w:color w:val="auto"/>
              </w:rPr>
              <w:t>common stock to voting</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7"/>
        </w:trPr>
        <w:tc>
          <w:tcPr>
            <w:tcW w:w="2240" w:type="dxa"/>
            <w:vAlign w:val="bottom"/>
          </w:tcPr>
          <w:p>
            <w:pPr>
              <w:ind w:left="160"/>
              <w:spacing w:after="0"/>
              <w:rPr>
                <w:sz w:val="20"/>
                <w:szCs w:val="20"/>
                <w:color w:val="auto"/>
              </w:rPr>
            </w:pPr>
            <w:r>
              <w:rPr>
                <w:rFonts w:ascii="Arial" w:cs="Arial" w:eastAsia="Arial" w:hAnsi="Arial"/>
                <w:sz w:val="17"/>
                <w:szCs w:val="17"/>
                <w:color w:val="auto"/>
              </w:rPr>
              <w:t>(3,107,419 shares)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3,107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(3,107)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193"/>
        </w:trPr>
        <w:tc>
          <w:tcPr>
            <w:tcW w:w="2240" w:type="dxa"/>
            <w:vAlign w:val="bottom"/>
            <w:tcBorders>
              <w:right w:val="single" w:sz="8" w:color="F0FFFF"/>
            </w:tcBorders>
            <w:shd w:val="clear" w:color="auto" w:fill="F0FFFF"/>
          </w:tcPr>
          <w:p>
            <w:pPr>
              <w:spacing w:after="0" w:line="194" w:lineRule="exact"/>
              <w:rPr>
                <w:sz w:val="20"/>
                <w:szCs w:val="20"/>
                <w:color w:val="auto"/>
              </w:rPr>
            </w:pPr>
            <w:r>
              <w:rPr>
                <w:rFonts w:ascii="Arial" w:cs="Arial" w:eastAsia="Arial" w:hAnsi="Arial"/>
                <w:sz w:val="17"/>
                <w:szCs w:val="17"/>
                <w:color w:val="auto"/>
              </w:rPr>
              <w:t>Amortization of stock option</w:t>
            </w:r>
          </w:p>
        </w:tc>
        <w:tc>
          <w:tcPr>
            <w:tcW w:w="120" w:type="dxa"/>
            <w:vAlign w:val="bottom"/>
            <w:shd w:val="clear" w:color="auto" w:fill="F0FFFF"/>
          </w:tcPr>
          <w:p>
            <w:pPr>
              <w:spacing w:after="0"/>
              <w:rPr>
                <w:sz w:val="16"/>
                <w:szCs w:val="16"/>
                <w:color w:val="auto"/>
              </w:rPr>
            </w:pPr>
          </w:p>
        </w:tc>
        <w:tc>
          <w:tcPr>
            <w:tcW w:w="660" w:type="dxa"/>
            <w:vAlign w:val="bottom"/>
            <w:shd w:val="clear" w:color="auto" w:fill="F0FFFF"/>
          </w:tcPr>
          <w:p>
            <w:pPr>
              <w:spacing w:after="0"/>
              <w:rPr>
                <w:sz w:val="16"/>
                <w:szCs w:val="16"/>
                <w:color w:val="auto"/>
              </w:rPr>
            </w:pPr>
          </w:p>
        </w:tc>
        <w:tc>
          <w:tcPr>
            <w:tcW w:w="180" w:type="dxa"/>
            <w:vAlign w:val="bottom"/>
            <w:tcBorders>
              <w:right w:val="single" w:sz="8" w:color="F0FFFF"/>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640" w:type="dxa"/>
            <w:vAlign w:val="bottom"/>
            <w:shd w:val="clear" w:color="auto" w:fill="F0FFFF"/>
          </w:tcPr>
          <w:p>
            <w:pPr>
              <w:spacing w:after="0"/>
              <w:rPr>
                <w:sz w:val="16"/>
                <w:szCs w:val="16"/>
                <w:color w:val="auto"/>
              </w:rPr>
            </w:pPr>
          </w:p>
        </w:tc>
        <w:tc>
          <w:tcPr>
            <w:tcW w:w="180" w:type="dxa"/>
            <w:vAlign w:val="bottom"/>
            <w:tcBorders>
              <w:right w:val="single" w:sz="8" w:color="F0FFFF"/>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6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80" w:type="dxa"/>
            <w:vAlign w:val="bottom"/>
            <w:shd w:val="clear" w:color="auto" w:fill="F0FFFF"/>
          </w:tcPr>
          <w:p>
            <w:pPr>
              <w:spacing w:after="0"/>
              <w:rPr>
                <w:sz w:val="16"/>
                <w:szCs w:val="16"/>
                <w:color w:val="auto"/>
              </w:rPr>
            </w:pPr>
          </w:p>
        </w:tc>
        <w:tc>
          <w:tcPr>
            <w:tcW w:w="180" w:type="dxa"/>
            <w:vAlign w:val="bottom"/>
            <w:tcBorders>
              <w:right w:val="single" w:sz="8" w:color="F0FFFF"/>
            </w:tcBorders>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7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80" w:type="dxa"/>
            <w:vAlign w:val="bottom"/>
            <w:tcBorders>
              <w:right w:val="single" w:sz="8" w:color="F0FFFF"/>
            </w:tcBorders>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8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6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r>
      <w:tr>
        <w:trPr>
          <w:trHeight w:val="218"/>
        </w:trPr>
        <w:tc>
          <w:tcPr>
            <w:tcW w:w="2240" w:type="dxa"/>
            <w:vAlign w:val="bottom"/>
            <w:tcBorders>
              <w:right w:val="single" w:sz="8" w:color="F0FFFF"/>
            </w:tcBorders>
            <w:shd w:val="clear" w:color="auto" w:fill="F0FFFF"/>
          </w:tcPr>
          <w:p>
            <w:pPr>
              <w:ind w:left="160"/>
              <w:spacing w:after="0"/>
              <w:rPr>
                <w:sz w:val="20"/>
                <w:szCs w:val="20"/>
                <w:color w:val="auto"/>
              </w:rPr>
            </w:pPr>
            <w:r>
              <w:rPr>
                <w:rFonts w:ascii="Arial" w:cs="Arial" w:eastAsia="Arial" w:hAnsi="Arial"/>
                <w:sz w:val="17"/>
                <w:szCs w:val="17"/>
                <w:color w:val="auto"/>
                <w:w w:val="98"/>
              </w:rPr>
              <w:t>and restricted stock awards</w:t>
            </w:r>
          </w:p>
        </w:tc>
        <w:tc>
          <w:tcPr>
            <w:tcW w:w="1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tcBorders>
              <w:right w:val="single" w:sz="8" w:color="F0FFFF"/>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1,120</w:t>
            </w:r>
          </w:p>
        </w:tc>
        <w:tc>
          <w:tcPr>
            <w:tcW w:w="1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1,120</w:t>
            </w:r>
          </w:p>
        </w:tc>
      </w:tr>
      <w:tr>
        <w:trPr>
          <w:trHeight w:val="193"/>
        </w:trPr>
        <w:tc>
          <w:tcPr>
            <w:tcW w:w="2240" w:type="dxa"/>
            <w:vAlign w:val="bottom"/>
          </w:tcPr>
          <w:p>
            <w:pPr>
              <w:spacing w:after="0" w:line="193" w:lineRule="exact"/>
              <w:rPr>
                <w:sz w:val="20"/>
                <w:szCs w:val="20"/>
                <w:color w:val="auto"/>
              </w:rPr>
            </w:pPr>
            <w:r>
              <w:rPr>
                <w:rFonts w:ascii="Arial" w:cs="Arial" w:eastAsia="Arial" w:hAnsi="Arial"/>
                <w:sz w:val="17"/>
                <w:szCs w:val="17"/>
                <w:color w:val="auto"/>
                <w:w w:val="96"/>
              </w:rPr>
              <w:t>Vesting of restricted stock, net</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5"/>
        </w:trPr>
        <w:tc>
          <w:tcPr>
            <w:tcW w:w="2240" w:type="dxa"/>
            <w:vAlign w:val="bottom"/>
          </w:tcPr>
          <w:p>
            <w:pPr>
              <w:ind w:left="160"/>
              <w:spacing w:after="0"/>
              <w:rPr>
                <w:sz w:val="20"/>
                <w:szCs w:val="20"/>
                <w:color w:val="auto"/>
              </w:rPr>
            </w:pPr>
            <w:r>
              <w:rPr>
                <w:rFonts w:ascii="Arial" w:cs="Arial" w:eastAsia="Arial" w:hAnsi="Arial"/>
                <w:sz w:val="17"/>
                <w:szCs w:val="17"/>
                <w:color w:val="auto"/>
              </w:rPr>
              <w:t>of shares surrendered to</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240" w:type="dxa"/>
            <w:vAlign w:val="bottom"/>
          </w:tcPr>
          <w:p>
            <w:pPr>
              <w:ind w:left="160"/>
              <w:spacing w:after="0"/>
              <w:rPr>
                <w:sz w:val="20"/>
                <w:szCs w:val="20"/>
                <w:color w:val="auto"/>
              </w:rPr>
            </w:pPr>
            <w:r>
              <w:rPr>
                <w:rFonts w:ascii="Arial" w:cs="Arial" w:eastAsia="Arial" w:hAnsi="Arial"/>
                <w:sz w:val="17"/>
                <w:szCs w:val="17"/>
                <w:color w:val="auto"/>
              </w:rPr>
              <w:t>cover payroll taxes (1,096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2240" w:type="dxa"/>
            <w:vAlign w:val="bottom"/>
          </w:tcPr>
          <w:p>
            <w:pPr>
              <w:ind w:left="160"/>
              <w:spacing w:after="0"/>
              <w:rPr>
                <w:sz w:val="20"/>
                <w:szCs w:val="20"/>
                <w:color w:val="auto"/>
              </w:rPr>
            </w:pPr>
            <w:r>
              <w:rPr>
                <w:rFonts w:ascii="Arial" w:cs="Arial" w:eastAsia="Arial" w:hAnsi="Arial"/>
                <w:sz w:val="17"/>
                <w:szCs w:val="17"/>
                <w:color w:val="auto"/>
              </w:rPr>
              <w:t>shares issued, 0 shares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7"/>
        </w:trPr>
        <w:tc>
          <w:tcPr>
            <w:tcW w:w="2240" w:type="dxa"/>
            <w:vAlign w:val="bottom"/>
          </w:tcPr>
          <w:p>
            <w:pPr>
              <w:ind w:left="160"/>
              <w:spacing w:after="0"/>
              <w:rPr>
                <w:sz w:val="20"/>
                <w:szCs w:val="20"/>
                <w:color w:val="auto"/>
              </w:rPr>
            </w:pPr>
            <w:r>
              <w:rPr>
                <w:rFonts w:ascii="Arial" w:cs="Arial" w:eastAsia="Arial" w:hAnsi="Arial"/>
                <w:sz w:val="17"/>
                <w:szCs w:val="17"/>
                <w:color w:val="auto"/>
              </w:rPr>
              <w:t>deferred)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r>
      <w:tr>
        <w:trPr>
          <w:trHeight w:val="193"/>
        </w:trPr>
        <w:tc>
          <w:tcPr>
            <w:tcW w:w="2240" w:type="dxa"/>
            <w:vAlign w:val="bottom"/>
            <w:tcBorders>
              <w:right w:val="single" w:sz="8" w:color="F0FFFF"/>
            </w:tcBorders>
            <w:shd w:val="clear" w:color="auto" w:fill="F0FFFF"/>
          </w:tcPr>
          <w:p>
            <w:pPr>
              <w:spacing w:after="0" w:line="194" w:lineRule="exact"/>
              <w:rPr>
                <w:sz w:val="20"/>
                <w:szCs w:val="20"/>
                <w:color w:val="auto"/>
              </w:rPr>
            </w:pPr>
            <w:r>
              <w:rPr>
                <w:rFonts w:ascii="Arial" w:cs="Arial" w:eastAsia="Arial" w:hAnsi="Arial"/>
                <w:sz w:val="17"/>
                <w:szCs w:val="17"/>
                <w:color w:val="auto"/>
              </w:rPr>
              <w:t>Deferred compensation plan,</w:t>
            </w:r>
          </w:p>
        </w:tc>
        <w:tc>
          <w:tcPr>
            <w:tcW w:w="120" w:type="dxa"/>
            <w:vAlign w:val="bottom"/>
            <w:shd w:val="clear" w:color="auto" w:fill="F0FFFF"/>
          </w:tcPr>
          <w:p>
            <w:pPr>
              <w:spacing w:after="0"/>
              <w:rPr>
                <w:sz w:val="16"/>
                <w:szCs w:val="16"/>
                <w:color w:val="auto"/>
              </w:rPr>
            </w:pPr>
          </w:p>
        </w:tc>
        <w:tc>
          <w:tcPr>
            <w:tcW w:w="660" w:type="dxa"/>
            <w:vAlign w:val="bottom"/>
            <w:shd w:val="clear" w:color="auto" w:fill="F0FFFF"/>
          </w:tcPr>
          <w:p>
            <w:pPr>
              <w:spacing w:after="0"/>
              <w:rPr>
                <w:sz w:val="16"/>
                <w:szCs w:val="16"/>
                <w:color w:val="auto"/>
              </w:rPr>
            </w:pPr>
          </w:p>
        </w:tc>
        <w:tc>
          <w:tcPr>
            <w:tcW w:w="180" w:type="dxa"/>
            <w:vAlign w:val="bottom"/>
            <w:tcBorders>
              <w:right w:val="single" w:sz="8" w:color="F0FFFF"/>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640" w:type="dxa"/>
            <w:vAlign w:val="bottom"/>
            <w:shd w:val="clear" w:color="auto" w:fill="F0FFFF"/>
          </w:tcPr>
          <w:p>
            <w:pPr>
              <w:spacing w:after="0"/>
              <w:rPr>
                <w:sz w:val="16"/>
                <w:szCs w:val="16"/>
                <w:color w:val="auto"/>
              </w:rPr>
            </w:pPr>
          </w:p>
        </w:tc>
        <w:tc>
          <w:tcPr>
            <w:tcW w:w="180" w:type="dxa"/>
            <w:vAlign w:val="bottom"/>
            <w:tcBorders>
              <w:right w:val="single" w:sz="8" w:color="F0FFFF"/>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6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80" w:type="dxa"/>
            <w:vAlign w:val="bottom"/>
            <w:shd w:val="clear" w:color="auto" w:fill="F0FFFF"/>
          </w:tcPr>
          <w:p>
            <w:pPr>
              <w:spacing w:after="0"/>
              <w:rPr>
                <w:sz w:val="16"/>
                <w:szCs w:val="16"/>
                <w:color w:val="auto"/>
              </w:rPr>
            </w:pPr>
          </w:p>
        </w:tc>
        <w:tc>
          <w:tcPr>
            <w:tcW w:w="180" w:type="dxa"/>
            <w:vAlign w:val="bottom"/>
            <w:tcBorders>
              <w:right w:val="single" w:sz="8" w:color="F0FFFF"/>
            </w:tcBorders>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7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80" w:type="dxa"/>
            <w:vAlign w:val="bottom"/>
            <w:tcBorders>
              <w:right w:val="single" w:sz="8" w:color="F0FFFF"/>
            </w:tcBorders>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8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6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r>
      <w:tr>
        <w:trPr>
          <w:trHeight w:val="205"/>
        </w:trPr>
        <w:tc>
          <w:tcPr>
            <w:tcW w:w="2240" w:type="dxa"/>
            <w:vAlign w:val="bottom"/>
            <w:tcBorders>
              <w:right w:val="single" w:sz="8" w:color="F0FFFF"/>
            </w:tcBorders>
            <w:shd w:val="clear" w:color="auto" w:fill="F0FFFF"/>
          </w:tcPr>
          <w:p>
            <w:pPr>
              <w:ind w:left="160"/>
              <w:spacing w:after="0"/>
              <w:rPr>
                <w:sz w:val="20"/>
                <w:szCs w:val="20"/>
                <w:color w:val="auto"/>
              </w:rPr>
            </w:pPr>
            <w:r>
              <w:rPr>
                <w:rFonts w:ascii="Arial" w:cs="Arial" w:eastAsia="Arial" w:hAnsi="Arial"/>
                <w:sz w:val="17"/>
                <w:szCs w:val="17"/>
                <w:color w:val="auto"/>
              </w:rPr>
              <w:t>net, including dividend</w:t>
            </w:r>
          </w:p>
        </w:tc>
        <w:tc>
          <w:tcPr>
            <w:tcW w:w="12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r>
      <w:tr>
        <w:trPr>
          <w:trHeight w:val="218"/>
        </w:trPr>
        <w:tc>
          <w:tcPr>
            <w:tcW w:w="2240" w:type="dxa"/>
            <w:vAlign w:val="bottom"/>
            <w:tcBorders>
              <w:right w:val="single" w:sz="8" w:color="F0FFFF"/>
            </w:tcBorders>
            <w:shd w:val="clear" w:color="auto" w:fill="F0FFFF"/>
          </w:tcPr>
          <w:p>
            <w:pPr>
              <w:ind w:left="160"/>
              <w:spacing w:after="0"/>
              <w:rPr>
                <w:sz w:val="20"/>
                <w:szCs w:val="20"/>
                <w:color w:val="auto"/>
              </w:rPr>
            </w:pPr>
            <w:r>
              <w:rPr>
                <w:rFonts w:ascii="Arial" w:cs="Arial" w:eastAsia="Arial" w:hAnsi="Arial"/>
                <w:sz w:val="17"/>
                <w:szCs w:val="17"/>
                <w:color w:val="auto"/>
              </w:rPr>
              <w:t>equivalents</w:t>
            </w:r>
          </w:p>
        </w:tc>
        <w:tc>
          <w:tcPr>
            <w:tcW w:w="1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57</w:t>
            </w: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57</w:t>
            </w:r>
          </w:p>
        </w:tc>
      </w:tr>
      <w:tr>
        <w:trPr>
          <w:trHeight w:val="193"/>
        </w:trPr>
        <w:tc>
          <w:tcPr>
            <w:tcW w:w="2240" w:type="dxa"/>
            <w:vAlign w:val="bottom"/>
          </w:tcPr>
          <w:p>
            <w:pPr>
              <w:spacing w:after="0" w:line="193" w:lineRule="exact"/>
              <w:rPr>
                <w:sz w:val="20"/>
                <w:szCs w:val="20"/>
                <w:color w:val="auto"/>
              </w:rPr>
            </w:pPr>
            <w:r>
              <w:rPr>
                <w:rFonts w:ascii="Arial" w:cs="Arial" w:eastAsia="Arial" w:hAnsi="Arial"/>
                <w:sz w:val="17"/>
                <w:szCs w:val="17"/>
                <w:color w:val="auto"/>
              </w:rPr>
              <w:t>Shares issued from deferred</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5"/>
        </w:trPr>
        <w:tc>
          <w:tcPr>
            <w:tcW w:w="2240" w:type="dxa"/>
            <w:vAlign w:val="bottom"/>
          </w:tcPr>
          <w:p>
            <w:pPr>
              <w:ind w:left="160"/>
              <w:spacing w:after="0"/>
              <w:rPr>
                <w:sz w:val="20"/>
                <w:szCs w:val="20"/>
                <w:color w:val="auto"/>
              </w:rPr>
            </w:pPr>
            <w:r>
              <w:rPr>
                <w:rFonts w:ascii="Arial" w:cs="Arial" w:eastAsia="Arial" w:hAnsi="Arial"/>
                <w:sz w:val="17"/>
                <w:szCs w:val="17"/>
                <w:color w:val="auto"/>
              </w:rPr>
              <w:t>compensation plan (7,397</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7"/>
        </w:trPr>
        <w:tc>
          <w:tcPr>
            <w:tcW w:w="2240" w:type="dxa"/>
            <w:vAlign w:val="bottom"/>
          </w:tcPr>
          <w:p>
            <w:pPr>
              <w:ind w:left="160"/>
              <w:spacing w:after="0"/>
              <w:rPr>
                <w:sz w:val="20"/>
                <w:szCs w:val="20"/>
                <w:color w:val="auto"/>
              </w:rPr>
            </w:pPr>
            <w:r>
              <w:rPr>
                <w:rFonts w:ascii="Arial" w:cs="Arial" w:eastAsia="Arial" w:hAnsi="Arial"/>
                <w:sz w:val="17"/>
                <w:szCs w:val="17"/>
                <w:color w:val="auto"/>
              </w:rPr>
              <w:t>shares)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139</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06"/>
        </w:trPr>
        <w:tc>
          <w:tcPr>
            <w:tcW w:w="224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7"/>
                <w:szCs w:val="17"/>
                <w:color w:val="auto"/>
              </w:rPr>
              <w:t>Preferred stock dividends:</w:t>
            </w:r>
          </w:p>
        </w:tc>
        <w:tc>
          <w:tcPr>
            <w:tcW w:w="12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r>
      <w:tr>
        <w:trPr>
          <w:trHeight w:val="205"/>
        </w:trPr>
        <w:tc>
          <w:tcPr>
            <w:tcW w:w="2240" w:type="dxa"/>
            <w:vAlign w:val="bottom"/>
          </w:tcPr>
          <w:p>
            <w:pPr>
              <w:ind w:left="160"/>
              <w:spacing w:after="0"/>
              <w:rPr>
                <w:sz w:val="20"/>
                <w:szCs w:val="20"/>
                <w:color w:val="auto"/>
              </w:rPr>
            </w:pPr>
            <w:r>
              <w:rPr>
                <w:rFonts w:ascii="Arial" w:cs="Arial" w:eastAsia="Arial" w:hAnsi="Arial"/>
                <w:sz w:val="17"/>
                <w:szCs w:val="17"/>
                <w:color w:val="auto"/>
              </w:rPr>
              <w:t>Series B</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(159)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(159)</w:t>
            </w:r>
          </w:p>
        </w:tc>
      </w:tr>
      <w:tr>
        <w:trPr>
          <w:trHeight w:val="205"/>
        </w:trPr>
        <w:tc>
          <w:tcPr>
            <w:tcW w:w="2240" w:type="dxa"/>
            <w:vAlign w:val="bottom"/>
            <w:tcBorders>
              <w:right w:val="single" w:sz="8" w:color="F0FFFF"/>
            </w:tcBorders>
            <w:shd w:val="clear" w:color="auto" w:fill="F0FFFF"/>
          </w:tcPr>
          <w:p>
            <w:pPr>
              <w:ind w:left="160"/>
              <w:spacing w:after="0"/>
              <w:rPr>
                <w:sz w:val="20"/>
                <w:szCs w:val="20"/>
                <w:color w:val="auto"/>
              </w:rPr>
            </w:pPr>
            <w:r>
              <w:rPr>
                <w:rFonts w:ascii="Arial" w:cs="Arial" w:eastAsia="Arial" w:hAnsi="Arial"/>
                <w:sz w:val="17"/>
                <w:szCs w:val="17"/>
                <w:color w:val="auto"/>
              </w:rPr>
              <w:t>Series D</w:t>
            </w:r>
          </w:p>
        </w:tc>
        <w:tc>
          <w:tcPr>
            <w:tcW w:w="12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(280)</w:t>
            </w: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0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(280)</w:t>
            </w:r>
          </w:p>
        </w:tc>
      </w:tr>
      <w:tr>
        <w:trPr>
          <w:trHeight w:val="26"/>
        </w:trPr>
        <w:tc>
          <w:tcPr>
            <w:tcW w:w="224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F0FFFF"/>
            </w:tcBorders>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r>
      <w:tr>
        <w:trPr>
          <w:trHeight w:val="205"/>
        </w:trPr>
        <w:tc>
          <w:tcPr>
            <w:tcW w:w="2240" w:type="dxa"/>
            <w:vAlign w:val="bottom"/>
          </w:tcPr>
          <w:p>
            <w:pPr>
              <w:spacing w:after="0"/>
              <w:rPr>
                <w:sz w:val="20"/>
                <w:szCs w:val="20"/>
                <w:color w:val="auto"/>
              </w:rPr>
            </w:pPr>
            <w:r>
              <w:rPr>
                <w:rFonts w:ascii="Arial" w:cs="Arial" w:eastAsia="Arial" w:hAnsi="Arial"/>
                <w:sz w:val="17"/>
                <w:szCs w:val="17"/>
                <w:b w:val="1"/>
                <w:bCs w:val="1"/>
                <w:color w:val="auto"/>
              </w:rPr>
              <w:t>Balance, March 31, 2014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50,011</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10,081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3,840</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w w:val="95"/>
              </w:rPr>
              <w:t>1,091,696</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(433,130)</w:t>
            </w:r>
          </w:p>
        </w:tc>
        <w:tc>
          <w:tcPr>
            <w:tcW w:w="28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(18,768)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w w:val="97"/>
              </w:rPr>
              <w:t>703,730</w:t>
            </w:r>
          </w:p>
        </w:tc>
      </w:tr>
      <w:tr>
        <w:trPr>
          <w:trHeight w:val="20"/>
        </w:trPr>
        <w:tc>
          <w:tcPr>
            <w:tcW w:w="2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24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r>
      <w:tr>
        <w:trPr>
          <w:trHeight w:val="205"/>
        </w:trPr>
        <w:tc>
          <w:tcPr>
            <w:tcW w:w="2240" w:type="dxa"/>
            <w:vAlign w:val="bottom"/>
          </w:tcPr>
          <w:p>
            <w:pPr>
              <w:spacing w:after="0"/>
              <w:rPr>
                <w:sz w:val="20"/>
                <w:szCs w:val="20"/>
                <w:color w:val="auto"/>
              </w:rPr>
            </w:pPr>
            <w:r>
              <w:rPr>
                <w:rFonts w:ascii="Arial" w:cs="Arial" w:eastAsia="Arial" w:hAnsi="Arial"/>
                <w:sz w:val="17"/>
                <w:szCs w:val="17"/>
                <w:b w:val="1"/>
                <w:bCs w:val="1"/>
                <w:color w:val="auto"/>
                <w:w w:val="96"/>
              </w:rPr>
              <w:t>Balance, December 31, 2014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50,178</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10,081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5,168</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w w:val="95"/>
              </w:rPr>
              <w:t>1,080,508</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(387,568)</w:t>
            </w:r>
          </w:p>
        </w:tc>
        <w:tc>
          <w:tcPr>
            <w:tcW w:w="28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(18,790)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w w:val="97"/>
              </w:rPr>
              <w:t>739,577</w:t>
            </w:r>
          </w:p>
        </w:tc>
      </w:tr>
      <w:tr>
        <w:trPr>
          <w:trHeight w:val="205"/>
        </w:trPr>
        <w:tc>
          <w:tcPr>
            <w:tcW w:w="224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7"/>
                <w:szCs w:val="17"/>
                <w:color w:val="auto"/>
              </w:rPr>
              <w:t>Net income</w:t>
            </w:r>
          </w:p>
        </w:tc>
        <w:tc>
          <w:tcPr>
            <w:tcW w:w="12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17,670</w:t>
            </w: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0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17,670</w:t>
            </w:r>
          </w:p>
        </w:tc>
      </w:tr>
      <w:tr>
        <w:trPr>
          <w:trHeight w:val="205"/>
        </w:trPr>
        <w:tc>
          <w:tcPr>
            <w:tcW w:w="2240" w:type="dxa"/>
            <w:vAlign w:val="bottom"/>
          </w:tcPr>
          <w:p>
            <w:pPr>
              <w:spacing w:after="0"/>
              <w:rPr>
                <w:sz w:val="20"/>
                <w:szCs w:val="20"/>
                <w:color w:val="auto"/>
              </w:rPr>
            </w:pPr>
            <w:r>
              <w:rPr>
                <w:rFonts w:ascii="Arial" w:cs="Arial" w:eastAsia="Arial" w:hAnsi="Arial"/>
                <w:sz w:val="17"/>
                <w:szCs w:val="17"/>
                <w:color w:val="auto"/>
                <w:w w:val="99"/>
              </w:rPr>
              <w:t>Other comprehensive income</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8,114</w:t>
            </w: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8,114</w:t>
            </w:r>
          </w:p>
        </w:tc>
      </w:tr>
      <w:tr>
        <w:trPr>
          <w:trHeight w:val="193"/>
        </w:trPr>
        <w:tc>
          <w:tcPr>
            <w:tcW w:w="2240" w:type="dxa"/>
            <w:vAlign w:val="bottom"/>
            <w:tcBorders>
              <w:right w:val="single" w:sz="8" w:color="F0FFFF"/>
            </w:tcBorders>
            <w:shd w:val="clear" w:color="auto" w:fill="F0FFFF"/>
          </w:tcPr>
          <w:p>
            <w:pPr>
              <w:spacing w:after="0" w:line="193" w:lineRule="exact"/>
              <w:rPr>
                <w:sz w:val="20"/>
                <w:szCs w:val="20"/>
                <w:color w:val="auto"/>
              </w:rPr>
            </w:pPr>
            <w:r>
              <w:rPr>
                <w:rFonts w:ascii="Arial" w:cs="Arial" w:eastAsia="Arial" w:hAnsi="Arial"/>
                <w:sz w:val="17"/>
                <w:szCs w:val="17"/>
                <w:color w:val="auto"/>
              </w:rPr>
              <w:t>Common stock issued to</w:t>
            </w:r>
          </w:p>
        </w:tc>
        <w:tc>
          <w:tcPr>
            <w:tcW w:w="120" w:type="dxa"/>
            <w:vAlign w:val="bottom"/>
            <w:shd w:val="clear" w:color="auto" w:fill="F0FFFF"/>
          </w:tcPr>
          <w:p>
            <w:pPr>
              <w:spacing w:after="0"/>
              <w:rPr>
                <w:sz w:val="16"/>
                <w:szCs w:val="16"/>
                <w:color w:val="auto"/>
              </w:rPr>
            </w:pPr>
          </w:p>
        </w:tc>
        <w:tc>
          <w:tcPr>
            <w:tcW w:w="660" w:type="dxa"/>
            <w:vAlign w:val="bottom"/>
            <w:shd w:val="clear" w:color="auto" w:fill="F0FFFF"/>
          </w:tcPr>
          <w:p>
            <w:pPr>
              <w:spacing w:after="0"/>
              <w:rPr>
                <w:sz w:val="16"/>
                <w:szCs w:val="16"/>
                <w:color w:val="auto"/>
              </w:rPr>
            </w:pPr>
          </w:p>
        </w:tc>
        <w:tc>
          <w:tcPr>
            <w:tcW w:w="180" w:type="dxa"/>
            <w:vAlign w:val="bottom"/>
            <w:tcBorders>
              <w:right w:val="single" w:sz="8" w:color="F0FFFF"/>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640" w:type="dxa"/>
            <w:vAlign w:val="bottom"/>
            <w:shd w:val="clear" w:color="auto" w:fill="F0FFFF"/>
          </w:tcPr>
          <w:p>
            <w:pPr>
              <w:spacing w:after="0"/>
              <w:rPr>
                <w:sz w:val="16"/>
                <w:szCs w:val="16"/>
                <w:color w:val="auto"/>
              </w:rPr>
            </w:pPr>
          </w:p>
        </w:tc>
        <w:tc>
          <w:tcPr>
            <w:tcW w:w="180" w:type="dxa"/>
            <w:vAlign w:val="bottom"/>
            <w:tcBorders>
              <w:right w:val="single" w:sz="8" w:color="F0FFFF"/>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6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80" w:type="dxa"/>
            <w:vAlign w:val="bottom"/>
            <w:shd w:val="clear" w:color="auto" w:fill="F0FFFF"/>
          </w:tcPr>
          <w:p>
            <w:pPr>
              <w:spacing w:after="0"/>
              <w:rPr>
                <w:sz w:val="16"/>
                <w:szCs w:val="16"/>
                <w:color w:val="auto"/>
              </w:rPr>
            </w:pPr>
          </w:p>
        </w:tc>
        <w:tc>
          <w:tcPr>
            <w:tcW w:w="180" w:type="dxa"/>
            <w:vAlign w:val="bottom"/>
            <w:tcBorders>
              <w:right w:val="single" w:sz="8" w:color="F0FFFF"/>
            </w:tcBorders>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7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80" w:type="dxa"/>
            <w:vAlign w:val="bottom"/>
            <w:tcBorders>
              <w:right w:val="single" w:sz="8" w:color="F0FFFF"/>
            </w:tcBorders>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8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6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r>
      <w:tr>
        <w:trPr>
          <w:trHeight w:val="205"/>
        </w:trPr>
        <w:tc>
          <w:tcPr>
            <w:tcW w:w="2240" w:type="dxa"/>
            <w:vAlign w:val="bottom"/>
            <w:tcBorders>
              <w:right w:val="single" w:sz="8" w:color="F0FFFF"/>
            </w:tcBorders>
            <w:shd w:val="clear" w:color="auto" w:fill="F0FFFF"/>
          </w:tcPr>
          <w:p>
            <w:pPr>
              <w:ind w:left="160"/>
              <w:spacing w:after="0"/>
              <w:rPr>
                <w:sz w:val="20"/>
                <w:szCs w:val="20"/>
                <w:color w:val="auto"/>
              </w:rPr>
            </w:pPr>
            <w:r>
              <w:rPr>
                <w:rFonts w:ascii="Arial" w:cs="Arial" w:eastAsia="Arial" w:hAnsi="Arial"/>
                <w:sz w:val="17"/>
                <w:szCs w:val="17"/>
                <w:color w:val="auto"/>
              </w:rPr>
              <w:t>dividend reinvestment plan</w:t>
            </w:r>
          </w:p>
        </w:tc>
        <w:tc>
          <w:tcPr>
            <w:tcW w:w="12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r>
      <w:tr>
        <w:trPr>
          <w:trHeight w:val="205"/>
        </w:trPr>
        <w:tc>
          <w:tcPr>
            <w:tcW w:w="2240" w:type="dxa"/>
            <w:vAlign w:val="bottom"/>
            <w:tcBorders>
              <w:right w:val="single" w:sz="8" w:color="F0FFFF"/>
            </w:tcBorders>
            <w:shd w:val="clear" w:color="auto" w:fill="F0FFFF"/>
          </w:tcPr>
          <w:p>
            <w:pPr>
              <w:ind w:left="160"/>
              <w:spacing w:after="0"/>
              <w:rPr>
                <w:sz w:val="20"/>
                <w:szCs w:val="20"/>
                <w:color w:val="auto"/>
              </w:rPr>
            </w:pPr>
            <w:r>
              <w:rPr>
                <w:rFonts w:ascii="Arial" w:cs="Arial" w:eastAsia="Arial" w:hAnsi="Arial"/>
                <w:sz w:val="17"/>
                <w:szCs w:val="17"/>
                <w:color w:val="auto"/>
                <w:w w:val="98"/>
              </w:rPr>
              <w:t>and employee benefit plans</w:t>
            </w:r>
          </w:p>
        </w:tc>
        <w:tc>
          <w:tcPr>
            <w:tcW w:w="12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r>
      <w:tr>
        <w:trPr>
          <w:trHeight w:val="218"/>
        </w:trPr>
        <w:tc>
          <w:tcPr>
            <w:tcW w:w="2240" w:type="dxa"/>
            <w:vAlign w:val="bottom"/>
            <w:tcBorders>
              <w:right w:val="single" w:sz="8" w:color="F0FFFF"/>
            </w:tcBorders>
            <w:shd w:val="clear" w:color="auto" w:fill="F0FFFF"/>
          </w:tcPr>
          <w:p>
            <w:pPr>
              <w:ind w:left="160"/>
              <w:spacing w:after="0"/>
              <w:rPr>
                <w:sz w:val="20"/>
                <w:szCs w:val="20"/>
                <w:color w:val="auto"/>
              </w:rPr>
            </w:pPr>
            <w:r>
              <w:rPr>
                <w:rFonts w:ascii="Arial" w:cs="Arial" w:eastAsia="Arial" w:hAnsi="Arial"/>
                <w:sz w:val="17"/>
                <w:szCs w:val="17"/>
                <w:color w:val="auto"/>
              </w:rPr>
              <w:t>(3,689 shares)</w:t>
            </w:r>
          </w:p>
        </w:tc>
        <w:tc>
          <w:tcPr>
            <w:tcW w:w="1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2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4</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tcBorders>
              <w:right w:val="single" w:sz="8" w:color="F0FFFF"/>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57</w:t>
            </w:r>
          </w:p>
        </w:tc>
        <w:tc>
          <w:tcPr>
            <w:tcW w:w="1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61</w:t>
            </w:r>
          </w:p>
        </w:tc>
      </w:tr>
      <w:tr>
        <w:trPr>
          <w:trHeight w:val="193"/>
        </w:trPr>
        <w:tc>
          <w:tcPr>
            <w:tcW w:w="2240" w:type="dxa"/>
            <w:vAlign w:val="bottom"/>
          </w:tcPr>
          <w:p>
            <w:pPr>
              <w:spacing w:after="0" w:line="193" w:lineRule="exact"/>
              <w:rPr>
                <w:sz w:val="20"/>
                <w:szCs w:val="20"/>
                <w:color w:val="auto"/>
              </w:rPr>
            </w:pPr>
            <w:r>
              <w:rPr>
                <w:rFonts w:ascii="Arial" w:cs="Arial" w:eastAsia="Arial" w:hAnsi="Arial"/>
                <w:sz w:val="17"/>
                <w:szCs w:val="17"/>
                <w:color w:val="auto"/>
              </w:rPr>
              <w:t>Amortization of stock option</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7"/>
        </w:trPr>
        <w:tc>
          <w:tcPr>
            <w:tcW w:w="2240" w:type="dxa"/>
            <w:vAlign w:val="bottom"/>
          </w:tcPr>
          <w:p>
            <w:pPr>
              <w:ind w:left="160"/>
              <w:spacing w:after="0"/>
              <w:rPr>
                <w:sz w:val="20"/>
                <w:szCs w:val="20"/>
                <w:color w:val="auto"/>
              </w:rPr>
            </w:pPr>
            <w:r>
              <w:rPr>
                <w:rFonts w:ascii="Arial" w:cs="Arial" w:eastAsia="Arial" w:hAnsi="Arial"/>
                <w:sz w:val="17"/>
                <w:szCs w:val="17"/>
                <w:color w:val="auto"/>
                <w:w w:val="98"/>
              </w:rPr>
              <w:t>and restricted stock awards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991</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991</w:t>
            </w:r>
          </w:p>
        </w:tc>
      </w:tr>
      <w:tr>
        <w:trPr>
          <w:trHeight w:val="193"/>
        </w:trPr>
        <w:tc>
          <w:tcPr>
            <w:tcW w:w="2240" w:type="dxa"/>
            <w:vAlign w:val="bottom"/>
            <w:tcBorders>
              <w:right w:val="single" w:sz="8" w:color="F0FFFF"/>
            </w:tcBorders>
            <w:shd w:val="clear" w:color="auto" w:fill="F0FFFF"/>
          </w:tcPr>
          <w:p>
            <w:pPr>
              <w:spacing w:after="0" w:line="194" w:lineRule="exact"/>
              <w:rPr>
                <w:sz w:val="20"/>
                <w:szCs w:val="20"/>
                <w:color w:val="auto"/>
              </w:rPr>
            </w:pPr>
            <w:r>
              <w:rPr>
                <w:rFonts w:ascii="Arial" w:cs="Arial" w:eastAsia="Arial" w:hAnsi="Arial"/>
                <w:sz w:val="17"/>
                <w:szCs w:val="17"/>
                <w:color w:val="auto"/>
                <w:w w:val="96"/>
              </w:rPr>
              <w:t>Vesting of restricted stock, net</w:t>
            </w:r>
          </w:p>
        </w:tc>
        <w:tc>
          <w:tcPr>
            <w:tcW w:w="120" w:type="dxa"/>
            <w:vAlign w:val="bottom"/>
            <w:shd w:val="clear" w:color="auto" w:fill="F0FFFF"/>
          </w:tcPr>
          <w:p>
            <w:pPr>
              <w:spacing w:after="0"/>
              <w:rPr>
                <w:sz w:val="16"/>
                <w:szCs w:val="16"/>
                <w:color w:val="auto"/>
              </w:rPr>
            </w:pPr>
          </w:p>
        </w:tc>
        <w:tc>
          <w:tcPr>
            <w:tcW w:w="660" w:type="dxa"/>
            <w:vAlign w:val="bottom"/>
            <w:shd w:val="clear" w:color="auto" w:fill="F0FFFF"/>
          </w:tcPr>
          <w:p>
            <w:pPr>
              <w:spacing w:after="0"/>
              <w:rPr>
                <w:sz w:val="16"/>
                <w:szCs w:val="16"/>
                <w:color w:val="auto"/>
              </w:rPr>
            </w:pPr>
          </w:p>
        </w:tc>
        <w:tc>
          <w:tcPr>
            <w:tcW w:w="180" w:type="dxa"/>
            <w:vAlign w:val="bottom"/>
            <w:tcBorders>
              <w:right w:val="single" w:sz="8" w:color="F0FFFF"/>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640" w:type="dxa"/>
            <w:vAlign w:val="bottom"/>
            <w:shd w:val="clear" w:color="auto" w:fill="F0FFFF"/>
          </w:tcPr>
          <w:p>
            <w:pPr>
              <w:spacing w:after="0"/>
              <w:rPr>
                <w:sz w:val="16"/>
                <w:szCs w:val="16"/>
                <w:color w:val="auto"/>
              </w:rPr>
            </w:pPr>
          </w:p>
        </w:tc>
        <w:tc>
          <w:tcPr>
            <w:tcW w:w="180" w:type="dxa"/>
            <w:vAlign w:val="bottom"/>
            <w:tcBorders>
              <w:right w:val="single" w:sz="8" w:color="F0FFFF"/>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6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80" w:type="dxa"/>
            <w:vAlign w:val="bottom"/>
            <w:shd w:val="clear" w:color="auto" w:fill="F0FFFF"/>
          </w:tcPr>
          <w:p>
            <w:pPr>
              <w:spacing w:after="0"/>
              <w:rPr>
                <w:sz w:val="16"/>
                <w:szCs w:val="16"/>
                <w:color w:val="auto"/>
              </w:rPr>
            </w:pPr>
          </w:p>
        </w:tc>
        <w:tc>
          <w:tcPr>
            <w:tcW w:w="180" w:type="dxa"/>
            <w:vAlign w:val="bottom"/>
            <w:tcBorders>
              <w:right w:val="single" w:sz="8" w:color="F0FFFF"/>
            </w:tcBorders>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7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80" w:type="dxa"/>
            <w:vAlign w:val="bottom"/>
            <w:tcBorders>
              <w:right w:val="single" w:sz="8" w:color="F0FFFF"/>
            </w:tcBorders>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8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6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r>
      <w:tr>
        <w:trPr>
          <w:trHeight w:val="205"/>
        </w:trPr>
        <w:tc>
          <w:tcPr>
            <w:tcW w:w="2240" w:type="dxa"/>
            <w:vAlign w:val="bottom"/>
            <w:tcBorders>
              <w:right w:val="single" w:sz="8" w:color="F0FFFF"/>
            </w:tcBorders>
            <w:shd w:val="clear" w:color="auto" w:fill="F0FFFF"/>
          </w:tcPr>
          <w:p>
            <w:pPr>
              <w:ind w:left="160"/>
              <w:spacing w:after="0"/>
              <w:rPr>
                <w:sz w:val="20"/>
                <w:szCs w:val="20"/>
                <w:color w:val="auto"/>
              </w:rPr>
            </w:pPr>
            <w:r>
              <w:rPr>
                <w:rFonts w:ascii="Arial" w:cs="Arial" w:eastAsia="Arial" w:hAnsi="Arial"/>
                <w:sz w:val="17"/>
                <w:szCs w:val="17"/>
                <w:color w:val="auto"/>
              </w:rPr>
              <w:t>of shares surrendered to</w:t>
            </w:r>
          </w:p>
        </w:tc>
        <w:tc>
          <w:tcPr>
            <w:tcW w:w="12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r>
      <w:tr>
        <w:trPr>
          <w:trHeight w:val="205"/>
        </w:trPr>
        <w:tc>
          <w:tcPr>
            <w:tcW w:w="2240" w:type="dxa"/>
            <w:vAlign w:val="bottom"/>
            <w:tcBorders>
              <w:right w:val="single" w:sz="8" w:color="F0FFFF"/>
            </w:tcBorders>
            <w:shd w:val="clear" w:color="auto" w:fill="F0FFFF"/>
          </w:tcPr>
          <w:p>
            <w:pPr>
              <w:ind w:left="160"/>
              <w:spacing w:after="0"/>
              <w:rPr>
                <w:sz w:val="20"/>
                <w:szCs w:val="20"/>
                <w:color w:val="auto"/>
              </w:rPr>
            </w:pPr>
            <w:r>
              <w:rPr>
                <w:rFonts w:ascii="Arial" w:cs="Arial" w:eastAsia="Arial" w:hAnsi="Arial"/>
                <w:sz w:val="17"/>
                <w:szCs w:val="17"/>
                <w:color w:val="auto"/>
                <w:w w:val="99"/>
              </w:rPr>
              <w:t>cover payroll taxes (31,718</w:t>
            </w:r>
          </w:p>
        </w:tc>
        <w:tc>
          <w:tcPr>
            <w:tcW w:w="12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r>
      <w:tr>
        <w:trPr>
          <w:trHeight w:val="205"/>
        </w:trPr>
        <w:tc>
          <w:tcPr>
            <w:tcW w:w="2240" w:type="dxa"/>
            <w:vAlign w:val="bottom"/>
            <w:tcBorders>
              <w:right w:val="single" w:sz="8" w:color="F0FFFF"/>
            </w:tcBorders>
            <w:shd w:val="clear" w:color="auto" w:fill="F0FFFF"/>
          </w:tcPr>
          <w:p>
            <w:pPr>
              <w:ind w:left="160"/>
              <w:spacing w:after="0"/>
              <w:rPr>
                <w:sz w:val="20"/>
                <w:szCs w:val="20"/>
                <w:color w:val="auto"/>
              </w:rPr>
            </w:pPr>
            <w:r>
              <w:rPr>
                <w:rFonts w:ascii="Arial" w:cs="Arial" w:eastAsia="Arial" w:hAnsi="Arial"/>
                <w:sz w:val="17"/>
                <w:szCs w:val="17"/>
                <w:color w:val="auto"/>
                <w:w w:val="91"/>
              </w:rPr>
              <w:t>shares issued, 51,326 shares</w:t>
            </w:r>
          </w:p>
        </w:tc>
        <w:tc>
          <w:tcPr>
            <w:tcW w:w="12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r>
      <w:tr>
        <w:trPr>
          <w:trHeight w:val="218"/>
        </w:trPr>
        <w:tc>
          <w:tcPr>
            <w:tcW w:w="2240" w:type="dxa"/>
            <w:vAlign w:val="bottom"/>
            <w:tcBorders>
              <w:right w:val="single" w:sz="8" w:color="F0FFFF"/>
            </w:tcBorders>
            <w:shd w:val="clear" w:color="auto" w:fill="F0FFFF"/>
          </w:tcPr>
          <w:p>
            <w:pPr>
              <w:ind w:left="160"/>
              <w:spacing w:after="0"/>
              <w:rPr>
                <w:sz w:val="20"/>
                <w:szCs w:val="20"/>
                <w:color w:val="auto"/>
              </w:rPr>
            </w:pPr>
            <w:r>
              <w:rPr>
                <w:rFonts w:ascii="Arial" w:cs="Arial" w:eastAsia="Arial" w:hAnsi="Arial"/>
                <w:sz w:val="17"/>
                <w:szCs w:val="17"/>
                <w:color w:val="auto"/>
              </w:rPr>
              <w:t>deferred)</w:t>
            </w:r>
          </w:p>
        </w:tc>
        <w:tc>
          <w:tcPr>
            <w:tcW w:w="1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2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32</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759</w:t>
            </w: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(1,129)</w:t>
            </w:r>
          </w:p>
        </w:tc>
        <w:tc>
          <w:tcPr>
            <w:tcW w:w="1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(338)</w:t>
            </w:r>
          </w:p>
        </w:tc>
      </w:tr>
      <w:tr>
        <w:trPr>
          <w:trHeight w:val="193"/>
        </w:trPr>
        <w:tc>
          <w:tcPr>
            <w:tcW w:w="2240" w:type="dxa"/>
            <w:vAlign w:val="bottom"/>
          </w:tcPr>
          <w:p>
            <w:pPr>
              <w:spacing w:after="0" w:line="193" w:lineRule="exact"/>
              <w:rPr>
                <w:sz w:val="20"/>
                <w:szCs w:val="20"/>
                <w:color w:val="auto"/>
              </w:rPr>
            </w:pPr>
            <w:r>
              <w:rPr>
                <w:rFonts w:ascii="Arial" w:cs="Arial" w:eastAsia="Arial" w:hAnsi="Arial"/>
                <w:sz w:val="17"/>
                <w:szCs w:val="17"/>
                <w:color w:val="auto"/>
              </w:rPr>
              <w:t>Deferred compensation plan,</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5"/>
        </w:trPr>
        <w:tc>
          <w:tcPr>
            <w:tcW w:w="2240" w:type="dxa"/>
            <w:vAlign w:val="bottom"/>
          </w:tcPr>
          <w:p>
            <w:pPr>
              <w:ind w:left="160"/>
              <w:spacing w:after="0"/>
              <w:rPr>
                <w:sz w:val="20"/>
                <w:szCs w:val="20"/>
                <w:color w:val="auto"/>
              </w:rPr>
            </w:pPr>
            <w:r>
              <w:rPr>
                <w:rFonts w:ascii="Arial" w:cs="Arial" w:eastAsia="Arial" w:hAnsi="Arial"/>
                <w:sz w:val="17"/>
                <w:szCs w:val="17"/>
                <w:color w:val="auto"/>
              </w:rPr>
              <w:t>net, including dividend</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7"/>
        </w:trPr>
        <w:tc>
          <w:tcPr>
            <w:tcW w:w="2240" w:type="dxa"/>
            <w:vAlign w:val="bottom"/>
          </w:tcPr>
          <w:p>
            <w:pPr>
              <w:ind w:left="160"/>
              <w:spacing w:after="0"/>
              <w:rPr>
                <w:sz w:val="20"/>
                <w:szCs w:val="20"/>
                <w:color w:val="auto"/>
              </w:rPr>
            </w:pPr>
            <w:r>
              <w:rPr>
                <w:rFonts w:ascii="Arial" w:cs="Arial" w:eastAsia="Arial" w:hAnsi="Arial"/>
                <w:sz w:val="17"/>
                <w:szCs w:val="17"/>
                <w:color w:val="auto"/>
              </w:rPr>
              <w:t>equivalents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106</w:t>
            </w:r>
          </w:p>
        </w:tc>
      </w:tr>
      <w:tr>
        <w:trPr>
          <w:trHeight w:val="193"/>
        </w:trPr>
        <w:tc>
          <w:tcPr>
            <w:tcW w:w="2240" w:type="dxa"/>
            <w:vAlign w:val="bottom"/>
            <w:tcBorders>
              <w:right w:val="single" w:sz="8" w:color="F0FFFF"/>
            </w:tcBorders>
            <w:shd w:val="clear" w:color="auto" w:fill="F0FFFF"/>
          </w:tcPr>
          <w:p>
            <w:pPr>
              <w:spacing w:after="0" w:line="194" w:lineRule="exact"/>
              <w:rPr>
                <w:sz w:val="20"/>
                <w:szCs w:val="20"/>
                <w:color w:val="auto"/>
              </w:rPr>
            </w:pPr>
            <w:r>
              <w:rPr>
                <w:rFonts w:ascii="Arial" w:cs="Arial" w:eastAsia="Arial" w:hAnsi="Arial"/>
                <w:sz w:val="17"/>
                <w:szCs w:val="17"/>
                <w:color w:val="auto"/>
              </w:rPr>
              <w:t>Shares issued from deferred</w:t>
            </w:r>
          </w:p>
        </w:tc>
        <w:tc>
          <w:tcPr>
            <w:tcW w:w="120" w:type="dxa"/>
            <w:vAlign w:val="bottom"/>
            <w:shd w:val="clear" w:color="auto" w:fill="F0FFFF"/>
          </w:tcPr>
          <w:p>
            <w:pPr>
              <w:spacing w:after="0"/>
              <w:rPr>
                <w:sz w:val="16"/>
                <w:szCs w:val="16"/>
                <w:color w:val="auto"/>
              </w:rPr>
            </w:pPr>
          </w:p>
        </w:tc>
        <w:tc>
          <w:tcPr>
            <w:tcW w:w="660" w:type="dxa"/>
            <w:vAlign w:val="bottom"/>
            <w:shd w:val="clear" w:color="auto" w:fill="F0FFFF"/>
          </w:tcPr>
          <w:p>
            <w:pPr>
              <w:spacing w:after="0"/>
              <w:rPr>
                <w:sz w:val="16"/>
                <w:szCs w:val="16"/>
                <w:color w:val="auto"/>
              </w:rPr>
            </w:pPr>
          </w:p>
        </w:tc>
        <w:tc>
          <w:tcPr>
            <w:tcW w:w="180" w:type="dxa"/>
            <w:vAlign w:val="bottom"/>
            <w:tcBorders>
              <w:right w:val="single" w:sz="8" w:color="F0FFFF"/>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640" w:type="dxa"/>
            <w:vAlign w:val="bottom"/>
            <w:shd w:val="clear" w:color="auto" w:fill="F0FFFF"/>
          </w:tcPr>
          <w:p>
            <w:pPr>
              <w:spacing w:after="0"/>
              <w:rPr>
                <w:sz w:val="16"/>
                <w:szCs w:val="16"/>
                <w:color w:val="auto"/>
              </w:rPr>
            </w:pPr>
          </w:p>
        </w:tc>
        <w:tc>
          <w:tcPr>
            <w:tcW w:w="180" w:type="dxa"/>
            <w:vAlign w:val="bottom"/>
            <w:tcBorders>
              <w:right w:val="single" w:sz="8" w:color="F0FFFF"/>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6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80" w:type="dxa"/>
            <w:vAlign w:val="bottom"/>
            <w:shd w:val="clear" w:color="auto" w:fill="F0FFFF"/>
          </w:tcPr>
          <w:p>
            <w:pPr>
              <w:spacing w:after="0"/>
              <w:rPr>
                <w:sz w:val="16"/>
                <w:szCs w:val="16"/>
                <w:color w:val="auto"/>
              </w:rPr>
            </w:pPr>
          </w:p>
        </w:tc>
        <w:tc>
          <w:tcPr>
            <w:tcW w:w="180" w:type="dxa"/>
            <w:vAlign w:val="bottom"/>
            <w:tcBorders>
              <w:right w:val="single" w:sz="8" w:color="F0FFFF"/>
            </w:tcBorders>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7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80" w:type="dxa"/>
            <w:vAlign w:val="bottom"/>
            <w:tcBorders>
              <w:right w:val="single" w:sz="8" w:color="F0FFFF"/>
            </w:tcBorders>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8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6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r>
      <w:tr>
        <w:trPr>
          <w:trHeight w:val="205"/>
        </w:trPr>
        <w:tc>
          <w:tcPr>
            <w:tcW w:w="2240" w:type="dxa"/>
            <w:vAlign w:val="bottom"/>
            <w:tcBorders>
              <w:right w:val="single" w:sz="8" w:color="F0FFFF"/>
            </w:tcBorders>
            <w:shd w:val="clear" w:color="auto" w:fill="F0FFFF"/>
          </w:tcPr>
          <w:p>
            <w:pPr>
              <w:ind w:left="160"/>
              <w:spacing w:after="0"/>
              <w:rPr>
                <w:sz w:val="20"/>
                <w:szCs w:val="20"/>
                <w:color w:val="auto"/>
              </w:rPr>
            </w:pPr>
            <w:r>
              <w:rPr>
                <w:rFonts w:ascii="Arial" w:cs="Arial" w:eastAsia="Arial" w:hAnsi="Arial"/>
                <w:sz w:val="17"/>
                <w:szCs w:val="17"/>
                <w:color w:val="auto"/>
                <w:w w:val="99"/>
              </w:rPr>
              <w:t>compensation plan (14,063</w:t>
            </w:r>
          </w:p>
        </w:tc>
        <w:tc>
          <w:tcPr>
            <w:tcW w:w="12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r>
      <w:tr>
        <w:trPr>
          <w:trHeight w:val="218"/>
        </w:trPr>
        <w:tc>
          <w:tcPr>
            <w:tcW w:w="2240" w:type="dxa"/>
            <w:vAlign w:val="bottom"/>
            <w:tcBorders>
              <w:right w:val="single" w:sz="8" w:color="F0FFFF"/>
            </w:tcBorders>
            <w:shd w:val="clear" w:color="auto" w:fill="F0FFFF"/>
          </w:tcPr>
          <w:p>
            <w:pPr>
              <w:ind w:left="160"/>
              <w:spacing w:after="0"/>
              <w:rPr>
                <w:sz w:val="20"/>
                <w:szCs w:val="20"/>
                <w:color w:val="auto"/>
              </w:rPr>
            </w:pPr>
            <w:r>
              <w:rPr>
                <w:rFonts w:ascii="Arial" w:cs="Arial" w:eastAsia="Arial" w:hAnsi="Arial"/>
                <w:sz w:val="17"/>
                <w:szCs w:val="17"/>
                <w:color w:val="auto"/>
              </w:rPr>
              <w:t>shares)</w:t>
            </w:r>
          </w:p>
        </w:tc>
        <w:tc>
          <w:tcPr>
            <w:tcW w:w="1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2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14</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8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(138)</w:t>
            </w: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tcBorders>
              <w:right w:val="single" w:sz="8" w:color="F0FFFF"/>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124</w:t>
            </w:r>
          </w:p>
        </w:tc>
        <w:tc>
          <w:tcPr>
            <w:tcW w:w="1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w:t>
            </w:r>
          </w:p>
        </w:tc>
      </w:tr>
      <w:tr>
        <w:trPr>
          <w:trHeight w:val="193"/>
        </w:trPr>
        <w:tc>
          <w:tcPr>
            <w:tcW w:w="2240" w:type="dxa"/>
            <w:vAlign w:val="bottom"/>
          </w:tcPr>
          <w:p>
            <w:pPr>
              <w:spacing w:after="0" w:line="193" w:lineRule="exact"/>
              <w:rPr>
                <w:sz w:val="20"/>
                <w:szCs w:val="20"/>
                <w:color w:val="auto"/>
              </w:rPr>
            </w:pPr>
            <w:r>
              <w:rPr>
                <w:rFonts w:ascii="Arial" w:cs="Arial" w:eastAsia="Arial" w:hAnsi="Arial"/>
                <w:sz w:val="17"/>
                <w:szCs w:val="17"/>
                <w:color w:val="auto"/>
                <w:w w:val="94"/>
              </w:rPr>
              <w:t>Common stock dividends ($.05</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7"/>
        </w:trPr>
        <w:tc>
          <w:tcPr>
            <w:tcW w:w="2240" w:type="dxa"/>
            <w:vAlign w:val="bottom"/>
          </w:tcPr>
          <w:p>
            <w:pPr>
              <w:ind w:left="160"/>
              <w:spacing w:after="0"/>
              <w:rPr>
                <w:sz w:val="20"/>
                <w:szCs w:val="20"/>
                <w:color w:val="auto"/>
              </w:rPr>
            </w:pPr>
            <w:r>
              <w:rPr>
                <w:rFonts w:ascii="Arial" w:cs="Arial" w:eastAsia="Arial" w:hAnsi="Arial"/>
                <w:sz w:val="17"/>
                <w:szCs w:val="17"/>
                <w:color w:val="auto"/>
              </w:rPr>
              <w:t>per share)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(3,035)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(3,035)</w:t>
            </w:r>
          </w:p>
        </w:tc>
      </w:tr>
      <w:tr>
        <w:trPr>
          <w:trHeight w:val="206"/>
        </w:trPr>
        <w:tc>
          <w:tcPr>
            <w:tcW w:w="224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7"/>
                <w:szCs w:val="17"/>
                <w:color w:val="auto"/>
                <w:w w:val="95"/>
              </w:rPr>
              <w:t>Tax on restricted stock vesting</w:t>
            </w:r>
          </w:p>
        </w:tc>
        <w:tc>
          <w:tcPr>
            <w:tcW w:w="12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80" w:type="dxa"/>
            <w:vAlign w:val="bottom"/>
            <w:tcBorders>
              <w:righ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20" w:type="dxa"/>
            <w:vAlign w:val="bottom"/>
            <w:tcBorders>
              <w:right w:val="single" w:sz="8" w:color="F0FFFF"/>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559</w:t>
            </w:r>
          </w:p>
        </w:tc>
        <w:tc>
          <w:tcPr>
            <w:tcW w:w="18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0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559</w:t>
            </w:r>
          </w:p>
        </w:tc>
      </w:tr>
      <w:tr>
        <w:trPr>
          <w:trHeight w:val="26"/>
        </w:trPr>
        <w:tc>
          <w:tcPr>
            <w:tcW w:w="224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F0FFFF"/>
            </w:tcBorders>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r>
      <w:tr>
        <w:trPr>
          <w:trHeight w:val="205"/>
        </w:trPr>
        <w:tc>
          <w:tcPr>
            <w:tcW w:w="2240" w:type="dxa"/>
            <w:vAlign w:val="bottom"/>
          </w:tcPr>
          <w:p>
            <w:pPr>
              <w:spacing w:after="0"/>
              <w:rPr>
                <w:sz w:val="20"/>
                <w:szCs w:val="20"/>
                <w:color w:val="auto"/>
              </w:rPr>
            </w:pPr>
            <w:r>
              <w:rPr>
                <w:rFonts w:ascii="Arial" w:cs="Arial" w:eastAsia="Arial" w:hAnsi="Arial"/>
                <w:sz w:val="17"/>
                <w:szCs w:val="17"/>
                <w:b w:val="1"/>
                <w:bCs w:val="1"/>
                <w:color w:val="auto"/>
              </w:rPr>
              <w:t>Balance, March 31, 2015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50,228</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10,081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5,895</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w w:val="95"/>
              </w:rPr>
              <w:t>1,081,110</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(372,933)</w:t>
            </w:r>
          </w:p>
        </w:tc>
        <w:tc>
          <w:tcPr>
            <w:tcW w:w="28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(10,676)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w w:val="97"/>
              </w:rPr>
              <w:t>763,705</w:t>
            </w:r>
          </w:p>
        </w:tc>
      </w:tr>
      <w:tr>
        <w:trPr>
          <w:trHeight w:val="20"/>
        </w:trPr>
        <w:tc>
          <w:tcPr>
            <w:tcW w:w="2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79" w:right="239" w:bottom="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UNITED COMMUNITY BANKS,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Consolidated Statement of Cash Flows </w:t>
      </w:r>
      <w:r>
        <w:rPr>
          <w:rFonts w:ascii="Arial" w:cs="Arial" w:eastAsia="Arial" w:hAnsi="Arial"/>
          <w:sz w:val="17"/>
          <w:szCs w:val="17"/>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18820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8200" cy="1651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6"/>
          </w:tcPr>
          <w:p>
            <w:pPr>
              <w:jc w:val="right"/>
              <w:ind w:right="580"/>
              <w:spacing w:after="0"/>
              <w:rPr>
                <w:sz w:val="20"/>
                <w:szCs w:val="20"/>
                <w:color w:val="auto"/>
              </w:rPr>
            </w:pPr>
            <w:r>
              <w:rPr>
                <w:rFonts w:ascii="Arial" w:cs="Arial" w:eastAsia="Arial" w:hAnsi="Arial"/>
                <w:sz w:val="17"/>
                <w:szCs w:val="17"/>
                <w:b w:val="1"/>
                <w:bCs w:val="1"/>
                <w:color w:val="auto"/>
              </w:rPr>
              <w:t>Three Months Ended</w:t>
            </w:r>
          </w:p>
        </w:tc>
      </w:tr>
      <w:tr>
        <w:trPr>
          <w:trHeight w:val="227"/>
        </w:trPr>
        <w:tc>
          <w:tcPr>
            <w:tcW w:w="8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7"/>
                <w:szCs w:val="17"/>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870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(in thousands)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8"/>
                <w:szCs w:val="18"/>
                <w:color w:val="auto"/>
              </w:rPr>
            </w:pPr>
          </w:p>
        </w:tc>
      </w:tr>
      <w:tr>
        <w:trPr>
          <w:trHeight w:val="205"/>
        </w:trPr>
        <w:tc>
          <w:tcPr>
            <w:tcW w:w="8700" w:type="dxa"/>
            <w:vAlign w:val="bottom"/>
            <w:shd w:val="clear" w:color="auto" w:fill="F0FFFF"/>
          </w:tcPr>
          <w:p>
            <w:pPr>
              <w:spacing w:after="0"/>
              <w:rPr>
                <w:sz w:val="20"/>
                <w:szCs w:val="20"/>
                <w:color w:val="auto"/>
              </w:rPr>
            </w:pPr>
            <w:r>
              <w:rPr>
                <w:rFonts w:ascii="Arial" w:cs="Arial" w:eastAsia="Arial" w:hAnsi="Arial"/>
                <w:sz w:val="17"/>
                <w:szCs w:val="17"/>
                <w:b w:val="1"/>
                <w:bCs w:val="1"/>
                <w:color w:val="auto"/>
              </w:rPr>
              <w:t>Operating activities:</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8700" w:type="dxa"/>
            <w:vAlign w:val="bottom"/>
          </w:tcPr>
          <w:p>
            <w:pPr>
              <w:ind w:left="160"/>
              <w:spacing w:after="0"/>
              <w:rPr>
                <w:sz w:val="20"/>
                <w:szCs w:val="20"/>
                <w:color w:val="auto"/>
              </w:rPr>
            </w:pPr>
            <w:r>
              <w:rPr>
                <w:rFonts w:ascii="Arial" w:cs="Arial" w:eastAsia="Arial" w:hAnsi="Arial"/>
                <w:sz w:val="17"/>
                <w:szCs w:val="17"/>
                <w:color w:val="auto"/>
              </w:rPr>
              <w:t>Net income</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17,670</w:t>
            </w: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15,400</w:t>
            </w:r>
          </w:p>
        </w:tc>
      </w:tr>
      <w:tr>
        <w:trPr>
          <w:trHeight w:val="205"/>
        </w:trPr>
        <w:tc>
          <w:tcPr>
            <w:tcW w:w="8700" w:type="dxa"/>
            <w:vAlign w:val="bottom"/>
            <w:shd w:val="clear" w:color="auto" w:fill="F0FFFF"/>
          </w:tcPr>
          <w:p>
            <w:pPr>
              <w:ind w:left="160"/>
              <w:spacing w:after="0"/>
              <w:rPr>
                <w:sz w:val="20"/>
                <w:szCs w:val="20"/>
                <w:color w:val="auto"/>
              </w:rPr>
            </w:pPr>
            <w:r>
              <w:rPr>
                <w:rFonts w:ascii="Arial" w:cs="Arial" w:eastAsia="Arial" w:hAnsi="Arial"/>
                <w:sz w:val="17"/>
                <w:szCs w:val="17"/>
                <w:color w:val="auto"/>
              </w:rPr>
              <w:t>Adjustments to reconcile net loss to net cash provided by operating activities:</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8700" w:type="dxa"/>
            <w:vAlign w:val="bottom"/>
          </w:tcPr>
          <w:p>
            <w:pPr>
              <w:ind w:left="320"/>
              <w:spacing w:after="0"/>
              <w:rPr>
                <w:sz w:val="20"/>
                <w:szCs w:val="20"/>
                <w:color w:val="auto"/>
              </w:rPr>
            </w:pPr>
            <w:r>
              <w:rPr>
                <w:rFonts w:ascii="Arial" w:cs="Arial" w:eastAsia="Arial" w:hAnsi="Arial"/>
                <w:sz w:val="17"/>
                <w:szCs w:val="17"/>
                <w:color w:val="auto"/>
              </w:rPr>
              <w:t>Depreciation, amortization and accretion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5,158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4,927</w:t>
            </w:r>
          </w:p>
        </w:tc>
      </w:tr>
      <w:tr>
        <w:trPr>
          <w:trHeight w:val="205"/>
        </w:trPr>
        <w:tc>
          <w:tcPr>
            <w:tcW w:w="8700" w:type="dxa"/>
            <w:vAlign w:val="bottom"/>
            <w:shd w:val="clear" w:color="auto" w:fill="F0FFFF"/>
          </w:tcPr>
          <w:p>
            <w:pPr>
              <w:ind w:left="320"/>
              <w:spacing w:after="0"/>
              <w:rPr>
                <w:sz w:val="20"/>
                <w:szCs w:val="20"/>
                <w:color w:val="auto"/>
              </w:rPr>
            </w:pPr>
            <w:r>
              <w:rPr>
                <w:rFonts w:ascii="Arial" w:cs="Arial" w:eastAsia="Arial" w:hAnsi="Arial"/>
                <w:sz w:val="17"/>
                <w:szCs w:val="17"/>
                <w:color w:val="auto"/>
              </w:rPr>
              <w:t>Provision for credit losses</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1,800</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2,500</w:t>
            </w:r>
          </w:p>
        </w:tc>
      </w:tr>
      <w:tr>
        <w:trPr>
          <w:trHeight w:val="205"/>
        </w:trPr>
        <w:tc>
          <w:tcPr>
            <w:tcW w:w="8700" w:type="dxa"/>
            <w:vAlign w:val="bottom"/>
          </w:tcPr>
          <w:p>
            <w:pPr>
              <w:ind w:left="320"/>
              <w:spacing w:after="0"/>
              <w:rPr>
                <w:sz w:val="20"/>
                <w:szCs w:val="20"/>
                <w:color w:val="auto"/>
              </w:rPr>
            </w:pPr>
            <w:r>
              <w:rPr>
                <w:rFonts w:ascii="Arial" w:cs="Arial" w:eastAsia="Arial" w:hAnsi="Arial"/>
                <w:sz w:val="17"/>
                <w:szCs w:val="17"/>
                <w:color w:val="auto"/>
              </w:rPr>
              <w:t>Stock based compensation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991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1,120</w:t>
            </w:r>
          </w:p>
        </w:tc>
      </w:tr>
      <w:tr>
        <w:trPr>
          <w:trHeight w:val="205"/>
        </w:trPr>
        <w:tc>
          <w:tcPr>
            <w:tcW w:w="8700" w:type="dxa"/>
            <w:vAlign w:val="bottom"/>
            <w:shd w:val="clear" w:color="auto" w:fill="F0FFFF"/>
          </w:tcPr>
          <w:p>
            <w:pPr>
              <w:ind w:left="320"/>
              <w:spacing w:after="0"/>
              <w:rPr>
                <w:sz w:val="20"/>
                <w:szCs w:val="20"/>
                <w:color w:val="auto"/>
              </w:rPr>
            </w:pPr>
            <w:r>
              <w:rPr>
                <w:rFonts w:ascii="Arial" w:cs="Arial" w:eastAsia="Arial" w:hAnsi="Arial"/>
                <w:sz w:val="17"/>
                <w:szCs w:val="17"/>
                <w:color w:val="auto"/>
              </w:rPr>
              <w:t>Deferred income tax benefit</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8,672</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9,776</w:t>
            </w:r>
          </w:p>
        </w:tc>
      </w:tr>
      <w:tr>
        <w:trPr>
          <w:trHeight w:val="193"/>
        </w:trPr>
        <w:tc>
          <w:tcPr>
            <w:tcW w:w="8700" w:type="dxa"/>
            <w:vAlign w:val="bottom"/>
          </w:tcPr>
          <w:p>
            <w:pPr>
              <w:ind w:left="320"/>
              <w:spacing w:after="0" w:line="193" w:lineRule="exact"/>
              <w:rPr>
                <w:sz w:val="20"/>
                <w:szCs w:val="20"/>
                <w:color w:val="auto"/>
              </w:rPr>
            </w:pPr>
            <w:r>
              <w:rPr>
                <w:rFonts w:ascii="Arial" w:cs="Arial" w:eastAsia="Arial" w:hAnsi="Arial"/>
                <w:sz w:val="17"/>
                <w:szCs w:val="17"/>
                <w:color w:val="auto"/>
              </w:rPr>
              <w:t>Securities gains, net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line="193" w:lineRule="exact"/>
              <w:rPr>
                <w:sz w:val="20"/>
                <w:szCs w:val="20"/>
                <w:color w:val="auto"/>
              </w:rPr>
            </w:pPr>
            <w:r>
              <w:rPr>
                <w:rFonts w:ascii="Arial" w:cs="Arial" w:eastAsia="Arial" w:hAnsi="Arial"/>
                <w:sz w:val="17"/>
                <w:szCs w:val="17"/>
                <w:color w:val="auto"/>
              </w:rPr>
              <w:t>(1,539)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2"/>
          </w:tcPr>
          <w:p>
            <w:pPr>
              <w:jc w:val="right"/>
              <w:ind w:right="40"/>
              <w:spacing w:after="0" w:line="193" w:lineRule="exact"/>
              <w:rPr>
                <w:sz w:val="20"/>
                <w:szCs w:val="20"/>
                <w:color w:val="auto"/>
              </w:rPr>
            </w:pPr>
            <w:r>
              <w:rPr>
                <w:rFonts w:ascii="Arial" w:cs="Arial" w:eastAsia="Arial" w:hAnsi="Arial"/>
                <w:sz w:val="17"/>
                <w:szCs w:val="17"/>
                <w:color w:val="auto"/>
              </w:rPr>
              <w:t>(217)</w:t>
            </w:r>
          </w:p>
        </w:tc>
      </w:tr>
      <w:tr>
        <w:trPr>
          <w:trHeight w:val="217"/>
        </w:trPr>
        <w:tc>
          <w:tcPr>
            <w:tcW w:w="8700" w:type="dxa"/>
            <w:vAlign w:val="bottom"/>
          </w:tcPr>
          <w:p>
            <w:pPr>
              <w:ind w:left="320"/>
              <w:spacing w:after="0"/>
              <w:rPr>
                <w:sz w:val="20"/>
                <w:szCs w:val="20"/>
                <w:color w:val="auto"/>
              </w:rPr>
            </w:pPr>
            <w:r>
              <w:rPr>
                <w:rFonts w:ascii="Arial" w:cs="Arial" w:eastAsia="Arial" w:hAnsi="Arial"/>
                <w:sz w:val="17"/>
                <w:szCs w:val="17"/>
                <w:color w:val="auto"/>
              </w:rPr>
              <w:t>Net losses and write downs on sales of other real estate owned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(244)</w:t>
            </w:r>
          </w:p>
        </w:tc>
      </w:tr>
      <w:tr>
        <w:trPr>
          <w:trHeight w:val="206"/>
        </w:trPr>
        <w:tc>
          <w:tcPr>
            <w:tcW w:w="8700" w:type="dxa"/>
            <w:vAlign w:val="bottom"/>
            <w:shd w:val="clear" w:color="auto" w:fill="F0FFFF"/>
          </w:tcPr>
          <w:p>
            <w:pPr>
              <w:ind w:left="320"/>
              <w:spacing w:after="0"/>
              <w:rPr>
                <w:sz w:val="20"/>
                <w:szCs w:val="20"/>
                <w:color w:val="auto"/>
              </w:rPr>
            </w:pPr>
            <w:r>
              <w:rPr>
                <w:rFonts w:ascii="Arial" w:cs="Arial" w:eastAsia="Arial" w:hAnsi="Arial"/>
                <w:sz w:val="17"/>
                <w:szCs w:val="17"/>
                <w:color w:val="auto"/>
              </w:rPr>
              <w:t>Loss on prepayment of borrowings</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1,038</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r>
      <w:tr>
        <w:trPr>
          <w:trHeight w:val="205"/>
        </w:trPr>
        <w:tc>
          <w:tcPr>
            <w:tcW w:w="8700" w:type="dxa"/>
            <w:vAlign w:val="bottom"/>
          </w:tcPr>
          <w:p>
            <w:pPr>
              <w:ind w:left="320"/>
              <w:spacing w:after="0"/>
              <w:rPr>
                <w:sz w:val="20"/>
                <w:szCs w:val="20"/>
                <w:color w:val="auto"/>
              </w:rPr>
            </w:pPr>
            <w:r>
              <w:rPr>
                <w:rFonts w:ascii="Arial" w:cs="Arial" w:eastAsia="Arial" w:hAnsi="Arial"/>
                <w:sz w:val="17"/>
                <w:szCs w:val="17"/>
                <w:color w:val="auto"/>
              </w:rPr>
              <w:t>Changes in assets and liabilities: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700" w:type="dxa"/>
            <w:vAlign w:val="bottom"/>
            <w:shd w:val="clear" w:color="auto" w:fill="F0FFFF"/>
          </w:tcPr>
          <w:p>
            <w:pPr>
              <w:ind w:left="460"/>
              <w:spacing w:after="0"/>
              <w:rPr>
                <w:sz w:val="20"/>
                <w:szCs w:val="20"/>
                <w:color w:val="auto"/>
              </w:rPr>
            </w:pPr>
            <w:r>
              <w:rPr>
                <w:rFonts w:ascii="Arial" w:cs="Arial" w:eastAsia="Arial" w:hAnsi="Arial"/>
                <w:sz w:val="17"/>
                <w:szCs w:val="17"/>
                <w:color w:val="auto"/>
              </w:rPr>
              <w:t>Other assets and accrued interest receivable</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7,106</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6,607</w:t>
            </w:r>
          </w:p>
        </w:tc>
      </w:tr>
      <w:tr>
        <w:trPr>
          <w:trHeight w:val="205"/>
        </w:trPr>
        <w:tc>
          <w:tcPr>
            <w:tcW w:w="8700" w:type="dxa"/>
            <w:vAlign w:val="bottom"/>
          </w:tcPr>
          <w:p>
            <w:pPr>
              <w:ind w:left="460"/>
              <w:spacing w:after="0"/>
              <w:rPr>
                <w:sz w:val="20"/>
                <w:szCs w:val="20"/>
                <w:color w:val="auto"/>
              </w:rPr>
            </w:pPr>
            <w:r>
              <w:rPr>
                <w:rFonts w:ascii="Arial" w:cs="Arial" w:eastAsia="Arial" w:hAnsi="Arial"/>
                <w:sz w:val="17"/>
                <w:szCs w:val="17"/>
                <w:color w:val="auto"/>
              </w:rPr>
              <w:t>Accrued expenses and other liabilities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(11,342)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(12,230)</w:t>
            </w:r>
          </w:p>
        </w:tc>
      </w:tr>
      <w:tr>
        <w:trPr>
          <w:trHeight w:val="205"/>
        </w:trPr>
        <w:tc>
          <w:tcPr>
            <w:tcW w:w="8700" w:type="dxa"/>
            <w:vAlign w:val="bottom"/>
            <w:shd w:val="clear" w:color="auto" w:fill="F0FFFF"/>
          </w:tcPr>
          <w:p>
            <w:pPr>
              <w:ind w:left="460"/>
              <w:spacing w:after="0"/>
              <w:rPr>
                <w:sz w:val="20"/>
                <w:szCs w:val="20"/>
                <w:color w:val="auto"/>
              </w:rPr>
            </w:pPr>
            <w:r>
              <w:rPr>
                <w:rFonts w:ascii="Arial" w:cs="Arial" w:eastAsia="Arial" w:hAnsi="Arial"/>
                <w:sz w:val="17"/>
                <w:szCs w:val="17"/>
                <w:color w:val="auto"/>
              </w:rPr>
              <w:t>Mortgage loans held for sale</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(1,986)</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(614)</w:t>
            </w:r>
          </w:p>
        </w:tc>
      </w:tr>
      <w:tr>
        <w:trPr>
          <w:trHeight w:val="26"/>
        </w:trPr>
        <w:tc>
          <w:tcPr>
            <w:tcW w:w="87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11"/>
        </w:trPr>
        <w:tc>
          <w:tcPr>
            <w:tcW w:w="8700" w:type="dxa"/>
            <w:vAlign w:val="bottom"/>
          </w:tcPr>
          <w:p>
            <w:pPr>
              <w:spacing w:after="0"/>
              <w:rPr>
                <w:sz w:val="20"/>
                <w:szCs w:val="20"/>
                <w:color w:val="auto"/>
              </w:rPr>
            </w:pPr>
            <w:r>
              <w:rPr>
                <w:rFonts w:ascii="Arial" w:cs="Arial" w:eastAsia="Arial" w:hAnsi="Arial"/>
                <w:sz w:val="17"/>
                <w:szCs w:val="17"/>
                <w:b w:val="1"/>
                <w:bCs w:val="1"/>
                <w:color w:val="auto"/>
              </w:rPr>
              <w:t>Net cash provided by operating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27,487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27,025</w:t>
            </w:r>
          </w:p>
        </w:tc>
      </w:tr>
      <w:tr>
        <w:trPr>
          <w:trHeight w:val="205"/>
        </w:trPr>
        <w:tc>
          <w:tcPr>
            <w:tcW w:w="87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tcBorders>
              <w:top w:val="single" w:sz="8" w:color="auto"/>
            </w:tcBorders>
            <w:shd w:val="clear" w:color="auto" w:fill="F0FFFF"/>
          </w:tcPr>
          <w:p>
            <w:pPr>
              <w:spacing w:after="0"/>
              <w:rPr>
                <w:sz w:val="17"/>
                <w:szCs w:val="17"/>
                <w:color w:val="auto"/>
              </w:rPr>
            </w:pPr>
          </w:p>
        </w:tc>
        <w:tc>
          <w:tcPr>
            <w:tcW w:w="90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320" w:type="dxa"/>
            <w:vAlign w:val="bottom"/>
            <w:tcBorders>
              <w:top w:val="single" w:sz="8" w:color="auto"/>
            </w:tcBorders>
            <w:shd w:val="clear" w:color="auto" w:fill="F0FFFF"/>
          </w:tcPr>
          <w:p>
            <w:pPr>
              <w:spacing w:after="0"/>
              <w:rPr>
                <w:sz w:val="17"/>
                <w:szCs w:val="17"/>
                <w:color w:val="auto"/>
              </w:rPr>
            </w:pPr>
          </w:p>
        </w:tc>
        <w:tc>
          <w:tcPr>
            <w:tcW w:w="80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b w:val="1"/>
                <w:bCs w:val="1"/>
                <w:color w:val="auto"/>
              </w:rPr>
              <w:t>Investing activities: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700" w:type="dxa"/>
            <w:vAlign w:val="bottom"/>
            <w:shd w:val="clear" w:color="auto" w:fill="F0FFFF"/>
          </w:tcPr>
          <w:p>
            <w:pPr>
              <w:ind w:left="160"/>
              <w:spacing w:after="0"/>
              <w:rPr>
                <w:sz w:val="20"/>
                <w:szCs w:val="20"/>
                <w:color w:val="auto"/>
              </w:rPr>
            </w:pPr>
            <w:r>
              <w:rPr>
                <w:rFonts w:ascii="Arial" w:cs="Arial" w:eastAsia="Arial" w:hAnsi="Arial"/>
                <w:sz w:val="17"/>
                <w:szCs w:val="17"/>
                <w:color w:val="auto"/>
              </w:rPr>
              <w:t>Investment securities held to maturity:</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8700" w:type="dxa"/>
            <w:vAlign w:val="bottom"/>
          </w:tcPr>
          <w:p>
            <w:pPr>
              <w:ind w:left="320"/>
              <w:spacing w:after="0"/>
              <w:rPr>
                <w:sz w:val="20"/>
                <w:szCs w:val="20"/>
                <w:color w:val="auto"/>
              </w:rPr>
            </w:pPr>
            <w:r>
              <w:rPr>
                <w:rFonts w:ascii="Arial" w:cs="Arial" w:eastAsia="Arial" w:hAnsi="Arial"/>
                <w:sz w:val="17"/>
                <w:szCs w:val="17"/>
                <w:color w:val="auto"/>
              </w:rPr>
              <w:t>Proceeds from maturities and calls of securities held to maturity:</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16,144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15,007</w:t>
            </w:r>
          </w:p>
        </w:tc>
      </w:tr>
      <w:tr>
        <w:trPr>
          <w:trHeight w:val="205"/>
        </w:trPr>
        <w:tc>
          <w:tcPr>
            <w:tcW w:w="8700" w:type="dxa"/>
            <w:vAlign w:val="bottom"/>
            <w:shd w:val="clear" w:color="auto" w:fill="F0FFFF"/>
          </w:tcPr>
          <w:p>
            <w:pPr>
              <w:ind w:left="160"/>
              <w:spacing w:after="0"/>
              <w:rPr>
                <w:sz w:val="20"/>
                <w:szCs w:val="20"/>
                <w:color w:val="auto"/>
              </w:rPr>
            </w:pPr>
            <w:r>
              <w:rPr>
                <w:rFonts w:ascii="Arial" w:cs="Arial" w:eastAsia="Arial" w:hAnsi="Arial"/>
                <w:sz w:val="17"/>
                <w:szCs w:val="17"/>
                <w:color w:val="auto"/>
              </w:rPr>
              <w:t>Investment securities available for sale:</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8700" w:type="dxa"/>
            <w:vAlign w:val="bottom"/>
          </w:tcPr>
          <w:p>
            <w:pPr>
              <w:ind w:left="320"/>
              <w:spacing w:after="0"/>
              <w:rPr>
                <w:sz w:val="20"/>
                <w:szCs w:val="20"/>
                <w:color w:val="auto"/>
              </w:rPr>
            </w:pPr>
            <w:r>
              <w:rPr>
                <w:rFonts w:ascii="Arial" w:cs="Arial" w:eastAsia="Arial" w:hAnsi="Arial"/>
                <w:sz w:val="17"/>
                <w:szCs w:val="17"/>
                <w:color w:val="auto"/>
              </w:rPr>
              <w:t>Proceeds from sales of securities available for sale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69,467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153,316</w:t>
            </w:r>
          </w:p>
        </w:tc>
      </w:tr>
      <w:tr>
        <w:trPr>
          <w:trHeight w:val="205"/>
        </w:trPr>
        <w:tc>
          <w:tcPr>
            <w:tcW w:w="8700" w:type="dxa"/>
            <w:vAlign w:val="bottom"/>
            <w:shd w:val="clear" w:color="auto" w:fill="F0FFFF"/>
          </w:tcPr>
          <w:p>
            <w:pPr>
              <w:ind w:left="320"/>
              <w:spacing w:after="0"/>
              <w:rPr>
                <w:sz w:val="20"/>
                <w:szCs w:val="20"/>
                <w:color w:val="auto"/>
              </w:rPr>
            </w:pPr>
            <w:r>
              <w:rPr>
                <w:rFonts w:ascii="Arial" w:cs="Arial" w:eastAsia="Arial" w:hAnsi="Arial"/>
                <w:sz w:val="17"/>
                <w:szCs w:val="17"/>
                <w:color w:val="auto"/>
              </w:rPr>
              <w:t>Proceeds from maturities and calls of securities available for sale</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55,121</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56,757</w:t>
            </w:r>
          </w:p>
        </w:tc>
      </w:tr>
      <w:tr>
        <w:trPr>
          <w:trHeight w:val="205"/>
        </w:trPr>
        <w:tc>
          <w:tcPr>
            <w:tcW w:w="8700" w:type="dxa"/>
            <w:vAlign w:val="bottom"/>
          </w:tcPr>
          <w:p>
            <w:pPr>
              <w:ind w:left="320"/>
              <w:spacing w:after="0"/>
              <w:rPr>
                <w:sz w:val="20"/>
                <w:szCs w:val="20"/>
                <w:color w:val="auto"/>
              </w:rPr>
            </w:pPr>
            <w:r>
              <w:rPr>
                <w:rFonts w:ascii="Arial" w:cs="Arial" w:eastAsia="Arial" w:hAnsi="Arial"/>
                <w:sz w:val="17"/>
                <w:szCs w:val="17"/>
                <w:color w:val="auto"/>
              </w:rPr>
              <w:t>Purchases of securities available for sale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(137,305)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(173,024)</w:t>
            </w:r>
          </w:p>
        </w:tc>
      </w:tr>
      <w:tr>
        <w:trPr>
          <w:trHeight w:val="205"/>
        </w:trPr>
        <w:tc>
          <w:tcPr>
            <w:tcW w:w="8700" w:type="dxa"/>
            <w:vAlign w:val="bottom"/>
            <w:shd w:val="clear" w:color="auto" w:fill="F0FFFF"/>
          </w:tcPr>
          <w:p>
            <w:pPr>
              <w:ind w:left="180"/>
              <w:spacing w:after="0"/>
              <w:rPr>
                <w:sz w:val="20"/>
                <w:szCs w:val="20"/>
                <w:color w:val="auto"/>
              </w:rPr>
            </w:pPr>
            <w:r>
              <w:rPr>
                <w:rFonts w:ascii="Arial" w:cs="Arial" w:eastAsia="Arial" w:hAnsi="Arial"/>
                <w:sz w:val="17"/>
                <w:szCs w:val="17"/>
                <w:color w:val="auto"/>
              </w:rPr>
              <w:t>Net increase in loans</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(122,257)</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(34,027)</w:t>
            </w:r>
          </w:p>
        </w:tc>
      </w:tr>
      <w:tr>
        <w:trPr>
          <w:trHeight w:val="205"/>
        </w:trPr>
        <w:tc>
          <w:tcPr>
            <w:tcW w:w="8700" w:type="dxa"/>
            <w:vAlign w:val="bottom"/>
          </w:tcPr>
          <w:p>
            <w:pPr>
              <w:ind w:left="180"/>
              <w:spacing w:after="0"/>
              <w:rPr>
                <w:sz w:val="20"/>
                <w:szCs w:val="20"/>
                <w:color w:val="auto"/>
              </w:rPr>
            </w:pPr>
            <w:r>
              <w:rPr>
                <w:rFonts w:ascii="Arial" w:cs="Arial" w:eastAsia="Arial" w:hAnsi="Arial"/>
                <w:sz w:val="17"/>
                <w:szCs w:val="17"/>
                <w:color w:val="auto"/>
              </w:rPr>
              <w:t>Funds (paid to) collected from FDIC under loss sharing agreements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(1,198)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1,623</w:t>
            </w:r>
          </w:p>
        </w:tc>
      </w:tr>
      <w:tr>
        <w:trPr>
          <w:trHeight w:val="205"/>
        </w:trPr>
        <w:tc>
          <w:tcPr>
            <w:tcW w:w="8700" w:type="dxa"/>
            <w:vAlign w:val="bottom"/>
            <w:shd w:val="clear" w:color="auto" w:fill="F0FFFF"/>
          </w:tcPr>
          <w:p>
            <w:pPr>
              <w:ind w:left="180"/>
              <w:spacing w:after="0"/>
              <w:rPr>
                <w:sz w:val="20"/>
                <w:szCs w:val="20"/>
                <w:color w:val="auto"/>
              </w:rPr>
            </w:pPr>
            <w:r>
              <w:rPr>
                <w:rFonts w:ascii="Arial" w:cs="Arial" w:eastAsia="Arial" w:hAnsi="Arial"/>
                <w:sz w:val="17"/>
                <w:szCs w:val="17"/>
                <w:color w:val="auto"/>
              </w:rPr>
              <w:t>Proceeds from sales of premises and equipment</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509</w:t>
            </w:r>
          </w:p>
        </w:tc>
      </w:tr>
      <w:tr>
        <w:trPr>
          <w:trHeight w:val="205"/>
        </w:trPr>
        <w:tc>
          <w:tcPr>
            <w:tcW w:w="8700" w:type="dxa"/>
            <w:vAlign w:val="bottom"/>
          </w:tcPr>
          <w:p>
            <w:pPr>
              <w:ind w:left="180"/>
              <w:spacing w:after="0"/>
              <w:rPr>
                <w:sz w:val="20"/>
                <w:szCs w:val="20"/>
                <w:color w:val="auto"/>
              </w:rPr>
            </w:pPr>
            <w:r>
              <w:rPr>
                <w:rFonts w:ascii="Arial" w:cs="Arial" w:eastAsia="Arial" w:hAnsi="Arial"/>
                <w:sz w:val="17"/>
                <w:szCs w:val="17"/>
                <w:color w:val="auto"/>
              </w:rPr>
              <w:t>Purchases of premises and equipment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(1,768)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(618)</w:t>
            </w:r>
          </w:p>
        </w:tc>
      </w:tr>
      <w:tr>
        <w:trPr>
          <w:trHeight w:val="205"/>
        </w:trPr>
        <w:tc>
          <w:tcPr>
            <w:tcW w:w="8700" w:type="dxa"/>
            <w:vAlign w:val="bottom"/>
            <w:shd w:val="clear" w:color="auto" w:fill="F0FFFF"/>
          </w:tcPr>
          <w:p>
            <w:pPr>
              <w:ind w:left="180"/>
              <w:spacing w:after="0"/>
              <w:rPr>
                <w:sz w:val="20"/>
                <w:szCs w:val="20"/>
                <w:color w:val="auto"/>
              </w:rPr>
            </w:pPr>
            <w:r>
              <w:rPr>
                <w:rFonts w:ascii="Arial" w:cs="Arial" w:eastAsia="Arial" w:hAnsi="Arial"/>
                <w:sz w:val="17"/>
                <w:szCs w:val="17"/>
                <w:color w:val="auto"/>
              </w:rPr>
              <w:t>Proceeds from sale of other real estate</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1,408</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2,417</w:t>
            </w:r>
          </w:p>
        </w:tc>
      </w:tr>
      <w:tr>
        <w:trPr>
          <w:trHeight w:val="26"/>
        </w:trPr>
        <w:tc>
          <w:tcPr>
            <w:tcW w:w="87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11"/>
        </w:trPr>
        <w:tc>
          <w:tcPr>
            <w:tcW w:w="8700" w:type="dxa"/>
            <w:vAlign w:val="bottom"/>
          </w:tcPr>
          <w:p>
            <w:pPr>
              <w:spacing w:after="0"/>
              <w:rPr>
                <w:sz w:val="20"/>
                <w:szCs w:val="20"/>
                <w:color w:val="auto"/>
              </w:rPr>
            </w:pPr>
            <w:r>
              <w:rPr>
                <w:rFonts w:ascii="Arial" w:cs="Arial" w:eastAsia="Arial" w:hAnsi="Arial"/>
                <w:sz w:val="17"/>
                <w:szCs w:val="17"/>
                <w:b w:val="1"/>
                <w:bCs w:val="1"/>
                <w:color w:val="auto"/>
              </w:rPr>
              <w:t>Net cash (used in) provided by investing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(120,388)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21,960</w:t>
            </w:r>
          </w:p>
        </w:tc>
      </w:tr>
      <w:tr>
        <w:trPr>
          <w:trHeight w:val="205"/>
        </w:trPr>
        <w:tc>
          <w:tcPr>
            <w:tcW w:w="87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tcBorders>
              <w:top w:val="single" w:sz="8" w:color="auto"/>
            </w:tcBorders>
            <w:shd w:val="clear" w:color="auto" w:fill="F0FFFF"/>
          </w:tcPr>
          <w:p>
            <w:pPr>
              <w:spacing w:after="0"/>
              <w:rPr>
                <w:sz w:val="17"/>
                <w:szCs w:val="17"/>
                <w:color w:val="auto"/>
              </w:rPr>
            </w:pPr>
          </w:p>
        </w:tc>
        <w:tc>
          <w:tcPr>
            <w:tcW w:w="90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320" w:type="dxa"/>
            <w:vAlign w:val="bottom"/>
            <w:tcBorders>
              <w:top w:val="single" w:sz="8" w:color="auto"/>
            </w:tcBorders>
            <w:shd w:val="clear" w:color="auto" w:fill="F0FFFF"/>
          </w:tcPr>
          <w:p>
            <w:pPr>
              <w:spacing w:after="0"/>
              <w:rPr>
                <w:sz w:val="17"/>
                <w:szCs w:val="17"/>
                <w:color w:val="auto"/>
              </w:rPr>
            </w:pPr>
          </w:p>
        </w:tc>
        <w:tc>
          <w:tcPr>
            <w:tcW w:w="80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7"/>
                <w:szCs w:val="17"/>
                <w:b w:val="1"/>
                <w:bCs w:val="1"/>
                <w:color w:val="auto"/>
              </w:rPr>
              <w:t>Financing activities: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700" w:type="dxa"/>
            <w:vAlign w:val="bottom"/>
            <w:shd w:val="clear" w:color="auto" w:fill="F0FFFF"/>
          </w:tcPr>
          <w:p>
            <w:pPr>
              <w:ind w:left="180"/>
              <w:spacing w:after="0"/>
              <w:rPr>
                <w:sz w:val="20"/>
                <w:szCs w:val="20"/>
                <w:color w:val="auto"/>
              </w:rPr>
            </w:pPr>
            <w:r>
              <w:rPr>
                <w:rFonts w:ascii="Arial" w:cs="Arial" w:eastAsia="Arial" w:hAnsi="Arial"/>
                <w:sz w:val="17"/>
                <w:szCs w:val="17"/>
                <w:color w:val="auto"/>
              </w:rPr>
              <w:t>Net change in deposits</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111,419</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46,036</w:t>
            </w:r>
          </w:p>
        </w:tc>
      </w:tr>
      <w:tr>
        <w:trPr>
          <w:trHeight w:val="205"/>
        </w:trPr>
        <w:tc>
          <w:tcPr>
            <w:tcW w:w="8700" w:type="dxa"/>
            <w:vAlign w:val="bottom"/>
          </w:tcPr>
          <w:p>
            <w:pPr>
              <w:ind w:left="180"/>
              <w:spacing w:after="0"/>
              <w:rPr>
                <w:sz w:val="20"/>
                <w:szCs w:val="20"/>
                <w:color w:val="auto"/>
              </w:rPr>
            </w:pPr>
            <w:r>
              <w:rPr>
                <w:rFonts w:ascii="Arial" w:cs="Arial" w:eastAsia="Arial" w:hAnsi="Arial"/>
                <w:sz w:val="17"/>
                <w:szCs w:val="17"/>
                <w:color w:val="auto"/>
              </w:rPr>
              <w:t>Net change in short-term borrowings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(6,540)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69,834</w:t>
            </w:r>
          </w:p>
        </w:tc>
      </w:tr>
      <w:tr>
        <w:trPr>
          <w:trHeight w:val="205"/>
        </w:trPr>
        <w:tc>
          <w:tcPr>
            <w:tcW w:w="8700" w:type="dxa"/>
            <w:vAlign w:val="bottom"/>
            <w:shd w:val="clear" w:color="auto" w:fill="F0FFFF"/>
          </w:tcPr>
          <w:p>
            <w:pPr>
              <w:ind w:left="180"/>
              <w:spacing w:after="0"/>
              <w:rPr>
                <w:sz w:val="20"/>
                <w:szCs w:val="20"/>
                <w:color w:val="auto"/>
              </w:rPr>
            </w:pPr>
            <w:r>
              <w:rPr>
                <w:rFonts w:ascii="Arial" w:cs="Arial" w:eastAsia="Arial" w:hAnsi="Arial"/>
                <w:sz w:val="17"/>
                <w:szCs w:val="17"/>
                <w:color w:val="auto"/>
              </w:rPr>
              <w:t>Repayments of trust preferred securitie</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(15,998)</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r>
      <w:tr>
        <w:trPr>
          <w:trHeight w:val="205"/>
        </w:trPr>
        <w:tc>
          <w:tcPr>
            <w:tcW w:w="8700" w:type="dxa"/>
            <w:vAlign w:val="bottom"/>
          </w:tcPr>
          <w:p>
            <w:pPr>
              <w:ind w:left="180"/>
              <w:spacing w:after="0"/>
              <w:rPr>
                <w:sz w:val="20"/>
                <w:szCs w:val="20"/>
                <w:color w:val="auto"/>
              </w:rPr>
            </w:pPr>
            <w:r>
              <w:rPr>
                <w:rFonts w:ascii="Arial" w:cs="Arial" w:eastAsia="Arial" w:hAnsi="Arial"/>
                <w:sz w:val="17"/>
                <w:szCs w:val="17"/>
                <w:color w:val="auto"/>
              </w:rPr>
              <w:t>Proceeds from FHLB advances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410,000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355,000</w:t>
            </w:r>
          </w:p>
        </w:tc>
      </w:tr>
      <w:tr>
        <w:trPr>
          <w:trHeight w:val="205"/>
        </w:trPr>
        <w:tc>
          <w:tcPr>
            <w:tcW w:w="8700" w:type="dxa"/>
            <w:vAlign w:val="bottom"/>
            <w:shd w:val="clear" w:color="auto" w:fill="F0FFFF"/>
          </w:tcPr>
          <w:p>
            <w:pPr>
              <w:ind w:left="180"/>
              <w:spacing w:after="0"/>
              <w:rPr>
                <w:sz w:val="20"/>
                <w:szCs w:val="20"/>
                <w:color w:val="auto"/>
              </w:rPr>
            </w:pPr>
            <w:r>
              <w:rPr>
                <w:rFonts w:ascii="Arial" w:cs="Arial" w:eastAsia="Arial" w:hAnsi="Arial"/>
                <w:sz w:val="17"/>
                <w:szCs w:val="17"/>
                <w:color w:val="auto"/>
              </w:rPr>
              <w:t>Repayments of FHLB advances</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(410,000)</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(425,000)</w:t>
            </w:r>
          </w:p>
        </w:tc>
      </w:tr>
      <w:tr>
        <w:trPr>
          <w:trHeight w:val="205"/>
        </w:trPr>
        <w:tc>
          <w:tcPr>
            <w:tcW w:w="8700" w:type="dxa"/>
            <w:vAlign w:val="bottom"/>
          </w:tcPr>
          <w:p>
            <w:pPr>
              <w:ind w:left="180"/>
              <w:spacing w:after="0"/>
              <w:rPr>
                <w:sz w:val="20"/>
                <w:szCs w:val="20"/>
                <w:color w:val="auto"/>
              </w:rPr>
            </w:pPr>
            <w:r>
              <w:rPr>
                <w:rFonts w:ascii="Arial" w:cs="Arial" w:eastAsia="Arial" w:hAnsi="Arial"/>
                <w:sz w:val="17"/>
                <w:szCs w:val="17"/>
                <w:color w:val="auto"/>
              </w:rPr>
              <w:t>Proceeds from issuance of common stock for dividend reinvestment and employee benefit plans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209</w:t>
            </w:r>
          </w:p>
        </w:tc>
      </w:tr>
      <w:tr>
        <w:trPr>
          <w:trHeight w:val="205"/>
        </w:trPr>
        <w:tc>
          <w:tcPr>
            <w:tcW w:w="8700" w:type="dxa"/>
            <w:vAlign w:val="bottom"/>
            <w:shd w:val="clear" w:color="auto" w:fill="F0FFFF"/>
          </w:tcPr>
          <w:p>
            <w:pPr>
              <w:ind w:left="180"/>
              <w:spacing w:after="0"/>
              <w:rPr>
                <w:sz w:val="20"/>
                <w:szCs w:val="20"/>
                <w:color w:val="auto"/>
              </w:rPr>
            </w:pPr>
            <w:r>
              <w:rPr>
                <w:rFonts w:ascii="Arial" w:cs="Arial" w:eastAsia="Arial" w:hAnsi="Arial"/>
                <w:sz w:val="17"/>
                <w:szCs w:val="17"/>
                <w:color w:val="auto"/>
              </w:rPr>
              <w:t>Proceeds from issuance of common stock, net of issuance costs</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12,206</w:t>
            </w:r>
          </w:p>
        </w:tc>
      </w:tr>
      <w:tr>
        <w:trPr>
          <w:trHeight w:val="205"/>
        </w:trPr>
        <w:tc>
          <w:tcPr>
            <w:tcW w:w="8700" w:type="dxa"/>
            <w:vAlign w:val="bottom"/>
          </w:tcPr>
          <w:p>
            <w:pPr>
              <w:ind w:left="180"/>
              <w:spacing w:after="0"/>
              <w:rPr>
                <w:sz w:val="20"/>
                <w:szCs w:val="20"/>
                <w:color w:val="auto"/>
              </w:rPr>
            </w:pPr>
            <w:r>
              <w:rPr>
                <w:rFonts w:ascii="Arial" w:cs="Arial" w:eastAsia="Arial" w:hAnsi="Arial"/>
                <w:sz w:val="17"/>
                <w:szCs w:val="17"/>
                <w:color w:val="auto"/>
              </w:rPr>
              <w:t>Retirement of preferred stock</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(121,613)</w:t>
            </w:r>
          </w:p>
        </w:tc>
      </w:tr>
      <w:tr>
        <w:trPr>
          <w:trHeight w:val="205"/>
        </w:trPr>
        <w:tc>
          <w:tcPr>
            <w:tcW w:w="8700" w:type="dxa"/>
            <w:vAlign w:val="bottom"/>
            <w:shd w:val="clear" w:color="auto" w:fill="F0FFFF"/>
          </w:tcPr>
          <w:p>
            <w:pPr>
              <w:ind w:left="180"/>
              <w:spacing w:after="0"/>
              <w:rPr>
                <w:sz w:val="20"/>
                <w:szCs w:val="20"/>
                <w:color w:val="auto"/>
              </w:rPr>
            </w:pPr>
            <w:r>
              <w:rPr>
                <w:rFonts w:ascii="Arial" w:cs="Arial" w:eastAsia="Arial" w:hAnsi="Arial"/>
                <w:sz w:val="17"/>
                <w:szCs w:val="17"/>
                <w:color w:val="auto"/>
              </w:rPr>
              <w:t>Cash dividends on common stock</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(3,032)</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r>
      <w:tr>
        <w:trPr>
          <w:trHeight w:val="205"/>
        </w:trPr>
        <w:tc>
          <w:tcPr>
            <w:tcW w:w="8700" w:type="dxa"/>
            <w:vAlign w:val="bottom"/>
          </w:tcPr>
          <w:p>
            <w:pPr>
              <w:ind w:left="180"/>
              <w:spacing w:after="0"/>
              <w:rPr>
                <w:sz w:val="20"/>
                <w:szCs w:val="20"/>
                <w:color w:val="auto"/>
              </w:rPr>
            </w:pPr>
            <w:r>
              <w:rPr>
                <w:rFonts w:ascii="Arial" w:cs="Arial" w:eastAsia="Arial" w:hAnsi="Arial"/>
                <w:sz w:val="17"/>
                <w:szCs w:val="17"/>
                <w:color w:val="auto"/>
              </w:rPr>
              <w:t>Cash dividends on preferred stock</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(1,214)</w:t>
            </w:r>
          </w:p>
        </w:tc>
      </w:tr>
      <w:tr>
        <w:trPr>
          <w:trHeight w:val="26"/>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8700" w:type="dxa"/>
            <w:vAlign w:val="bottom"/>
            <w:shd w:val="clear" w:color="auto" w:fill="F0FFFF"/>
          </w:tcPr>
          <w:p>
            <w:pPr>
              <w:spacing w:after="0"/>
              <w:rPr>
                <w:sz w:val="20"/>
                <w:szCs w:val="20"/>
                <w:color w:val="auto"/>
              </w:rPr>
            </w:pPr>
            <w:r>
              <w:rPr>
                <w:rFonts w:ascii="Arial" w:cs="Arial" w:eastAsia="Arial" w:hAnsi="Arial"/>
                <w:sz w:val="17"/>
                <w:szCs w:val="17"/>
                <w:b w:val="1"/>
                <w:bCs w:val="1"/>
                <w:color w:val="auto"/>
              </w:rPr>
              <w:t>Net cash provided by (used in) financing activities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85,910</w:t>
            </w:r>
          </w:p>
        </w:tc>
        <w:tc>
          <w:tcPr>
            <w:tcW w:w="1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(64,542)</w:t>
            </w:r>
          </w:p>
        </w:tc>
      </w:tr>
      <w:tr>
        <w:trPr>
          <w:trHeight w:val="205"/>
        </w:trPr>
        <w:tc>
          <w:tcPr>
            <w:tcW w:w="870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r>
      <w:tr>
        <w:trPr>
          <w:trHeight w:val="205"/>
        </w:trPr>
        <w:tc>
          <w:tcPr>
            <w:tcW w:w="8700" w:type="dxa"/>
            <w:vAlign w:val="bottom"/>
            <w:shd w:val="clear" w:color="auto" w:fill="F0FFFF"/>
          </w:tcPr>
          <w:p>
            <w:pPr>
              <w:spacing w:after="0"/>
              <w:rPr>
                <w:sz w:val="20"/>
                <w:szCs w:val="20"/>
                <w:color w:val="auto"/>
              </w:rPr>
            </w:pPr>
            <w:r>
              <w:rPr>
                <w:rFonts w:ascii="Arial" w:cs="Arial" w:eastAsia="Arial" w:hAnsi="Arial"/>
                <w:sz w:val="17"/>
                <w:szCs w:val="17"/>
                <w:b w:val="1"/>
                <w:bCs w:val="1"/>
                <w:color w:val="auto"/>
              </w:rPr>
              <w:t>Net change in cash and cash equivalents</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(6,991)</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(15,557)</w:t>
            </w:r>
          </w:p>
        </w:tc>
      </w:tr>
      <w:tr>
        <w:trPr>
          <w:trHeight w:val="205"/>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8700" w:type="dxa"/>
            <w:vAlign w:val="bottom"/>
            <w:shd w:val="clear" w:color="auto" w:fill="F0FFFF"/>
          </w:tcPr>
          <w:p>
            <w:pPr>
              <w:ind w:left="180"/>
              <w:spacing w:after="0"/>
              <w:rPr>
                <w:sz w:val="20"/>
                <w:szCs w:val="20"/>
                <w:color w:val="auto"/>
              </w:rPr>
            </w:pPr>
            <w:r>
              <w:rPr>
                <w:rFonts w:ascii="Arial" w:cs="Arial" w:eastAsia="Arial" w:hAnsi="Arial"/>
                <w:sz w:val="17"/>
                <w:szCs w:val="17"/>
                <w:color w:val="auto"/>
              </w:rPr>
              <w:t>Cash and cash equivalents at beginning of period</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192,655</w:t>
            </w:r>
          </w:p>
        </w:tc>
        <w:tc>
          <w:tcPr>
            <w:tcW w:w="1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228,898</w:t>
            </w:r>
          </w:p>
        </w:tc>
      </w:tr>
      <w:tr>
        <w:trPr>
          <w:trHeight w:val="205"/>
        </w:trPr>
        <w:tc>
          <w:tcPr>
            <w:tcW w:w="870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r>
      <w:tr>
        <w:trPr>
          <w:trHeight w:val="245"/>
        </w:trPr>
        <w:tc>
          <w:tcPr>
            <w:tcW w:w="8700" w:type="dxa"/>
            <w:vAlign w:val="bottom"/>
            <w:shd w:val="clear" w:color="auto" w:fill="F0FFFF"/>
          </w:tcPr>
          <w:p>
            <w:pPr>
              <w:spacing w:after="0"/>
              <w:rPr>
                <w:sz w:val="20"/>
                <w:szCs w:val="20"/>
                <w:color w:val="auto"/>
              </w:rPr>
            </w:pPr>
            <w:r>
              <w:rPr>
                <w:rFonts w:ascii="Arial" w:cs="Arial" w:eastAsia="Arial" w:hAnsi="Arial"/>
                <w:sz w:val="17"/>
                <w:szCs w:val="17"/>
                <w:b w:val="1"/>
                <w:bCs w:val="1"/>
                <w:color w:val="auto"/>
              </w:rPr>
              <w:t>Cash and cash equivalents at end of period</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185,664</w:t>
            </w:r>
          </w:p>
        </w:tc>
        <w:tc>
          <w:tcPr>
            <w:tcW w:w="42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213,341</w:t>
            </w:r>
          </w:p>
        </w:tc>
      </w:tr>
      <w:tr>
        <w:trPr>
          <w:trHeight w:val="196"/>
        </w:trPr>
        <w:tc>
          <w:tcPr>
            <w:tcW w:w="870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r>
      <w:tr>
        <w:trPr>
          <w:trHeight w:val="205"/>
        </w:trPr>
        <w:tc>
          <w:tcPr>
            <w:tcW w:w="8700" w:type="dxa"/>
            <w:vAlign w:val="bottom"/>
            <w:shd w:val="clear" w:color="auto" w:fill="F0FFFF"/>
          </w:tcPr>
          <w:p>
            <w:pPr>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8700" w:type="dxa"/>
            <w:vAlign w:val="bottom"/>
          </w:tcPr>
          <w:p>
            <w:pPr>
              <w:ind w:left="260"/>
              <w:spacing w:after="0"/>
              <w:rPr>
                <w:sz w:val="20"/>
                <w:szCs w:val="20"/>
                <w:color w:val="auto"/>
              </w:rPr>
            </w:pPr>
            <w:r>
              <w:rPr>
                <w:rFonts w:ascii="Arial" w:cs="Arial" w:eastAsia="Arial" w:hAnsi="Arial"/>
                <w:sz w:val="17"/>
                <w:szCs w:val="17"/>
                <w:color w:val="auto"/>
              </w:rPr>
              <w:t>Cash paid during the period for:</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700" w:type="dxa"/>
            <w:vAlign w:val="bottom"/>
            <w:shd w:val="clear" w:color="auto" w:fill="F0FFFF"/>
          </w:tcPr>
          <w:p>
            <w:pPr>
              <w:ind w:left="380"/>
              <w:spacing w:after="0"/>
              <w:rPr>
                <w:sz w:val="20"/>
                <w:szCs w:val="20"/>
                <w:color w:val="auto"/>
              </w:rPr>
            </w:pPr>
            <w:r>
              <w:rPr>
                <w:rFonts w:ascii="Arial" w:cs="Arial" w:eastAsia="Arial" w:hAnsi="Arial"/>
                <w:sz w:val="17"/>
                <w:szCs w:val="17"/>
                <w:color w:val="auto"/>
              </w:rPr>
              <w:t>Interest</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6,334</w:t>
            </w:r>
          </w:p>
        </w:tc>
        <w:tc>
          <w:tcPr>
            <w:tcW w:w="42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7,449</w:t>
            </w:r>
          </w:p>
        </w:tc>
      </w:tr>
      <w:tr>
        <w:trPr>
          <w:trHeight w:val="205"/>
        </w:trPr>
        <w:tc>
          <w:tcPr>
            <w:tcW w:w="8700" w:type="dxa"/>
            <w:vAlign w:val="bottom"/>
          </w:tcPr>
          <w:p>
            <w:pPr>
              <w:ind w:left="380"/>
              <w:spacing w:after="0"/>
              <w:rPr>
                <w:sz w:val="20"/>
                <w:szCs w:val="20"/>
                <w:color w:val="auto"/>
              </w:rPr>
            </w:pPr>
            <w:r>
              <w:rPr>
                <w:rFonts w:ascii="Arial" w:cs="Arial" w:eastAsia="Arial" w:hAnsi="Arial"/>
                <w:sz w:val="17"/>
                <w:szCs w:val="17"/>
                <w:color w:val="auto"/>
              </w:rPr>
              <w:t>Income taxes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1,800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1,321</w:t>
            </w:r>
          </w:p>
        </w:tc>
      </w:tr>
      <w:tr>
        <w:trPr>
          <w:trHeight w:val="205"/>
        </w:trPr>
        <w:tc>
          <w:tcPr>
            <w:tcW w:w="8700" w:type="dxa"/>
            <w:vAlign w:val="bottom"/>
            <w:shd w:val="clear" w:color="auto" w:fill="F0FFFF"/>
          </w:tcPr>
          <w:p>
            <w:pPr>
              <w:ind w:left="260"/>
              <w:spacing w:after="0"/>
              <w:rPr>
                <w:sz w:val="20"/>
                <w:szCs w:val="20"/>
                <w:color w:val="auto"/>
              </w:rPr>
            </w:pPr>
            <w:r>
              <w:rPr>
                <w:rFonts w:ascii="Arial" w:cs="Arial" w:eastAsia="Arial" w:hAnsi="Arial"/>
                <w:sz w:val="17"/>
                <w:szCs w:val="17"/>
                <w:color w:val="auto"/>
              </w:rPr>
              <w:t>Unsettled securities purchases</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34,437</w:t>
            </w:r>
          </w:p>
        </w:tc>
      </w:tr>
      <w:tr>
        <w:trPr>
          <w:trHeight w:val="205"/>
        </w:trPr>
        <w:tc>
          <w:tcPr>
            <w:tcW w:w="8700" w:type="dxa"/>
            <w:vAlign w:val="bottom"/>
            <w:shd w:val="clear" w:color="auto" w:fill="F0FFFF"/>
          </w:tcPr>
          <w:p>
            <w:pPr>
              <w:ind w:left="260"/>
              <w:spacing w:after="0"/>
              <w:rPr>
                <w:sz w:val="20"/>
                <w:szCs w:val="20"/>
                <w:color w:val="auto"/>
              </w:rPr>
            </w:pPr>
            <w:r>
              <w:rPr>
                <w:rFonts w:ascii="Arial" w:cs="Arial" w:eastAsia="Arial" w:hAnsi="Arial"/>
                <w:sz w:val="17"/>
                <w:szCs w:val="17"/>
                <w:color w:val="auto"/>
              </w:rPr>
              <w:t>Unsettled SBA loan Sales</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3,671</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r>
      <w:tr>
        <w:trPr>
          <w:trHeight w:val="216"/>
        </w:trPr>
        <w:tc>
          <w:tcPr>
            <w:tcW w:w="8700" w:type="dxa"/>
            <w:vAlign w:val="bottom"/>
          </w:tcPr>
          <w:p>
            <w:pPr>
              <w:ind w:left="260"/>
              <w:spacing w:after="0"/>
              <w:rPr>
                <w:sz w:val="20"/>
                <w:szCs w:val="20"/>
                <w:color w:val="auto"/>
              </w:rPr>
            </w:pPr>
            <w:r>
              <w:rPr>
                <w:rFonts w:ascii="Arial" w:cs="Arial" w:eastAsia="Arial" w:hAnsi="Arial"/>
                <w:sz w:val="17"/>
                <w:szCs w:val="17"/>
                <w:color w:val="auto"/>
              </w:rPr>
              <w:t>Transfers of loans to foreclosed properties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4,367</w:t>
            </w: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UNITED COMMUNITY BANKS,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Accounting Policies</w:t>
      </w:r>
    </w:p>
    <w:p>
      <w:pPr>
        <w:spacing w:after="0" w:line="24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accounting and financial reporting policies of United Community Banks, Inc. (“United”) and its subsidiaries conform to accounting principles generally accepted in the United States of America (“GAAP”) and general banking industry practices. The accompanying interim consolidated financial statements have not been audited. All material intercompany balances and transactions have been eliminated. A more detailed description of United’s accounting policies is included in its Annual Report on Form 10-K for the year ended December 31, 2014.</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Certain 2014 amounts have been reclassified to conform to the 2015 presentation.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–Accounting Standards Updates and Recently Adopted Standards</w:t>
      </w:r>
    </w:p>
    <w:p>
      <w:pPr>
        <w:spacing w:after="0" w:line="24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In February 2015, the Financial Accounting Standards Board (“FASB”) Accounting Standards Update (“ASU”) No. 2015-02, </w:t>
      </w:r>
      <w:r>
        <w:rPr>
          <w:rFonts w:ascii="Arial" w:cs="Arial" w:eastAsia="Arial" w:hAnsi="Arial"/>
          <w:sz w:val="17"/>
          <w:szCs w:val="17"/>
          <w:i w:val="1"/>
          <w:iCs w:val="1"/>
          <w:color w:val="auto"/>
        </w:rPr>
        <w:t>Consolidation (Topic 810): Amendments</w:t>
      </w:r>
      <w:r>
        <w:rPr>
          <w:rFonts w:ascii="Arial" w:cs="Arial" w:eastAsia="Arial" w:hAnsi="Arial"/>
          <w:sz w:val="17"/>
          <w:szCs w:val="17"/>
          <w:color w:val="auto"/>
        </w:rPr>
        <w:t xml:space="preserve"> </w:t>
      </w:r>
      <w:r>
        <w:rPr>
          <w:rFonts w:ascii="Arial" w:cs="Arial" w:eastAsia="Arial" w:hAnsi="Arial"/>
          <w:sz w:val="17"/>
          <w:szCs w:val="17"/>
          <w:i w:val="1"/>
          <w:iCs w:val="1"/>
          <w:color w:val="auto"/>
        </w:rPr>
        <w:t>to the Consolidation Analysis</w:t>
      </w:r>
      <w:r>
        <w:rPr>
          <w:rFonts w:ascii="Arial" w:cs="Arial" w:eastAsia="Arial" w:hAnsi="Arial"/>
          <w:sz w:val="17"/>
          <w:szCs w:val="17"/>
          <w:color w:val="auto"/>
        </w:rPr>
        <w:t>, effective for fiscal years beginning after December 15, 2015 and interim periods within those years and early adoption is permitted. The</w:t>
      </w:r>
      <w:r>
        <w:rPr>
          <w:rFonts w:ascii="Arial" w:cs="Arial" w:eastAsia="Arial" w:hAnsi="Arial"/>
          <w:sz w:val="17"/>
          <w:szCs w:val="17"/>
          <w:i w:val="1"/>
          <w:iCs w:val="1"/>
          <w:color w:val="auto"/>
        </w:rPr>
        <w:t xml:space="preserve"> </w:t>
      </w:r>
      <w:r>
        <w:rPr>
          <w:rFonts w:ascii="Arial" w:cs="Arial" w:eastAsia="Arial" w:hAnsi="Arial"/>
          <w:sz w:val="17"/>
          <w:szCs w:val="17"/>
          <w:color w:val="auto"/>
        </w:rPr>
        <w:t>new standard is intended to improve targeted areas of the consolidation guidance for legal entities such as limited partnerships, limited liability corporations, and securitization structures. The amendments in the ASU affect the consolidation evaluation for reporting organizations. In addition, the amendments in this ASU simplify and improve current GAAP by reducing the number of consolidation models. The Company is currently evaluating the impact of this guidance on its consolidated financial statements.</w:t>
      </w:r>
    </w:p>
    <w:p>
      <w:pPr>
        <w:spacing w:after="0" w:line="21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In April 2015, the FASB issued ASU No. 2015-03, </w:t>
      </w:r>
      <w:r>
        <w:rPr>
          <w:rFonts w:ascii="Arial" w:cs="Arial" w:eastAsia="Arial" w:hAnsi="Arial"/>
          <w:sz w:val="17"/>
          <w:szCs w:val="17"/>
          <w:i w:val="1"/>
          <w:iCs w:val="1"/>
          <w:color w:val="auto"/>
        </w:rPr>
        <w:t>Interest – Imputation of Interest (Subtopic 835-30) Simplifying the Presentation of Debt Issuance Costs</w:t>
      </w:r>
      <w:r>
        <w:rPr>
          <w:rFonts w:ascii="Arial" w:cs="Arial" w:eastAsia="Arial" w:hAnsi="Arial"/>
          <w:sz w:val="17"/>
          <w:szCs w:val="17"/>
          <w:color w:val="auto"/>
        </w:rPr>
        <w:t>. To simplify presentation of debt issuance costs, the amendments in this update require that debt issuance costs related to a recognized debt liability be presented in the balance sheet as a direct deduction from the carrying amount of that debt liability consistent with debt discounts. The standard will be effective for the United’s fiscal year beginning after December 15, 2015 and subsequent interim periods. The adoption of ASU 2015-03 is not expected to have a material effect on the United’s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Acquisition</w:t>
      </w:r>
    </w:p>
    <w:p>
      <w:pPr>
        <w:spacing w:after="0" w:line="24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June 26, 2014, United completed the acquisition of substantially all of the assets of Business Carolina, Inc., a specialty Small Business Administration (“SBA”) / United States Department of Agriculture (“USDA”) lender headquartered in Columbia, South Carolina. On the closing date, United paid $31.3 million in cash for loans having a fair value on the purchase date of $24.8 million, accrued interest of $83,000, servicing rights with a fair value on the purchase date of $2.13 million, premises and equipment with a fair value on the purchase date of $2.60 million and goodwill in the amount of $1.51 million representing the premium paid over the fair value of the separately identifiable assets and liabilities acquired. The gross contractual amount of loans receivable was $28.0 million as of the acquisition date. United has not identified any material separately identifiable intangible assets resulting from the acquisition.</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loans and servicing assets that were acquired in this transaction were valued by a third party vendor that specializes in the valuations of these SBA related assets. These assets are very illiquid and United does not have the same level of visibility into the inputs that the valuation vendor has. Therefore, United considers those inputs to be level 3 in the Accounting Standards Codification (“ASC”) 820 hierarchy. For the loans, the valuations were derived by estimating the expected cash flows using a combination of prepayment speed and default estimates. The cash flows are then discounted using the rates implied by observed transactions in the market place.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Balance Sheet Offsetting</w:t>
      </w:r>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 xml:space="preserve">United enters into reverse repurchase agreements in order to invest short-term funds. In addition, United enters into repurchase agreements and reverse repurchase agreements with the same counterparty in transactions commonly referred to as collateral swaps that are subject to master netting agreements under which the balances are netted in the balance sheet in accordance with ASC 210-20, </w:t>
      </w:r>
      <w:r>
        <w:rPr>
          <w:rFonts w:ascii="Arial" w:cs="Arial" w:eastAsia="Arial" w:hAnsi="Arial"/>
          <w:sz w:val="17"/>
          <w:szCs w:val="17"/>
          <w:i w:val="1"/>
          <w:iCs w:val="1"/>
          <w:color w:val="auto"/>
        </w:rPr>
        <w:t>Offsetting.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649"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UNITED COMMUNITY BANKS,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9" w:lineRule="exact"/>
        <w:rPr>
          <w:sz w:val="20"/>
          <w:szCs w:val="20"/>
          <w:color w:val="auto"/>
        </w:rPr>
      </w:pPr>
    </w:p>
    <w:p>
      <w:pPr>
        <w:spacing w:after="0" w:line="346" w:lineRule="auto"/>
        <w:rPr>
          <w:sz w:val="20"/>
          <w:szCs w:val="20"/>
          <w:color w:val="auto"/>
        </w:rPr>
      </w:pPr>
      <w:r>
        <w:rPr>
          <w:rFonts w:ascii="Arial" w:cs="Arial" w:eastAsia="Arial" w:hAnsi="Arial"/>
          <w:sz w:val="15"/>
          <w:szCs w:val="15"/>
          <w:color w:val="auto"/>
        </w:rPr>
        <w:t xml:space="preserve">The following table presents a summary of amounts outstanding under reverse repurchase agreements and derivative financial instruments including those entered into in connection with the same counterparty under master netting agreements as of March 31, 2015, December 31, 2014 and March 31, 2014 </w:t>
      </w:r>
      <w:r>
        <w:rPr>
          <w:rFonts w:ascii="Arial" w:cs="Arial" w:eastAsia="Arial" w:hAnsi="Arial"/>
          <w:sz w:val="15"/>
          <w:szCs w:val="15"/>
          <w:i w:val="1"/>
          <w:iCs w:val="1"/>
          <w:color w:val="auto"/>
        </w:rPr>
        <w:t>(in thousands)</w:t>
      </w:r>
      <w:r>
        <w:rPr>
          <w:rFonts w:ascii="Arial" w:cs="Arial" w:eastAsia="Arial" w:hAnsi="Arial"/>
          <w:sz w:val="15"/>
          <w:szCs w:val="15"/>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5"/>
              </w:rPr>
              <w:t>Gross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5"/>
            <w:vMerge w:val="restart"/>
          </w:tcPr>
          <w:p>
            <w:pPr>
              <w:jc w:val="right"/>
              <w:ind w:right="440"/>
              <w:spacing w:after="0"/>
              <w:rPr>
                <w:sz w:val="20"/>
                <w:szCs w:val="20"/>
                <w:color w:val="auto"/>
              </w:rPr>
            </w:pPr>
            <w:r>
              <w:rPr>
                <w:rFonts w:ascii="Arial" w:cs="Arial" w:eastAsia="Arial" w:hAnsi="Arial"/>
                <w:sz w:val="17"/>
                <w:szCs w:val="17"/>
                <w:b w:val="1"/>
                <w:bCs w:val="1"/>
                <w:color w:val="auto"/>
                <w:w w:val="95"/>
              </w:rPr>
              <w:t>Gross Amounts not Offset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80"/>
              <w:spacing w:after="0" w:line="180" w:lineRule="exact"/>
              <w:rPr>
                <w:sz w:val="20"/>
                <w:szCs w:val="20"/>
                <w:color w:val="auto"/>
              </w:rPr>
            </w:pPr>
            <w:r>
              <w:rPr>
                <w:rFonts w:ascii="Arial" w:cs="Arial" w:eastAsia="Arial" w:hAnsi="Arial"/>
                <w:sz w:val="17"/>
                <w:szCs w:val="17"/>
                <w:b w:val="1"/>
                <w:bCs w:val="1"/>
                <w:color w:val="auto"/>
                <w:w w:val="89"/>
              </w:rPr>
              <w:t>Gross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280"/>
              <w:spacing w:after="0" w:line="180" w:lineRule="exact"/>
              <w:rPr>
                <w:sz w:val="20"/>
                <w:szCs w:val="20"/>
                <w:color w:val="auto"/>
              </w:rPr>
            </w:pPr>
            <w:r>
              <w:rPr>
                <w:rFonts w:ascii="Arial" w:cs="Arial" w:eastAsia="Arial" w:hAnsi="Arial"/>
                <w:sz w:val="17"/>
                <w:szCs w:val="17"/>
                <w:b w:val="1"/>
                <w:bCs w:val="1"/>
                <w:color w:val="auto"/>
                <w:w w:val="89"/>
              </w:rPr>
              <w:t>Amounts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8"/>
              </w:rPr>
              <w:t>Amounts of</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Offset on the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5"/>
          </w:tcPr>
          <w:p>
            <w:pPr>
              <w:jc w:val="right"/>
              <w:ind w:right="620"/>
              <w:spacing w:after="0"/>
              <w:rPr>
                <w:sz w:val="20"/>
                <w:szCs w:val="20"/>
                <w:color w:val="auto"/>
              </w:rPr>
            </w:pPr>
            <w:r>
              <w:rPr>
                <w:rFonts w:ascii="Arial" w:cs="Arial" w:eastAsia="Arial" w:hAnsi="Arial"/>
                <w:sz w:val="17"/>
                <w:szCs w:val="17"/>
                <w:b w:val="1"/>
                <w:bCs w:val="1"/>
                <w:color w:val="auto"/>
              </w:rPr>
              <w:t>in the Balance Sheet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380"/>
              <w:spacing w:after="0" w:line="189" w:lineRule="exact"/>
              <w:rPr>
                <w:sz w:val="20"/>
                <w:szCs w:val="20"/>
                <w:color w:val="auto"/>
              </w:rPr>
            </w:pPr>
            <w:r>
              <w:rPr>
                <w:rFonts w:ascii="Arial" w:cs="Arial" w:eastAsia="Arial" w:hAnsi="Arial"/>
                <w:sz w:val="17"/>
                <w:szCs w:val="17"/>
                <w:b w:val="1"/>
                <w:bCs w:val="1"/>
                <w:color w:val="auto"/>
                <w:w w:val="87"/>
              </w:rPr>
              <w:t>Recognized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center"/>
              <w:ind w:right="240"/>
              <w:spacing w:after="0" w:line="189" w:lineRule="exact"/>
              <w:rPr>
                <w:sz w:val="20"/>
                <w:szCs w:val="20"/>
                <w:color w:val="auto"/>
              </w:rPr>
            </w:pPr>
            <w:r>
              <w:rPr>
                <w:rFonts w:ascii="Arial" w:cs="Arial" w:eastAsia="Arial" w:hAnsi="Arial"/>
                <w:sz w:val="17"/>
                <w:szCs w:val="17"/>
                <w:b w:val="1"/>
                <w:bCs w:val="1"/>
                <w:color w:val="auto"/>
                <w:w w:val="88"/>
              </w:rPr>
              <w:t>Balance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100"/>
              <w:spacing w:after="0" w:line="189" w:lineRule="exact"/>
              <w:rPr>
                <w:sz w:val="20"/>
                <w:szCs w:val="20"/>
                <w:color w:val="auto"/>
              </w:rPr>
            </w:pPr>
            <w:r>
              <w:rPr>
                <w:rFonts w:ascii="Arial" w:cs="Arial" w:eastAsia="Arial" w:hAnsi="Arial"/>
                <w:sz w:val="17"/>
                <w:szCs w:val="17"/>
                <w:b w:val="1"/>
                <w:bCs w:val="1"/>
                <w:color w:val="auto"/>
              </w:rPr>
              <w:t>Net Asset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20"/>
              <w:spacing w:after="0" w:line="189" w:lineRule="exact"/>
              <w:rPr>
                <w:sz w:val="20"/>
                <w:szCs w:val="20"/>
                <w:color w:val="auto"/>
              </w:rPr>
            </w:pPr>
            <w:r>
              <w:rPr>
                <w:rFonts w:ascii="Arial" w:cs="Arial" w:eastAsia="Arial" w:hAnsi="Arial"/>
                <w:sz w:val="17"/>
                <w:szCs w:val="17"/>
                <w:b w:val="1"/>
                <w:bCs w:val="1"/>
                <w:color w:val="auto"/>
              </w:rPr>
              <w:t>Financial</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95"/>
              <w:spacing w:after="0" w:line="189" w:lineRule="exact"/>
              <w:rPr>
                <w:sz w:val="20"/>
                <w:szCs w:val="20"/>
                <w:color w:val="auto"/>
              </w:rPr>
            </w:pPr>
            <w:r>
              <w:rPr>
                <w:rFonts w:ascii="Arial" w:cs="Arial" w:eastAsia="Arial" w:hAnsi="Arial"/>
                <w:sz w:val="17"/>
                <w:szCs w:val="17"/>
                <w:b w:val="1"/>
                <w:bCs w:val="1"/>
                <w:color w:val="auto"/>
                <w:w w:val="92"/>
              </w:rPr>
              <w:t>Collateral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200" w:type="dxa"/>
            <w:vAlign w:val="bottom"/>
          </w:tcPr>
          <w:p>
            <w:pPr>
              <w:spacing w:after="0"/>
              <w:rPr>
                <w:sz w:val="20"/>
                <w:szCs w:val="20"/>
                <w:color w:val="auto"/>
              </w:rPr>
            </w:pPr>
            <w:r>
              <w:rPr>
                <w:rFonts w:ascii="Arial" w:cs="Arial" w:eastAsia="Arial" w:hAnsi="Arial"/>
                <w:sz w:val="17"/>
                <w:szCs w:val="17"/>
                <w:b w:val="1"/>
                <w:bCs w:val="1"/>
                <w:color w:val="auto"/>
              </w:rPr>
              <w:t>March 31, 2015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78"/>
              </w:rPr>
              <w:t>Assets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6"/>
              </w:rPr>
              <w:t>Sheet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Balance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Instruments</w:t>
            </w:r>
          </w:p>
        </w:tc>
        <w:tc>
          <w:tcPr>
            <w:tcW w:w="14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Received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91"/>
              </w:rPr>
              <w:t>Net Amount</w:t>
            </w:r>
          </w:p>
        </w:tc>
        <w:tc>
          <w:tcPr>
            <w:tcW w:w="0" w:type="dxa"/>
            <w:vAlign w:val="bottom"/>
          </w:tcPr>
          <w:p>
            <w:pPr>
              <w:spacing w:after="0"/>
              <w:rPr>
                <w:sz w:val="1"/>
                <w:szCs w:val="1"/>
                <w:color w:val="auto"/>
              </w:rPr>
            </w:pPr>
          </w:p>
        </w:tc>
      </w:tr>
      <w:tr>
        <w:trPr>
          <w:trHeight w:val="205"/>
        </w:trPr>
        <w:tc>
          <w:tcPr>
            <w:tcW w:w="3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00" w:type="dxa"/>
            <w:vAlign w:val="bottom"/>
            <w:shd w:val="clear" w:color="auto" w:fill="F0FFFF"/>
          </w:tcPr>
          <w:p>
            <w:pPr>
              <w:spacing w:after="0" w:line="193" w:lineRule="exact"/>
              <w:rPr>
                <w:sz w:val="20"/>
                <w:szCs w:val="20"/>
                <w:color w:val="auto"/>
              </w:rPr>
            </w:pPr>
            <w:r>
              <w:rPr>
                <w:rFonts w:ascii="Arial" w:cs="Arial" w:eastAsia="Arial" w:hAnsi="Arial"/>
                <w:sz w:val="17"/>
                <w:szCs w:val="17"/>
                <w:color w:val="auto"/>
                <w:w w:val="91"/>
              </w:rPr>
              <w:t>Repurchase agreements / reverse repurchase</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8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0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200" w:type="dxa"/>
            <w:vAlign w:val="bottom"/>
            <w:shd w:val="clear" w:color="auto" w:fill="F0FFFF"/>
          </w:tcPr>
          <w:p>
            <w:pPr>
              <w:ind w:left="160"/>
              <w:spacing w:after="0"/>
              <w:rPr>
                <w:sz w:val="20"/>
                <w:szCs w:val="20"/>
                <w:color w:val="auto"/>
              </w:rPr>
            </w:pPr>
            <w:r>
              <w:rPr>
                <w:rFonts w:ascii="Arial" w:cs="Arial" w:eastAsia="Arial" w:hAnsi="Arial"/>
                <w:sz w:val="17"/>
                <w:szCs w:val="17"/>
                <w:color w:val="auto"/>
              </w:rPr>
              <w:t>agreements</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345,000</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(325,000)</w:t>
            </w:r>
          </w:p>
        </w:tc>
        <w:tc>
          <w:tcPr>
            <w:tcW w:w="24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20,000</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(21,048)</w:t>
            </w:r>
          </w:p>
        </w:tc>
        <w:tc>
          <w:tcPr>
            <w:tcW w:w="18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0" w:type="dxa"/>
            <w:vAlign w:val="bottom"/>
          </w:tcPr>
          <w:p>
            <w:pPr>
              <w:spacing w:after="0"/>
              <w:rPr>
                <w:sz w:val="20"/>
                <w:szCs w:val="20"/>
                <w:color w:val="auto"/>
              </w:rPr>
            </w:pPr>
            <w:r>
              <w:rPr>
                <w:rFonts w:ascii="Arial" w:cs="Arial" w:eastAsia="Arial" w:hAnsi="Arial"/>
                <w:sz w:val="17"/>
                <w:szCs w:val="17"/>
                <w:color w:val="auto"/>
              </w:rPr>
              <w:t>Derivatives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20,291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20,291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(597)</w:t>
            </w:r>
          </w:p>
        </w:tc>
        <w:tc>
          <w:tcPr>
            <w:tcW w:w="14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(4,435)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15,259</w:t>
            </w:r>
          </w:p>
        </w:tc>
        <w:tc>
          <w:tcPr>
            <w:tcW w:w="0" w:type="dxa"/>
            <w:vAlign w:val="bottom"/>
          </w:tcPr>
          <w:p>
            <w:pPr>
              <w:spacing w:after="0"/>
              <w:rPr>
                <w:sz w:val="1"/>
                <w:szCs w:val="1"/>
                <w:color w:val="auto"/>
              </w:rPr>
            </w:pPr>
          </w:p>
        </w:tc>
      </w:tr>
      <w:tr>
        <w:trPr>
          <w:trHeight w:val="26"/>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200" w:type="dxa"/>
            <w:vAlign w:val="bottom"/>
            <w:shd w:val="clear" w:color="auto" w:fill="F0FFFF"/>
          </w:tcPr>
          <w:p>
            <w:pPr>
              <w:ind w:left="16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365,291</w:t>
            </w:r>
          </w:p>
        </w:tc>
        <w:tc>
          <w:tcPr>
            <w:tcW w:w="200" w:type="dxa"/>
            <w:vAlign w:val="bottom"/>
            <w:shd w:val="clear" w:color="auto" w:fill="F0FFFF"/>
          </w:tcPr>
          <w:p>
            <w:pPr>
              <w:spacing w:after="0"/>
              <w:rPr>
                <w:sz w:val="21"/>
                <w:szCs w:val="21"/>
                <w:color w:val="auto"/>
              </w:rPr>
            </w:pP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(325,000)</w:t>
            </w:r>
          </w:p>
        </w:tc>
        <w:tc>
          <w:tcPr>
            <w:tcW w:w="24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40,291</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(597)</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(25,483)</w:t>
            </w:r>
          </w:p>
        </w:tc>
        <w:tc>
          <w:tcPr>
            <w:tcW w:w="18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15,259</w:t>
            </w:r>
          </w:p>
        </w:tc>
        <w:tc>
          <w:tcPr>
            <w:tcW w:w="0" w:type="dxa"/>
            <w:vAlign w:val="bottom"/>
          </w:tcPr>
          <w:p>
            <w:pPr>
              <w:spacing w:after="0"/>
              <w:rPr>
                <w:sz w:val="1"/>
                <w:szCs w:val="1"/>
                <w:color w:val="auto"/>
              </w:rPr>
            </w:pPr>
          </w:p>
        </w:tc>
      </w:tr>
      <w:tr>
        <w:trPr>
          <w:trHeight w:val="184"/>
        </w:trPr>
        <w:tc>
          <w:tcPr>
            <w:tcW w:w="3200" w:type="dxa"/>
            <w:vAlign w:val="bottom"/>
            <w:tcBorders>
              <w:top w:val="single" w:sz="8" w:color="F0FFFF"/>
            </w:tcBorders>
          </w:tcPr>
          <w:p>
            <w:pPr>
              <w:spacing w:after="0" w:line="184" w:lineRule="exact"/>
              <w:rPr>
                <w:sz w:val="20"/>
                <w:szCs w:val="20"/>
                <w:color w:val="auto"/>
              </w:rPr>
            </w:pPr>
            <w:r>
              <w:rPr>
                <w:rFonts w:ascii="Arial" w:cs="Arial" w:eastAsia="Arial" w:hAnsi="Arial"/>
                <w:sz w:val="17"/>
                <w:szCs w:val="17"/>
                <w:color w:val="auto"/>
              </w:rPr>
              <w:t>Weighted average interest rate of reverse</w:t>
            </w:r>
          </w:p>
        </w:tc>
        <w:tc>
          <w:tcPr>
            <w:tcW w:w="120" w:type="dxa"/>
            <w:vAlign w:val="bottom"/>
            <w:tcBorders>
              <w:top w:val="single" w:sz="8" w:color="F0FF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Borders>
              <w:top w:val="single" w:sz="8" w:color="F0FFFF"/>
            </w:tcBorders>
          </w:tcPr>
          <w:p>
            <w:pPr>
              <w:spacing w:after="0"/>
              <w:rPr>
                <w:sz w:val="15"/>
                <w:szCs w:val="15"/>
                <w:color w:val="auto"/>
              </w:rPr>
            </w:pPr>
          </w:p>
        </w:tc>
        <w:tc>
          <w:tcPr>
            <w:tcW w:w="80" w:type="dxa"/>
            <w:vAlign w:val="bottom"/>
            <w:tcBorders>
              <w:top w:val="single" w:sz="8" w:color="F0FF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Borders>
              <w:top w:val="single" w:sz="8" w:color="F0FFFF"/>
            </w:tcBorders>
          </w:tcPr>
          <w:p>
            <w:pPr>
              <w:spacing w:after="0"/>
              <w:rPr>
                <w:sz w:val="15"/>
                <w:szCs w:val="15"/>
                <w:color w:val="auto"/>
              </w:rPr>
            </w:pPr>
          </w:p>
        </w:tc>
        <w:tc>
          <w:tcPr>
            <w:tcW w:w="80" w:type="dxa"/>
            <w:vAlign w:val="bottom"/>
            <w:tcBorders>
              <w:top w:val="single" w:sz="8" w:color="F0FF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Borders>
              <w:top w:val="single" w:sz="8" w:color="F0FF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F0FFFF"/>
            </w:tcBorders>
          </w:tcPr>
          <w:p>
            <w:pPr>
              <w:spacing w:after="0"/>
              <w:rPr>
                <w:sz w:val="15"/>
                <w:szCs w:val="15"/>
                <w:color w:val="auto"/>
              </w:rPr>
            </w:pPr>
          </w:p>
        </w:tc>
        <w:tc>
          <w:tcPr>
            <w:tcW w:w="80" w:type="dxa"/>
            <w:vAlign w:val="bottom"/>
            <w:tcBorders>
              <w:top w:val="single" w:sz="8" w:color="F0FF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60"/>
              <w:spacing w:after="0"/>
              <w:rPr>
                <w:sz w:val="20"/>
                <w:szCs w:val="20"/>
                <w:color w:val="auto"/>
              </w:rPr>
            </w:pPr>
            <w:r>
              <w:rPr>
                <w:rFonts w:ascii="Arial" w:cs="Arial" w:eastAsia="Arial" w:hAnsi="Arial"/>
                <w:sz w:val="17"/>
                <w:szCs w:val="17"/>
                <w:color w:val="auto"/>
              </w:rPr>
              <w:t>repurchase agreements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1.18%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5"/>
              </w:rPr>
              <w:t>Gross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vMerge w:val="restart"/>
          </w:tcPr>
          <w:p>
            <w:pPr>
              <w:jc w:val="right"/>
              <w:ind w:right="440"/>
              <w:spacing w:after="0"/>
              <w:rPr>
                <w:sz w:val="20"/>
                <w:szCs w:val="20"/>
                <w:color w:val="auto"/>
              </w:rPr>
            </w:pPr>
            <w:r>
              <w:rPr>
                <w:rFonts w:ascii="Arial" w:cs="Arial" w:eastAsia="Arial" w:hAnsi="Arial"/>
                <w:sz w:val="17"/>
                <w:szCs w:val="17"/>
                <w:b w:val="1"/>
                <w:bCs w:val="1"/>
                <w:color w:val="auto"/>
                <w:w w:val="95"/>
              </w:rPr>
              <w:t>Gross Amounts not Offset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80"/>
              <w:spacing w:after="0" w:line="180" w:lineRule="exact"/>
              <w:rPr>
                <w:sz w:val="20"/>
                <w:szCs w:val="20"/>
                <w:color w:val="auto"/>
              </w:rPr>
            </w:pPr>
            <w:r>
              <w:rPr>
                <w:rFonts w:ascii="Arial" w:cs="Arial" w:eastAsia="Arial" w:hAnsi="Arial"/>
                <w:sz w:val="17"/>
                <w:szCs w:val="17"/>
                <w:b w:val="1"/>
                <w:bCs w:val="1"/>
                <w:color w:val="auto"/>
                <w:w w:val="89"/>
              </w:rPr>
              <w:t>Gross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280"/>
              <w:spacing w:after="0" w:line="180" w:lineRule="exact"/>
              <w:rPr>
                <w:sz w:val="20"/>
                <w:szCs w:val="20"/>
                <w:color w:val="auto"/>
              </w:rPr>
            </w:pPr>
            <w:r>
              <w:rPr>
                <w:rFonts w:ascii="Arial" w:cs="Arial" w:eastAsia="Arial" w:hAnsi="Arial"/>
                <w:sz w:val="17"/>
                <w:szCs w:val="17"/>
                <w:b w:val="1"/>
                <w:bCs w:val="1"/>
                <w:color w:val="auto"/>
                <w:w w:val="89"/>
              </w:rPr>
              <w:t>Amounts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Amounts of</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Offset on the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7"/>
              </w:rPr>
              <w:t>Net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5"/>
          </w:tcPr>
          <w:p>
            <w:pPr>
              <w:jc w:val="right"/>
              <w:ind w:right="620"/>
              <w:spacing w:after="0"/>
              <w:rPr>
                <w:sz w:val="20"/>
                <w:szCs w:val="20"/>
                <w:color w:val="auto"/>
              </w:rPr>
            </w:pPr>
            <w:r>
              <w:rPr>
                <w:rFonts w:ascii="Arial" w:cs="Arial" w:eastAsia="Arial" w:hAnsi="Arial"/>
                <w:sz w:val="17"/>
                <w:szCs w:val="17"/>
                <w:b w:val="1"/>
                <w:bCs w:val="1"/>
                <w:color w:val="auto"/>
              </w:rPr>
              <w:t>in the Balance Sheet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60"/>
              <w:spacing w:after="0" w:line="189" w:lineRule="exact"/>
              <w:rPr>
                <w:sz w:val="20"/>
                <w:szCs w:val="20"/>
                <w:color w:val="auto"/>
              </w:rPr>
            </w:pPr>
            <w:r>
              <w:rPr>
                <w:rFonts w:ascii="Arial" w:cs="Arial" w:eastAsia="Arial" w:hAnsi="Arial"/>
                <w:sz w:val="17"/>
                <w:szCs w:val="17"/>
                <w:b w:val="1"/>
                <w:bCs w:val="1"/>
                <w:color w:val="auto"/>
                <w:w w:val="87"/>
              </w:rPr>
              <w:t>Recognized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center"/>
              <w:ind w:right="240"/>
              <w:spacing w:after="0" w:line="189" w:lineRule="exact"/>
              <w:rPr>
                <w:sz w:val="20"/>
                <w:szCs w:val="20"/>
                <w:color w:val="auto"/>
              </w:rPr>
            </w:pPr>
            <w:r>
              <w:rPr>
                <w:rFonts w:ascii="Arial" w:cs="Arial" w:eastAsia="Arial" w:hAnsi="Arial"/>
                <w:sz w:val="17"/>
                <w:szCs w:val="17"/>
                <w:b w:val="1"/>
                <w:bCs w:val="1"/>
                <w:color w:val="auto"/>
                <w:w w:val="88"/>
              </w:rPr>
              <w:t>Balance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80"/>
              <w:spacing w:after="0" w:line="189" w:lineRule="exact"/>
              <w:rPr>
                <w:sz w:val="20"/>
                <w:szCs w:val="20"/>
                <w:color w:val="auto"/>
              </w:rPr>
            </w:pPr>
            <w:r>
              <w:rPr>
                <w:rFonts w:ascii="Arial" w:cs="Arial" w:eastAsia="Arial" w:hAnsi="Arial"/>
                <w:sz w:val="17"/>
                <w:szCs w:val="17"/>
                <w:b w:val="1"/>
                <w:bCs w:val="1"/>
                <w:color w:val="auto"/>
              </w:rPr>
              <w:t>Liability</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40"/>
              <w:spacing w:after="0" w:line="189" w:lineRule="exact"/>
              <w:rPr>
                <w:sz w:val="20"/>
                <w:szCs w:val="20"/>
                <w:color w:val="auto"/>
              </w:rPr>
            </w:pPr>
            <w:r>
              <w:rPr>
                <w:rFonts w:ascii="Arial" w:cs="Arial" w:eastAsia="Arial" w:hAnsi="Arial"/>
                <w:sz w:val="17"/>
                <w:szCs w:val="17"/>
                <w:b w:val="1"/>
                <w:bCs w:val="1"/>
                <w:color w:val="auto"/>
                <w:w w:val="94"/>
              </w:rPr>
              <w:t>Financial</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95"/>
              <w:spacing w:after="0" w:line="189" w:lineRule="exact"/>
              <w:rPr>
                <w:sz w:val="20"/>
                <w:szCs w:val="20"/>
                <w:color w:val="auto"/>
              </w:rPr>
            </w:pPr>
            <w:r>
              <w:rPr>
                <w:rFonts w:ascii="Arial" w:cs="Arial" w:eastAsia="Arial" w:hAnsi="Arial"/>
                <w:sz w:val="17"/>
                <w:szCs w:val="17"/>
                <w:b w:val="1"/>
                <w:bCs w:val="1"/>
                <w:color w:val="auto"/>
                <w:w w:val="92"/>
              </w:rPr>
              <w:t>Collateral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1"/>
              </w:rPr>
              <w:t>Liabilities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6"/>
              </w:rPr>
              <w:t>Sheet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Balance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Instruments</w:t>
            </w:r>
          </w:p>
        </w:tc>
        <w:tc>
          <w:tcPr>
            <w:tcW w:w="14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Pledged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91"/>
              </w:rPr>
              <w:t>Net Amount</w:t>
            </w:r>
          </w:p>
        </w:tc>
        <w:tc>
          <w:tcPr>
            <w:tcW w:w="0" w:type="dxa"/>
            <w:vAlign w:val="bottom"/>
          </w:tcPr>
          <w:p>
            <w:pPr>
              <w:spacing w:after="0"/>
              <w:rPr>
                <w:sz w:val="1"/>
                <w:szCs w:val="1"/>
                <w:color w:val="auto"/>
              </w:rPr>
            </w:pPr>
          </w:p>
        </w:tc>
      </w:tr>
      <w:tr>
        <w:trPr>
          <w:trHeight w:val="205"/>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00" w:type="dxa"/>
            <w:vAlign w:val="bottom"/>
            <w:shd w:val="clear" w:color="auto" w:fill="F0FFFF"/>
          </w:tcPr>
          <w:p>
            <w:pPr>
              <w:spacing w:after="0" w:line="193" w:lineRule="exact"/>
              <w:rPr>
                <w:sz w:val="20"/>
                <w:szCs w:val="20"/>
                <w:color w:val="auto"/>
              </w:rPr>
            </w:pPr>
            <w:r>
              <w:rPr>
                <w:rFonts w:ascii="Arial" w:cs="Arial" w:eastAsia="Arial" w:hAnsi="Arial"/>
                <w:sz w:val="17"/>
                <w:szCs w:val="17"/>
                <w:color w:val="auto"/>
                <w:w w:val="91"/>
              </w:rPr>
              <w:t>Repurchase agreements / reverse repurchase</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8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0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200" w:type="dxa"/>
            <w:vAlign w:val="bottom"/>
            <w:shd w:val="clear" w:color="auto" w:fill="F0FFFF"/>
          </w:tcPr>
          <w:p>
            <w:pPr>
              <w:ind w:left="160"/>
              <w:spacing w:after="0"/>
              <w:rPr>
                <w:sz w:val="20"/>
                <w:szCs w:val="20"/>
                <w:color w:val="auto"/>
              </w:rPr>
            </w:pPr>
            <w:r>
              <w:rPr>
                <w:rFonts w:ascii="Arial" w:cs="Arial" w:eastAsia="Arial" w:hAnsi="Arial"/>
                <w:sz w:val="17"/>
                <w:szCs w:val="17"/>
                <w:color w:val="auto"/>
              </w:rPr>
              <w:t>agreements</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325,000</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(325,000)</w:t>
            </w:r>
          </w:p>
        </w:tc>
        <w:tc>
          <w:tcPr>
            <w:tcW w:w="24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0" w:type="dxa"/>
            <w:vAlign w:val="bottom"/>
          </w:tcPr>
          <w:p>
            <w:pPr>
              <w:spacing w:after="0"/>
              <w:rPr>
                <w:sz w:val="20"/>
                <w:szCs w:val="20"/>
                <w:color w:val="auto"/>
              </w:rPr>
            </w:pPr>
            <w:r>
              <w:rPr>
                <w:rFonts w:ascii="Arial" w:cs="Arial" w:eastAsia="Arial" w:hAnsi="Arial"/>
                <w:sz w:val="17"/>
                <w:szCs w:val="17"/>
                <w:color w:val="auto"/>
              </w:rPr>
              <w:t>Derivatives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29,276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29,276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(597)</w:t>
            </w:r>
          </w:p>
        </w:tc>
        <w:tc>
          <w:tcPr>
            <w:tcW w:w="14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(31,407)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200" w:type="dxa"/>
            <w:vAlign w:val="bottom"/>
            <w:shd w:val="clear" w:color="auto" w:fill="F0FFFF"/>
          </w:tcPr>
          <w:p>
            <w:pPr>
              <w:ind w:left="16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354,276</w:t>
            </w:r>
          </w:p>
        </w:tc>
        <w:tc>
          <w:tcPr>
            <w:tcW w:w="200" w:type="dxa"/>
            <w:vAlign w:val="bottom"/>
            <w:shd w:val="clear" w:color="auto" w:fill="F0FFFF"/>
          </w:tcPr>
          <w:p>
            <w:pPr>
              <w:spacing w:after="0"/>
              <w:rPr>
                <w:sz w:val="21"/>
                <w:szCs w:val="21"/>
                <w:color w:val="auto"/>
              </w:rPr>
            </w:pP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(325,000)</w:t>
            </w:r>
          </w:p>
        </w:tc>
        <w:tc>
          <w:tcPr>
            <w:tcW w:w="24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29,276</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(597)</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(31,407)</w:t>
            </w:r>
          </w:p>
        </w:tc>
        <w:tc>
          <w:tcPr>
            <w:tcW w:w="18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3200" w:type="dxa"/>
            <w:vAlign w:val="bottom"/>
            <w:tcBorders>
              <w:top w:val="single" w:sz="8" w:color="F0FFFF"/>
            </w:tcBorders>
          </w:tcPr>
          <w:p>
            <w:pPr>
              <w:spacing w:after="0" w:line="184" w:lineRule="exact"/>
              <w:rPr>
                <w:sz w:val="20"/>
                <w:szCs w:val="20"/>
                <w:color w:val="auto"/>
              </w:rPr>
            </w:pPr>
            <w:r>
              <w:rPr>
                <w:rFonts w:ascii="Arial" w:cs="Arial" w:eastAsia="Arial" w:hAnsi="Arial"/>
                <w:sz w:val="17"/>
                <w:szCs w:val="17"/>
                <w:color w:val="auto"/>
                <w:w w:val="93"/>
              </w:rPr>
              <w:t>Weighted average interest rate of repurchase</w:t>
            </w:r>
          </w:p>
        </w:tc>
        <w:tc>
          <w:tcPr>
            <w:tcW w:w="120" w:type="dxa"/>
            <w:vAlign w:val="bottom"/>
            <w:tcBorders>
              <w:top w:val="single" w:sz="8" w:color="F0FF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Borders>
              <w:top w:val="single" w:sz="8" w:color="F0FFFF"/>
            </w:tcBorders>
          </w:tcPr>
          <w:p>
            <w:pPr>
              <w:spacing w:after="0"/>
              <w:rPr>
                <w:sz w:val="15"/>
                <w:szCs w:val="15"/>
                <w:color w:val="auto"/>
              </w:rPr>
            </w:pPr>
          </w:p>
        </w:tc>
        <w:tc>
          <w:tcPr>
            <w:tcW w:w="80" w:type="dxa"/>
            <w:vAlign w:val="bottom"/>
            <w:tcBorders>
              <w:top w:val="single" w:sz="8" w:color="F0FF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Borders>
              <w:top w:val="single" w:sz="8" w:color="F0FFFF"/>
            </w:tcBorders>
          </w:tcPr>
          <w:p>
            <w:pPr>
              <w:spacing w:after="0"/>
              <w:rPr>
                <w:sz w:val="15"/>
                <w:szCs w:val="15"/>
                <w:color w:val="auto"/>
              </w:rPr>
            </w:pPr>
          </w:p>
        </w:tc>
        <w:tc>
          <w:tcPr>
            <w:tcW w:w="80" w:type="dxa"/>
            <w:vAlign w:val="bottom"/>
            <w:tcBorders>
              <w:top w:val="single" w:sz="8" w:color="F0FF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Borders>
              <w:top w:val="single" w:sz="8" w:color="F0FF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F0FFFF"/>
            </w:tcBorders>
          </w:tcPr>
          <w:p>
            <w:pPr>
              <w:spacing w:after="0"/>
              <w:rPr>
                <w:sz w:val="15"/>
                <w:szCs w:val="15"/>
                <w:color w:val="auto"/>
              </w:rPr>
            </w:pPr>
          </w:p>
        </w:tc>
        <w:tc>
          <w:tcPr>
            <w:tcW w:w="80" w:type="dxa"/>
            <w:vAlign w:val="bottom"/>
            <w:tcBorders>
              <w:top w:val="single" w:sz="8" w:color="F0FF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60"/>
              <w:spacing w:after="0"/>
              <w:rPr>
                <w:sz w:val="20"/>
                <w:szCs w:val="20"/>
                <w:color w:val="auto"/>
              </w:rPr>
            </w:pPr>
            <w:r>
              <w:rPr>
                <w:rFonts w:ascii="Arial" w:cs="Arial" w:eastAsia="Arial" w:hAnsi="Arial"/>
                <w:sz w:val="17"/>
                <w:szCs w:val="17"/>
                <w:color w:val="auto"/>
              </w:rPr>
              <w:t>agreements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5"/>
              </w:rPr>
              <w:t>Gross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vMerge w:val="restart"/>
          </w:tcPr>
          <w:p>
            <w:pPr>
              <w:jc w:val="right"/>
              <w:ind w:right="440"/>
              <w:spacing w:after="0"/>
              <w:rPr>
                <w:sz w:val="20"/>
                <w:szCs w:val="20"/>
                <w:color w:val="auto"/>
              </w:rPr>
            </w:pPr>
            <w:r>
              <w:rPr>
                <w:rFonts w:ascii="Arial" w:cs="Arial" w:eastAsia="Arial" w:hAnsi="Arial"/>
                <w:sz w:val="17"/>
                <w:szCs w:val="17"/>
                <w:b w:val="1"/>
                <w:bCs w:val="1"/>
                <w:color w:val="auto"/>
                <w:w w:val="95"/>
              </w:rPr>
              <w:t>Gross Amounts not Offset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80"/>
              <w:spacing w:after="0" w:line="180" w:lineRule="exact"/>
              <w:rPr>
                <w:sz w:val="20"/>
                <w:szCs w:val="20"/>
                <w:color w:val="auto"/>
              </w:rPr>
            </w:pPr>
            <w:r>
              <w:rPr>
                <w:rFonts w:ascii="Arial" w:cs="Arial" w:eastAsia="Arial" w:hAnsi="Arial"/>
                <w:sz w:val="17"/>
                <w:szCs w:val="17"/>
                <w:b w:val="1"/>
                <w:bCs w:val="1"/>
                <w:color w:val="auto"/>
                <w:w w:val="89"/>
              </w:rPr>
              <w:t>Gross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280"/>
              <w:spacing w:after="0" w:line="180" w:lineRule="exact"/>
              <w:rPr>
                <w:sz w:val="20"/>
                <w:szCs w:val="20"/>
                <w:color w:val="auto"/>
              </w:rPr>
            </w:pPr>
            <w:r>
              <w:rPr>
                <w:rFonts w:ascii="Arial" w:cs="Arial" w:eastAsia="Arial" w:hAnsi="Arial"/>
                <w:sz w:val="17"/>
                <w:szCs w:val="17"/>
                <w:b w:val="1"/>
                <w:bCs w:val="1"/>
                <w:color w:val="auto"/>
                <w:w w:val="89"/>
              </w:rPr>
              <w:t>Amounts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Amounts of</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Offset on the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5"/>
          </w:tcPr>
          <w:p>
            <w:pPr>
              <w:jc w:val="right"/>
              <w:ind w:right="620"/>
              <w:spacing w:after="0"/>
              <w:rPr>
                <w:sz w:val="20"/>
                <w:szCs w:val="20"/>
                <w:color w:val="auto"/>
              </w:rPr>
            </w:pPr>
            <w:r>
              <w:rPr>
                <w:rFonts w:ascii="Arial" w:cs="Arial" w:eastAsia="Arial" w:hAnsi="Arial"/>
                <w:sz w:val="17"/>
                <w:szCs w:val="17"/>
                <w:b w:val="1"/>
                <w:bCs w:val="1"/>
                <w:color w:val="auto"/>
              </w:rPr>
              <w:t>in the Balance Sheet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00" w:type="dxa"/>
            <w:vAlign w:val="bottom"/>
            <w:vMerge w:val="restart"/>
          </w:tcPr>
          <w:p>
            <w:pPr>
              <w:spacing w:after="0"/>
              <w:rPr>
                <w:sz w:val="20"/>
                <w:szCs w:val="20"/>
                <w:color w:val="auto"/>
              </w:rPr>
            </w:pPr>
            <w:r>
              <w:rPr>
                <w:rFonts w:ascii="Arial" w:cs="Arial" w:eastAsia="Arial" w:hAnsi="Arial"/>
                <w:sz w:val="17"/>
                <w:szCs w:val="17"/>
                <w:b w:val="1"/>
                <w:bCs w:val="1"/>
                <w:color w:val="auto"/>
              </w:rPr>
              <w:t>December 31, 2014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60"/>
              <w:spacing w:after="0" w:line="189" w:lineRule="exact"/>
              <w:rPr>
                <w:sz w:val="20"/>
                <w:szCs w:val="20"/>
                <w:color w:val="auto"/>
              </w:rPr>
            </w:pPr>
            <w:r>
              <w:rPr>
                <w:rFonts w:ascii="Arial" w:cs="Arial" w:eastAsia="Arial" w:hAnsi="Arial"/>
                <w:sz w:val="17"/>
                <w:szCs w:val="17"/>
                <w:b w:val="1"/>
                <w:bCs w:val="1"/>
                <w:color w:val="auto"/>
                <w:w w:val="87"/>
              </w:rPr>
              <w:t>Recognized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center"/>
              <w:ind w:right="240"/>
              <w:spacing w:after="0" w:line="189" w:lineRule="exact"/>
              <w:rPr>
                <w:sz w:val="20"/>
                <w:szCs w:val="20"/>
                <w:color w:val="auto"/>
              </w:rPr>
            </w:pPr>
            <w:r>
              <w:rPr>
                <w:rFonts w:ascii="Arial" w:cs="Arial" w:eastAsia="Arial" w:hAnsi="Arial"/>
                <w:sz w:val="17"/>
                <w:szCs w:val="17"/>
                <w:b w:val="1"/>
                <w:bCs w:val="1"/>
                <w:color w:val="auto"/>
                <w:w w:val="88"/>
              </w:rPr>
              <w:t>Balance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40"/>
              <w:spacing w:after="0" w:line="189" w:lineRule="exact"/>
              <w:rPr>
                <w:sz w:val="20"/>
                <w:szCs w:val="20"/>
                <w:color w:val="auto"/>
              </w:rPr>
            </w:pPr>
            <w:r>
              <w:rPr>
                <w:rFonts w:ascii="Arial" w:cs="Arial" w:eastAsia="Arial" w:hAnsi="Arial"/>
                <w:sz w:val="17"/>
                <w:szCs w:val="17"/>
                <w:b w:val="1"/>
                <w:bCs w:val="1"/>
                <w:color w:val="auto"/>
                <w:w w:val="86"/>
              </w:rPr>
              <w:t>Net Asset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40"/>
              <w:spacing w:after="0" w:line="189" w:lineRule="exact"/>
              <w:rPr>
                <w:sz w:val="20"/>
                <w:szCs w:val="20"/>
                <w:color w:val="auto"/>
              </w:rPr>
            </w:pPr>
            <w:r>
              <w:rPr>
                <w:rFonts w:ascii="Arial" w:cs="Arial" w:eastAsia="Arial" w:hAnsi="Arial"/>
                <w:sz w:val="17"/>
                <w:szCs w:val="17"/>
                <w:b w:val="1"/>
                <w:bCs w:val="1"/>
                <w:color w:val="auto"/>
                <w:w w:val="94"/>
              </w:rPr>
              <w:t>Financial</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95"/>
              <w:spacing w:after="0" w:line="189" w:lineRule="exact"/>
              <w:rPr>
                <w:sz w:val="20"/>
                <w:szCs w:val="20"/>
                <w:color w:val="auto"/>
              </w:rPr>
            </w:pPr>
            <w:r>
              <w:rPr>
                <w:rFonts w:ascii="Arial" w:cs="Arial" w:eastAsia="Arial" w:hAnsi="Arial"/>
                <w:sz w:val="17"/>
                <w:szCs w:val="17"/>
                <w:b w:val="1"/>
                <w:bCs w:val="1"/>
                <w:color w:val="auto"/>
                <w:w w:val="92"/>
              </w:rPr>
              <w:t>Collateral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78"/>
              </w:rPr>
              <w:t>Assets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6"/>
              </w:rPr>
              <w:t>Sheet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Balance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Instruments</w:t>
            </w:r>
          </w:p>
        </w:tc>
        <w:tc>
          <w:tcPr>
            <w:tcW w:w="14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Received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91"/>
              </w:rPr>
              <w:t>Net Amount</w:t>
            </w:r>
          </w:p>
        </w:tc>
        <w:tc>
          <w:tcPr>
            <w:tcW w:w="0" w:type="dxa"/>
            <w:vAlign w:val="bottom"/>
          </w:tcPr>
          <w:p>
            <w:pPr>
              <w:spacing w:after="0"/>
              <w:rPr>
                <w:sz w:val="1"/>
                <w:szCs w:val="1"/>
                <w:color w:val="auto"/>
              </w:rPr>
            </w:pPr>
          </w:p>
        </w:tc>
      </w:tr>
      <w:tr>
        <w:trPr>
          <w:trHeight w:val="205"/>
        </w:trPr>
        <w:tc>
          <w:tcPr>
            <w:tcW w:w="3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00" w:type="dxa"/>
            <w:vAlign w:val="bottom"/>
            <w:shd w:val="clear" w:color="auto" w:fill="F0FFFF"/>
          </w:tcPr>
          <w:p>
            <w:pPr>
              <w:spacing w:after="0" w:line="193" w:lineRule="exact"/>
              <w:rPr>
                <w:sz w:val="20"/>
                <w:szCs w:val="20"/>
                <w:color w:val="auto"/>
              </w:rPr>
            </w:pPr>
            <w:r>
              <w:rPr>
                <w:rFonts w:ascii="Arial" w:cs="Arial" w:eastAsia="Arial" w:hAnsi="Arial"/>
                <w:sz w:val="17"/>
                <w:szCs w:val="17"/>
                <w:color w:val="auto"/>
                <w:w w:val="91"/>
              </w:rPr>
              <w:t>Repurchase agreements / reverse repurchase</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8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0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200" w:type="dxa"/>
            <w:vAlign w:val="bottom"/>
            <w:shd w:val="clear" w:color="auto" w:fill="F0FFFF"/>
          </w:tcPr>
          <w:p>
            <w:pPr>
              <w:ind w:left="160"/>
              <w:spacing w:after="0"/>
              <w:rPr>
                <w:sz w:val="20"/>
                <w:szCs w:val="20"/>
                <w:color w:val="auto"/>
              </w:rPr>
            </w:pPr>
            <w:r>
              <w:rPr>
                <w:rFonts w:ascii="Arial" w:cs="Arial" w:eastAsia="Arial" w:hAnsi="Arial"/>
                <w:sz w:val="17"/>
                <w:szCs w:val="17"/>
                <w:color w:val="auto"/>
              </w:rPr>
              <w:t>agreements</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395,000</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(375,000)</w:t>
            </w:r>
          </w:p>
        </w:tc>
        <w:tc>
          <w:tcPr>
            <w:tcW w:w="24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20,000</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(20,302)</w:t>
            </w:r>
          </w:p>
        </w:tc>
        <w:tc>
          <w:tcPr>
            <w:tcW w:w="18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0" w:type="dxa"/>
            <w:vAlign w:val="bottom"/>
          </w:tcPr>
          <w:p>
            <w:pPr>
              <w:spacing w:after="0"/>
              <w:rPr>
                <w:sz w:val="20"/>
                <w:szCs w:val="20"/>
                <w:color w:val="auto"/>
              </w:rPr>
            </w:pPr>
            <w:r>
              <w:rPr>
                <w:rFonts w:ascii="Arial" w:cs="Arial" w:eastAsia="Arial" w:hAnsi="Arial"/>
                <w:sz w:val="17"/>
                <w:szCs w:val="17"/>
                <w:color w:val="auto"/>
              </w:rPr>
              <w:t>Derivatives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20,599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20,599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(869)</w:t>
            </w:r>
          </w:p>
        </w:tc>
        <w:tc>
          <w:tcPr>
            <w:tcW w:w="14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(3,716)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16,014</w:t>
            </w:r>
          </w:p>
        </w:tc>
        <w:tc>
          <w:tcPr>
            <w:tcW w:w="0" w:type="dxa"/>
            <w:vAlign w:val="bottom"/>
          </w:tcPr>
          <w:p>
            <w:pPr>
              <w:spacing w:after="0"/>
              <w:rPr>
                <w:sz w:val="1"/>
                <w:szCs w:val="1"/>
                <w:color w:val="auto"/>
              </w:rPr>
            </w:pPr>
          </w:p>
        </w:tc>
      </w:tr>
      <w:tr>
        <w:trPr>
          <w:trHeight w:val="26"/>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200" w:type="dxa"/>
            <w:vAlign w:val="bottom"/>
            <w:shd w:val="clear" w:color="auto" w:fill="F0FFFF"/>
          </w:tcPr>
          <w:p>
            <w:pPr>
              <w:ind w:left="16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415,599</w:t>
            </w:r>
          </w:p>
        </w:tc>
        <w:tc>
          <w:tcPr>
            <w:tcW w:w="200" w:type="dxa"/>
            <w:vAlign w:val="bottom"/>
            <w:shd w:val="clear" w:color="auto" w:fill="F0FFFF"/>
          </w:tcPr>
          <w:p>
            <w:pPr>
              <w:spacing w:after="0"/>
              <w:rPr>
                <w:sz w:val="21"/>
                <w:szCs w:val="21"/>
                <w:color w:val="auto"/>
              </w:rPr>
            </w:pP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(375,000)</w:t>
            </w:r>
          </w:p>
        </w:tc>
        <w:tc>
          <w:tcPr>
            <w:tcW w:w="24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40,599</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(869)</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(24,018)</w:t>
            </w:r>
          </w:p>
        </w:tc>
        <w:tc>
          <w:tcPr>
            <w:tcW w:w="18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16,014</w:t>
            </w:r>
          </w:p>
        </w:tc>
        <w:tc>
          <w:tcPr>
            <w:tcW w:w="0" w:type="dxa"/>
            <w:vAlign w:val="bottom"/>
          </w:tcPr>
          <w:p>
            <w:pPr>
              <w:spacing w:after="0"/>
              <w:rPr>
                <w:sz w:val="1"/>
                <w:szCs w:val="1"/>
                <w:color w:val="auto"/>
              </w:rPr>
            </w:pPr>
          </w:p>
        </w:tc>
      </w:tr>
      <w:tr>
        <w:trPr>
          <w:trHeight w:val="184"/>
        </w:trPr>
        <w:tc>
          <w:tcPr>
            <w:tcW w:w="3200" w:type="dxa"/>
            <w:vAlign w:val="bottom"/>
            <w:tcBorders>
              <w:top w:val="single" w:sz="8" w:color="F0FFFF"/>
            </w:tcBorders>
          </w:tcPr>
          <w:p>
            <w:pPr>
              <w:spacing w:after="0" w:line="184" w:lineRule="exact"/>
              <w:rPr>
                <w:sz w:val="20"/>
                <w:szCs w:val="20"/>
                <w:color w:val="auto"/>
              </w:rPr>
            </w:pPr>
            <w:r>
              <w:rPr>
                <w:rFonts w:ascii="Arial" w:cs="Arial" w:eastAsia="Arial" w:hAnsi="Arial"/>
                <w:sz w:val="17"/>
                <w:szCs w:val="17"/>
                <w:color w:val="auto"/>
              </w:rPr>
              <w:t>Weighted average interest rate of reverse</w:t>
            </w:r>
          </w:p>
        </w:tc>
        <w:tc>
          <w:tcPr>
            <w:tcW w:w="120" w:type="dxa"/>
            <w:vAlign w:val="bottom"/>
            <w:tcBorders>
              <w:top w:val="single" w:sz="8" w:color="F0FF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Borders>
              <w:top w:val="single" w:sz="8" w:color="F0FFFF"/>
            </w:tcBorders>
          </w:tcPr>
          <w:p>
            <w:pPr>
              <w:spacing w:after="0"/>
              <w:rPr>
                <w:sz w:val="15"/>
                <w:szCs w:val="15"/>
                <w:color w:val="auto"/>
              </w:rPr>
            </w:pPr>
          </w:p>
        </w:tc>
        <w:tc>
          <w:tcPr>
            <w:tcW w:w="80" w:type="dxa"/>
            <w:vAlign w:val="bottom"/>
            <w:tcBorders>
              <w:top w:val="single" w:sz="8" w:color="F0FF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Borders>
              <w:top w:val="single" w:sz="8" w:color="F0FFFF"/>
            </w:tcBorders>
          </w:tcPr>
          <w:p>
            <w:pPr>
              <w:spacing w:after="0"/>
              <w:rPr>
                <w:sz w:val="15"/>
                <w:szCs w:val="15"/>
                <w:color w:val="auto"/>
              </w:rPr>
            </w:pPr>
          </w:p>
        </w:tc>
        <w:tc>
          <w:tcPr>
            <w:tcW w:w="80" w:type="dxa"/>
            <w:vAlign w:val="bottom"/>
            <w:tcBorders>
              <w:top w:val="single" w:sz="8" w:color="F0FF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Borders>
              <w:top w:val="single" w:sz="8" w:color="F0FF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F0FFFF"/>
            </w:tcBorders>
          </w:tcPr>
          <w:p>
            <w:pPr>
              <w:spacing w:after="0"/>
              <w:rPr>
                <w:sz w:val="15"/>
                <w:szCs w:val="15"/>
                <w:color w:val="auto"/>
              </w:rPr>
            </w:pPr>
          </w:p>
        </w:tc>
        <w:tc>
          <w:tcPr>
            <w:tcW w:w="80" w:type="dxa"/>
            <w:vAlign w:val="bottom"/>
            <w:tcBorders>
              <w:top w:val="single" w:sz="8" w:color="F0FF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60"/>
              <w:spacing w:after="0"/>
              <w:rPr>
                <w:sz w:val="20"/>
                <w:szCs w:val="20"/>
                <w:color w:val="auto"/>
              </w:rPr>
            </w:pPr>
            <w:r>
              <w:rPr>
                <w:rFonts w:ascii="Arial" w:cs="Arial" w:eastAsia="Arial" w:hAnsi="Arial"/>
                <w:sz w:val="17"/>
                <w:szCs w:val="17"/>
                <w:color w:val="auto"/>
              </w:rPr>
              <w:t>repurchase agreements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1.16%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5"/>
              </w:rPr>
              <w:t>Gross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vMerge w:val="restart"/>
          </w:tcPr>
          <w:p>
            <w:pPr>
              <w:jc w:val="right"/>
              <w:ind w:right="440"/>
              <w:spacing w:after="0"/>
              <w:rPr>
                <w:sz w:val="20"/>
                <w:szCs w:val="20"/>
                <w:color w:val="auto"/>
              </w:rPr>
            </w:pPr>
            <w:r>
              <w:rPr>
                <w:rFonts w:ascii="Arial" w:cs="Arial" w:eastAsia="Arial" w:hAnsi="Arial"/>
                <w:sz w:val="17"/>
                <w:szCs w:val="17"/>
                <w:b w:val="1"/>
                <w:bCs w:val="1"/>
                <w:color w:val="auto"/>
                <w:w w:val="95"/>
              </w:rPr>
              <w:t>Gross Amounts not Offset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20"/>
              <w:spacing w:after="0" w:line="180" w:lineRule="exact"/>
              <w:rPr>
                <w:sz w:val="20"/>
                <w:szCs w:val="20"/>
                <w:color w:val="auto"/>
              </w:rPr>
            </w:pPr>
            <w:r>
              <w:rPr>
                <w:rFonts w:ascii="Arial" w:cs="Arial" w:eastAsia="Arial" w:hAnsi="Arial"/>
                <w:sz w:val="17"/>
                <w:szCs w:val="17"/>
                <w:b w:val="1"/>
                <w:bCs w:val="1"/>
                <w:color w:val="auto"/>
                <w:w w:val="89"/>
              </w:rPr>
              <w:t>Gross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280"/>
              <w:spacing w:after="0" w:line="180" w:lineRule="exact"/>
              <w:rPr>
                <w:sz w:val="20"/>
                <w:szCs w:val="20"/>
                <w:color w:val="auto"/>
              </w:rPr>
            </w:pPr>
            <w:r>
              <w:rPr>
                <w:rFonts w:ascii="Arial" w:cs="Arial" w:eastAsia="Arial" w:hAnsi="Arial"/>
                <w:sz w:val="17"/>
                <w:szCs w:val="17"/>
                <w:b w:val="1"/>
                <w:bCs w:val="1"/>
                <w:color w:val="auto"/>
                <w:w w:val="89"/>
              </w:rPr>
              <w:t>Amounts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Amounts of</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Offset on the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Net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5"/>
          </w:tcPr>
          <w:p>
            <w:pPr>
              <w:jc w:val="right"/>
              <w:ind w:right="620"/>
              <w:spacing w:after="0"/>
              <w:rPr>
                <w:sz w:val="20"/>
                <w:szCs w:val="20"/>
                <w:color w:val="auto"/>
              </w:rPr>
            </w:pPr>
            <w:r>
              <w:rPr>
                <w:rFonts w:ascii="Arial" w:cs="Arial" w:eastAsia="Arial" w:hAnsi="Arial"/>
                <w:sz w:val="17"/>
                <w:szCs w:val="17"/>
                <w:b w:val="1"/>
                <w:bCs w:val="1"/>
                <w:color w:val="auto"/>
              </w:rPr>
              <w:t>in the Balance Sheet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60"/>
              <w:spacing w:after="0" w:line="189" w:lineRule="exact"/>
              <w:rPr>
                <w:sz w:val="20"/>
                <w:szCs w:val="20"/>
                <w:color w:val="auto"/>
              </w:rPr>
            </w:pPr>
            <w:r>
              <w:rPr>
                <w:rFonts w:ascii="Arial" w:cs="Arial" w:eastAsia="Arial" w:hAnsi="Arial"/>
                <w:sz w:val="17"/>
                <w:szCs w:val="17"/>
                <w:b w:val="1"/>
                <w:bCs w:val="1"/>
                <w:color w:val="auto"/>
                <w:w w:val="87"/>
              </w:rPr>
              <w:t>Recognized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center"/>
              <w:ind w:right="240"/>
              <w:spacing w:after="0" w:line="189" w:lineRule="exact"/>
              <w:rPr>
                <w:sz w:val="20"/>
                <w:szCs w:val="20"/>
                <w:color w:val="auto"/>
              </w:rPr>
            </w:pPr>
            <w:r>
              <w:rPr>
                <w:rFonts w:ascii="Arial" w:cs="Arial" w:eastAsia="Arial" w:hAnsi="Arial"/>
                <w:sz w:val="17"/>
                <w:szCs w:val="17"/>
                <w:b w:val="1"/>
                <w:bCs w:val="1"/>
                <w:color w:val="auto"/>
                <w:w w:val="88"/>
              </w:rPr>
              <w:t>Balance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80"/>
              <w:spacing w:after="0" w:line="189" w:lineRule="exact"/>
              <w:rPr>
                <w:sz w:val="20"/>
                <w:szCs w:val="20"/>
                <w:color w:val="auto"/>
              </w:rPr>
            </w:pPr>
            <w:r>
              <w:rPr>
                <w:rFonts w:ascii="Arial" w:cs="Arial" w:eastAsia="Arial" w:hAnsi="Arial"/>
                <w:sz w:val="17"/>
                <w:szCs w:val="17"/>
                <w:b w:val="1"/>
                <w:bCs w:val="1"/>
                <w:color w:val="auto"/>
              </w:rPr>
              <w:t>Liability</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40"/>
              <w:spacing w:after="0" w:line="189" w:lineRule="exact"/>
              <w:rPr>
                <w:sz w:val="20"/>
                <w:szCs w:val="20"/>
                <w:color w:val="auto"/>
              </w:rPr>
            </w:pPr>
            <w:r>
              <w:rPr>
                <w:rFonts w:ascii="Arial" w:cs="Arial" w:eastAsia="Arial" w:hAnsi="Arial"/>
                <w:sz w:val="17"/>
                <w:szCs w:val="17"/>
                <w:b w:val="1"/>
                <w:bCs w:val="1"/>
                <w:color w:val="auto"/>
                <w:w w:val="94"/>
              </w:rPr>
              <w:t>Financial</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95"/>
              <w:spacing w:after="0" w:line="189" w:lineRule="exact"/>
              <w:rPr>
                <w:sz w:val="20"/>
                <w:szCs w:val="20"/>
                <w:color w:val="auto"/>
              </w:rPr>
            </w:pPr>
            <w:r>
              <w:rPr>
                <w:rFonts w:ascii="Arial" w:cs="Arial" w:eastAsia="Arial" w:hAnsi="Arial"/>
                <w:sz w:val="17"/>
                <w:szCs w:val="17"/>
                <w:b w:val="1"/>
                <w:bCs w:val="1"/>
                <w:color w:val="auto"/>
                <w:w w:val="92"/>
              </w:rPr>
              <w:t>Collateral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1"/>
              </w:rPr>
              <w:t>Liabilities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6"/>
              </w:rPr>
              <w:t>Sheet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Balance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Instruments</w:t>
            </w:r>
          </w:p>
        </w:tc>
        <w:tc>
          <w:tcPr>
            <w:tcW w:w="14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Pledged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w w:val="97"/>
              </w:rPr>
              <w:t>Net Amount</w:t>
            </w:r>
          </w:p>
        </w:tc>
        <w:tc>
          <w:tcPr>
            <w:tcW w:w="0" w:type="dxa"/>
            <w:vAlign w:val="bottom"/>
          </w:tcPr>
          <w:p>
            <w:pPr>
              <w:spacing w:after="0"/>
              <w:rPr>
                <w:sz w:val="1"/>
                <w:szCs w:val="1"/>
                <w:color w:val="auto"/>
              </w:rPr>
            </w:pPr>
          </w:p>
        </w:tc>
      </w:tr>
      <w:tr>
        <w:trPr>
          <w:trHeight w:val="205"/>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00" w:type="dxa"/>
            <w:vAlign w:val="bottom"/>
            <w:shd w:val="clear" w:color="auto" w:fill="F0FFFF"/>
          </w:tcPr>
          <w:p>
            <w:pPr>
              <w:spacing w:after="0" w:line="193" w:lineRule="exact"/>
              <w:rPr>
                <w:sz w:val="20"/>
                <w:szCs w:val="20"/>
                <w:color w:val="auto"/>
              </w:rPr>
            </w:pPr>
            <w:r>
              <w:rPr>
                <w:rFonts w:ascii="Arial" w:cs="Arial" w:eastAsia="Arial" w:hAnsi="Arial"/>
                <w:sz w:val="17"/>
                <w:szCs w:val="17"/>
                <w:color w:val="auto"/>
                <w:w w:val="91"/>
              </w:rPr>
              <w:t>Repurchase agreements / reverse repurchase</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8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0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200" w:type="dxa"/>
            <w:vAlign w:val="bottom"/>
            <w:shd w:val="clear" w:color="auto" w:fill="F0FFFF"/>
          </w:tcPr>
          <w:p>
            <w:pPr>
              <w:ind w:left="160"/>
              <w:spacing w:after="0"/>
              <w:rPr>
                <w:sz w:val="20"/>
                <w:szCs w:val="20"/>
                <w:color w:val="auto"/>
              </w:rPr>
            </w:pPr>
            <w:r>
              <w:rPr>
                <w:rFonts w:ascii="Arial" w:cs="Arial" w:eastAsia="Arial" w:hAnsi="Arial"/>
                <w:sz w:val="17"/>
                <w:szCs w:val="17"/>
                <w:color w:val="auto"/>
              </w:rPr>
              <w:t>agreements</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375,000</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(375,000)</w:t>
            </w:r>
          </w:p>
        </w:tc>
        <w:tc>
          <w:tcPr>
            <w:tcW w:w="24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0" w:type="dxa"/>
            <w:vAlign w:val="bottom"/>
          </w:tcPr>
          <w:p>
            <w:pPr>
              <w:spacing w:after="0"/>
              <w:rPr>
                <w:sz w:val="20"/>
                <w:szCs w:val="20"/>
                <w:color w:val="auto"/>
              </w:rPr>
            </w:pPr>
            <w:r>
              <w:rPr>
                <w:rFonts w:ascii="Arial" w:cs="Arial" w:eastAsia="Arial" w:hAnsi="Arial"/>
                <w:sz w:val="17"/>
                <w:szCs w:val="17"/>
                <w:color w:val="auto"/>
              </w:rPr>
              <w:t>Derivatives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31,997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31,997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(869)</w:t>
            </w:r>
          </w:p>
        </w:tc>
        <w:tc>
          <w:tcPr>
            <w:tcW w:w="14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(32,792)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200" w:type="dxa"/>
            <w:vAlign w:val="bottom"/>
            <w:shd w:val="clear" w:color="auto" w:fill="F0FFFF"/>
          </w:tcPr>
          <w:p>
            <w:pPr>
              <w:ind w:left="16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406,997</w:t>
            </w:r>
          </w:p>
        </w:tc>
        <w:tc>
          <w:tcPr>
            <w:tcW w:w="200" w:type="dxa"/>
            <w:vAlign w:val="bottom"/>
            <w:shd w:val="clear" w:color="auto" w:fill="F0FFFF"/>
          </w:tcPr>
          <w:p>
            <w:pPr>
              <w:spacing w:after="0"/>
              <w:rPr>
                <w:sz w:val="21"/>
                <w:szCs w:val="21"/>
                <w:color w:val="auto"/>
              </w:rPr>
            </w:pP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(375,000)</w:t>
            </w:r>
          </w:p>
        </w:tc>
        <w:tc>
          <w:tcPr>
            <w:tcW w:w="24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31,997</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(869)</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(32,792)</w:t>
            </w:r>
          </w:p>
        </w:tc>
        <w:tc>
          <w:tcPr>
            <w:tcW w:w="18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3200" w:type="dxa"/>
            <w:vAlign w:val="bottom"/>
            <w:tcBorders>
              <w:top w:val="single" w:sz="8" w:color="F0FFFF"/>
            </w:tcBorders>
          </w:tcPr>
          <w:p>
            <w:pPr>
              <w:spacing w:after="0" w:line="184" w:lineRule="exact"/>
              <w:rPr>
                <w:sz w:val="20"/>
                <w:szCs w:val="20"/>
                <w:color w:val="auto"/>
              </w:rPr>
            </w:pPr>
            <w:r>
              <w:rPr>
                <w:rFonts w:ascii="Arial" w:cs="Arial" w:eastAsia="Arial" w:hAnsi="Arial"/>
                <w:sz w:val="17"/>
                <w:szCs w:val="17"/>
                <w:color w:val="auto"/>
                <w:w w:val="93"/>
              </w:rPr>
              <w:t>Weighted average interest rate of repurchase</w:t>
            </w:r>
          </w:p>
        </w:tc>
        <w:tc>
          <w:tcPr>
            <w:tcW w:w="120" w:type="dxa"/>
            <w:vAlign w:val="bottom"/>
            <w:tcBorders>
              <w:top w:val="single" w:sz="8" w:color="F0FF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Borders>
              <w:top w:val="single" w:sz="8" w:color="F0FFFF"/>
            </w:tcBorders>
          </w:tcPr>
          <w:p>
            <w:pPr>
              <w:spacing w:after="0"/>
              <w:rPr>
                <w:sz w:val="15"/>
                <w:szCs w:val="15"/>
                <w:color w:val="auto"/>
              </w:rPr>
            </w:pPr>
          </w:p>
        </w:tc>
        <w:tc>
          <w:tcPr>
            <w:tcW w:w="80" w:type="dxa"/>
            <w:vAlign w:val="bottom"/>
            <w:tcBorders>
              <w:top w:val="single" w:sz="8" w:color="F0FF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Borders>
              <w:top w:val="single" w:sz="8" w:color="F0FFFF"/>
            </w:tcBorders>
          </w:tcPr>
          <w:p>
            <w:pPr>
              <w:spacing w:after="0"/>
              <w:rPr>
                <w:sz w:val="15"/>
                <w:szCs w:val="15"/>
                <w:color w:val="auto"/>
              </w:rPr>
            </w:pPr>
          </w:p>
        </w:tc>
        <w:tc>
          <w:tcPr>
            <w:tcW w:w="80" w:type="dxa"/>
            <w:vAlign w:val="bottom"/>
            <w:tcBorders>
              <w:top w:val="single" w:sz="8" w:color="F0FF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Borders>
              <w:top w:val="single" w:sz="8" w:color="F0FF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F0FFFF"/>
            </w:tcBorders>
          </w:tcPr>
          <w:p>
            <w:pPr>
              <w:spacing w:after="0"/>
              <w:rPr>
                <w:sz w:val="15"/>
                <w:szCs w:val="15"/>
                <w:color w:val="auto"/>
              </w:rPr>
            </w:pPr>
          </w:p>
        </w:tc>
        <w:tc>
          <w:tcPr>
            <w:tcW w:w="80" w:type="dxa"/>
            <w:vAlign w:val="bottom"/>
            <w:tcBorders>
              <w:top w:val="single" w:sz="8" w:color="F0FF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60"/>
              <w:spacing w:after="0"/>
              <w:rPr>
                <w:sz w:val="20"/>
                <w:szCs w:val="20"/>
                <w:color w:val="auto"/>
              </w:rPr>
            </w:pPr>
            <w:r>
              <w:rPr>
                <w:rFonts w:ascii="Arial" w:cs="Arial" w:eastAsia="Arial" w:hAnsi="Arial"/>
                <w:sz w:val="17"/>
                <w:szCs w:val="17"/>
                <w:color w:val="auto"/>
              </w:rPr>
              <w:t>agreements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5"/>
              </w:rPr>
              <w:t>Gross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vMerge w:val="restart"/>
          </w:tcPr>
          <w:p>
            <w:pPr>
              <w:jc w:val="right"/>
              <w:ind w:right="440"/>
              <w:spacing w:after="0"/>
              <w:rPr>
                <w:sz w:val="20"/>
                <w:szCs w:val="20"/>
                <w:color w:val="auto"/>
              </w:rPr>
            </w:pPr>
            <w:r>
              <w:rPr>
                <w:rFonts w:ascii="Arial" w:cs="Arial" w:eastAsia="Arial" w:hAnsi="Arial"/>
                <w:sz w:val="17"/>
                <w:szCs w:val="17"/>
                <w:b w:val="1"/>
                <w:bCs w:val="1"/>
                <w:color w:val="auto"/>
                <w:w w:val="95"/>
              </w:rPr>
              <w:t>Gross Amounts not Offset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60"/>
              <w:spacing w:after="0" w:line="180" w:lineRule="exact"/>
              <w:rPr>
                <w:sz w:val="20"/>
                <w:szCs w:val="20"/>
                <w:color w:val="auto"/>
              </w:rPr>
            </w:pPr>
            <w:r>
              <w:rPr>
                <w:rFonts w:ascii="Arial" w:cs="Arial" w:eastAsia="Arial" w:hAnsi="Arial"/>
                <w:sz w:val="17"/>
                <w:szCs w:val="17"/>
                <w:b w:val="1"/>
                <w:bCs w:val="1"/>
                <w:color w:val="auto"/>
                <w:w w:val="89"/>
              </w:rPr>
              <w:t>Gross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280"/>
              <w:spacing w:after="0" w:line="180" w:lineRule="exact"/>
              <w:rPr>
                <w:sz w:val="20"/>
                <w:szCs w:val="20"/>
                <w:color w:val="auto"/>
              </w:rPr>
            </w:pPr>
            <w:r>
              <w:rPr>
                <w:rFonts w:ascii="Arial" w:cs="Arial" w:eastAsia="Arial" w:hAnsi="Arial"/>
                <w:sz w:val="17"/>
                <w:szCs w:val="17"/>
                <w:b w:val="1"/>
                <w:bCs w:val="1"/>
                <w:color w:val="auto"/>
                <w:w w:val="89"/>
              </w:rPr>
              <w:t>Amounts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Amounts of</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Offset on the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5"/>
          </w:tcPr>
          <w:p>
            <w:pPr>
              <w:jc w:val="right"/>
              <w:ind w:right="620"/>
              <w:spacing w:after="0"/>
              <w:rPr>
                <w:sz w:val="20"/>
                <w:szCs w:val="20"/>
                <w:color w:val="auto"/>
              </w:rPr>
            </w:pPr>
            <w:r>
              <w:rPr>
                <w:rFonts w:ascii="Arial" w:cs="Arial" w:eastAsia="Arial" w:hAnsi="Arial"/>
                <w:sz w:val="17"/>
                <w:szCs w:val="17"/>
                <w:b w:val="1"/>
                <w:bCs w:val="1"/>
                <w:color w:val="auto"/>
              </w:rPr>
              <w:t>in the Balance Sheet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00" w:type="dxa"/>
            <w:vAlign w:val="bottom"/>
            <w:vMerge w:val="restart"/>
          </w:tcPr>
          <w:p>
            <w:pPr>
              <w:spacing w:after="0"/>
              <w:rPr>
                <w:sz w:val="20"/>
                <w:szCs w:val="20"/>
                <w:color w:val="auto"/>
              </w:rPr>
            </w:pPr>
            <w:r>
              <w:rPr>
                <w:rFonts w:ascii="Arial" w:cs="Arial" w:eastAsia="Arial" w:hAnsi="Arial"/>
                <w:sz w:val="17"/>
                <w:szCs w:val="17"/>
                <w:b w:val="1"/>
                <w:bCs w:val="1"/>
                <w:color w:val="auto"/>
              </w:rPr>
              <w:t>March 31, 2014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60"/>
              <w:spacing w:after="0" w:line="189" w:lineRule="exact"/>
              <w:rPr>
                <w:sz w:val="20"/>
                <w:szCs w:val="20"/>
                <w:color w:val="auto"/>
              </w:rPr>
            </w:pPr>
            <w:r>
              <w:rPr>
                <w:rFonts w:ascii="Arial" w:cs="Arial" w:eastAsia="Arial" w:hAnsi="Arial"/>
                <w:sz w:val="17"/>
                <w:szCs w:val="17"/>
                <w:b w:val="1"/>
                <w:bCs w:val="1"/>
                <w:color w:val="auto"/>
                <w:w w:val="87"/>
              </w:rPr>
              <w:t>Recognized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center"/>
              <w:ind w:right="280"/>
              <w:spacing w:after="0" w:line="189" w:lineRule="exact"/>
              <w:rPr>
                <w:sz w:val="20"/>
                <w:szCs w:val="20"/>
                <w:color w:val="auto"/>
              </w:rPr>
            </w:pPr>
            <w:r>
              <w:rPr>
                <w:rFonts w:ascii="Arial" w:cs="Arial" w:eastAsia="Arial" w:hAnsi="Arial"/>
                <w:sz w:val="17"/>
                <w:szCs w:val="17"/>
                <w:b w:val="1"/>
                <w:bCs w:val="1"/>
                <w:color w:val="auto"/>
                <w:w w:val="88"/>
              </w:rPr>
              <w:t>Balance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60"/>
              <w:spacing w:after="0" w:line="189" w:lineRule="exact"/>
              <w:rPr>
                <w:sz w:val="20"/>
                <w:szCs w:val="20"/>
                <w:color w:val="auto"/>
              </w:rPr>
            </w:pPr>
            <w:r>
              <w:rPr>
                <w:rFonts w:ascii="Arial" w:cs="Arial" w:eastAsia="Arial" w:hAnsi="Arial"/>
                <w:sz w:val="17"/>
                <w:szCs w:val="17"/>
                <w:b w:val="1"/>
                <w:bCs w:val="1"/>
                <w:color w:val="auto"/>
              </w:rPr>
              <w:t>Net Asset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40"/>
              <w:spacing w:after="0" w:line="189" w:lineRule="exact"/>
              <w:rPr>
                <w:sz w:val="20"/>
                <w:szCs w:val="20"/>
                <w:color w:val="auto"/>
              </w:rPr>
            </w:pPr>
            <w:r>
              <w:rPr>
                <w:rFonts w:ascii="Arial" w:cs="Arial" w:eastAsia="Arial" w:hAnsi="Arial"/>
                <w:sz w:val="17"/>
                <w:szCs w:val="17"/>
                <w:b w:val="1"/>
                <w:bCs w:val="1"/>
                <w:color w:val="auto"/>
                <w:w w:val="94"/>
              </w:rPr>
              <w:t>Financial</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95"/>
              <w:spacing w:after="0" w:line="189" w:lineRule="exact"/>
              <w:rPr>
                <w:sz w:val="20"/>
                <w:szCs w:val="20"/>
                <w:color w:val="auto"/>
              </w:rPr>
            </w:pPr>
            <w:r>
              <w:rPr>
                <w:rFonts w:ascii="Arial" w:cs="Arial" w:eastAsia="Arial" w:hAnsi="Arial"/>
                <w:sz w:val="17"/>
                <w:szCs w:val="17"/>
                <w:b w:val="1"/>
                <w:bCs w:val="1"/>
                <w:color w:val="auto"/>
                <w:w w:val="92"/>
              </w:rPr>
              <w:t>Collateral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78"/>
              </w:rPr>
              <w:t>Assets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6"/>
              </w:rPr>
              <w:t>Sheet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Balance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Instruments</w:t>
            </w:r>
          </w:p>
        </w:tc>
        <w:tc>
          <w:tcPr>
            <w:tcW w:w="14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Received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w w:val="97"/>
              </w:rPr>
              <w:t>Net Amount</w:t>
            </w:r>
          </w:p>
        </w:tc>
        <w:tc>
          <w:tcPr>
            <w:tcW w:w="0" w:type="dxa"/>
            <w:vAlign w:val="bottom"/>
          </w:tcPr>
          <w:p>
            <w:pPr>
              <w:spacing w:after="0"/>
              <w:rPr>
                <w:sz w:val="1"/>
                <w:szCs w:val="1"/>
                <w:color w:val="auto"/>
              </w:rPr>
            </w:pPr>
          </w:p>
        </w:tc>
      </w:tr>
      <w:tr>
        <w:trPr>
          <w:trHeight w:val="205"/>
        </w:trPr>
        <w:tc>
          <w:tcPr>
            <w:tcW w:w="3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00" w:type="dxa"/>
            <w:vAlign w:val="bottom"/>
            <w:shd w:val="clear" w:color="auto" w:fill="F0FFFF"/>
          </w:tcPr>
          <w:p>
            <w:pPr>
              <w:spacing w:after="0" w:line="193" w:lineRule="exact"/>
              <w:rPr>
                <w:sz w:val="20"/>
                <w:szCs w:val="20"/>
                <w:color w:val="auto"/>
              </w:rPr>
            </w:pPr>
            <w:r>
              <w:rPr>
                <w:rFonts w:ascii="Arial" w:cs="Arial" w:eastAsia="Arial" w:hAnsi="Arial"/>
                <w:sz w:val="17"/>
                <w:szCs w:val="17"/>
                <w:color w:val="auto"/>
                <w:w w:val="91"/>
              </w:rPr>
              <w:t>Repurchase agreements / reverse repurchase</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8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0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200" w:type="dxa"/>
            <w:vAlign w:val="bottom"/>
            <w:shd w:val="clear" w:color="auto" w:fill="F0FFFF"/>
          </w:tcPr>
          <w:p>
            <w:pPr>
              <w:ind w:left="160"/>
              <w:spacing w:after="0"/>
              <w:rPr>
                <w:sz w:val="20"/>
                <w:szCs w:val="20"/>
                <w:color w:val="auto"/>
              </w:rPr>
            </w:pPr>
            <w:r>
              <w:rPr>
                <w:rFonts w:ascii="Arial" w:cs="Arial" w:eastAsia="Arial" w:hAnsi="Arial"/>
                <w:sz w:val="17"/>
                <w:szCs w:val="17"/>
                <w:color w:val="auto"/>
              </w:rPr>
              <w:t>agreements</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397,000</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(350,000)</w:t>
            </w:r>
          </w:p>
        </w:tc>
        <w:tc>
          <w:tcPr>
            <w:tcW w:w="24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47,000</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(51,243)</w:t>
            </w:r>
          </w:p>
        </w:tc>
        <w:tc>
          <w:tcPr>
            <w:tcW w:w="18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0" w:type="dxa"/>
            <w:vAlign w:val="bottom"/>
          </w:tcPr>
          <w:p>
            <w:pPr>
              <w:spacing w:after="0"/>
              <w:rPr>
                <w:sz w:val="20"/>
                <w:szCs w:val="20"/>
                <w:color w:val="auto"/>
              </w:rPr>
            </w:pPr>
            <w:r>
              <w:rPr>
                <w:rFonts w:ascii="Arial" w:cs="Arial" w:eastAsia="Arial" w:hAnsi="Arial"/>
                <w:sz w:val="17"/>
                <w:szCs w:val="17"/>
                <w:color w:val="auto"/>
              </w:rPr>
              <w:t>Derivatives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21,563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21,563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(3,896)</w:t>
            </w:r>
          </w:p>
        </w:tc>
        <w:tc>
          <w:tcPr>
            <w:tcW w:w="14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(704)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16,963</w:t>
            </w:r>
          </w:p>
        </w:tc>
        <w:tc>
          <w:tcPr>
            <w:tcW w:w="0" w:type="dxa"/>
            <w:vAlign w:val="bottom"/>
          </w:tcPr>
          <w:p>
            <w:pPr>
              <w:spacing w:after="0"/>
              <w:rPr>
                <w:sz w:val="1"/>
                <w:szCs w:val="1"/>
                <w:color w:val="auto"/>
              </w:rPr>
            </w:pPr>
          </w:p>
        </w:tc>
      </w:tr>
      <w:tr>
        <w:trPr>
          <w:trHeight w:val="26"/>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200" w:type="dxa"/>
            <w:vAlign w:val="bottom"/>
            <w:shd w:val="clear" w:color="auto" w:fill="F0FFFF"/>
          </w:tcPr>
          <w:p>
            <w:pPr>
              <w:ind w:left="26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418,563</w:t>
            </w:r>
          </w:p>
        </w:tc>
        <w:tc>
          <w:tcPr>
            <w:tcW w:w="200" w:type="dxa"/>
            <w:vAlign w:val="bottom"/>
            <w:shd w:val="clear" w:color="auto" w:fill="F0FFFF"/>
          </w:tcPr>
          <w:p>
            <w:pPr>
              <w:spacing w:after="0"/>
              <w:rPr>
                <w:sz w:val="21"/>
                <w:szCs w:val="21"/>
                <w:color w:val="auto"/>
              </w:rPr>
            </w:pP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(350,000)</w:t>
            </w:r>
          </w:p>
        </w:tc>
        <w:tc>
          <w:tcPr>
            <w:tcW w:w="24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68,563</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(3,896)</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(51,947)</w:t>
            </w:r>
          </w:p>
        </w:tc>
        <w:tc>
          <w:tcPr>
            <w:tcW w:w="18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16,963</w:t>
            </w:r>
          </w:p>
        </w:tc>
        <w:tc>
          <w:tcPr>
            <w:tcW w:w="0" w:type="dxa"/>
            <w:vAlign w:val="bottom"/>
          </w:tcPr>
          <w:p>
            <w:pPr>
              <w:spacing w:after="0"/>
              <w:rPr>
                <w:sz w:val="1"/>
                <w:szCs w:val="1"/>
                <w:color w:val="auto"/>
              </w:rPr>
            </w:pPr>
          </w:p>
        </w:tc>
      </w:tr>
      <w:tr>
        <w:trPr>
          <w:trHeight w:val="184"/>
        </w:trPr>
        <w:tc>
          <w:tcPr>
            <w:tcW w:w="3200" w:type="dxa"/>
            <w:vAlign w:val="bottom"/>
            <w:tcBorders>
              <w:top w:val="single" w:sz="8" w:color="F0FFFF"/>
            </w:tcBorders>
          </w:tcPr>
          <w:p>
            <w:pPr>
              <w:spacing w:after="0" w:line="184" w:lineRule="exact"/>
              <w:rPr>
                <w:sz w:val="20"/>
                <w:szCs w:val="20"/>
                <w:color w:val="auto"/>
              </w:rPr>
            </w:pPr>
            <w:r>
              <w:rPr>
                <w:rFonts w:ascii="Arial" w:cs="Arial" w:eastAsia="Arial" w:hAnsi="Arial"/>
                <w:sz w:val="17"/>
                <w:szCs w:val="17"/>
                <w:color w:val="auto"/>
              </w:rPr>
              <w:t>Weighted average interest rate of reverse</w:t>
            </w:r>
          </w:p>
        </w:tc>
        <w:tc>
          <w:tcPr>
            <w:tcW w:w="120" w:type="dxa"/>
            <w:vAlign w:val="bottom"/>
            <w:tcBorders>
              <w:top w:val="single" w:sz="8" w:color="F0FF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Borders>
              <w:top w:val="single" w:sz="8" w:color="F0FFFF"/>
            </w:tcBorders>
          </w:tcPr>
          <w:p>
            <w:pPr>
              <w:spacing w:after="0"/>
              <w:rPr>
                <w:sz w:val="15"/>
                <w:szCs w:val="15"/>
                <w:color w:val="auto"/>
              </w:rPr>
            </w:pPr>
          </w:p>
        </w:tc>
        <w:tc>
          <w:tcPr>
            <w:tcW w:w="80" w:type="dxa"/>
            <w:vAlign w:val="bottom"/>
            <w:tcBorders>
              <w:top w:val="single" w:sz="8" w:color="F0FF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Borders>
              <w:top w:val="single" w:sz="8" w:color="F0FFFF"/>
            </w:tcBorders>
          </w:tcPr>
          <w:p>
            <w:pPr>
              <w:spacing w:after="0"/>
              <w:rPr>
                <w:sz w:val="15"/>
                <w:szCs w:val="15"/>
                <w:color w:val="auto"/>
              </w:rPr>
            </w:pPr>
          </w:p>
        </w:tc>
        <w:tc>
          <w:tcPr>
            <w:tcW w:w="80" w:type="dxa"/>
            <w:vAlign w:val="bottom"/>
            <w:tcBorders>
              <w:top w:val="single" w:sz="8" w:color="F0FF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Borders>
              <w:top w:val="single" w:sz="8" w:color="F0FF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F0FFFF"/>
            </w:tcBorders>
          </w:tcPr>
          <w:p>
            <w:pPr>
              <w:spacing w:after="0"/>
              <w:rPr>
                <w:sz w:val="15"/>
                <w:szCs w:val="15"/>
                <w:color w:val="auto"/>
              </w:rPr>
            </w:pPr>
          </w:p>
        </w:tc>
        <w:tc>
          <w:tcPr>
            <w:tcW w:w="80" w:type="dxa"/>
            <w:vAlign w:val="bottom"/>
            <w:tcBorders>
              <w:top w:val="single" w:sz="8" w:color="F0FF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60"/>
              <w:spacing w:after="0"/>
              <w:rPr>
                <w:sz w:val="20"/>
                <w:szCs w:val="20"/>
                <w:color w:val="auto"/>
              </w:rPr>
            </w:pPr>
            <w:r>
              <w:rPr>
                <w:rFonts w:ascii="Arial" w:cs="Arial" w:eastAsia="Arial" w:hAnsi="Arial"/>
                <w:sz w:val="17"/>
                <w:szCs w:val="17"/>
                <w:color w:val="auto"/>
              </w:rPr>
              <w:t>repurchase agreements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1.09%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Gross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5"/>
              </w:rPr>
              <w:t>Gross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Net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Amounts of</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Amounts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7"/>
                <w:szCs w:val="17"/>
                <w:b w:val="1"/>
                <w:bCs w:val="1"/>
                <w:color w:val="auto"/>
              </w:rPr>
              <w:t>Liability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9"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87"/>
              </w:rPr>
              <w:t>Recognized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87"/>
              </w:rPr>
              <w:t>Offset on the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ind w:left="100"/>
              <w:spacing w:after="0"/>
              <w:rPr>
                <w:sz w:val="20"/>
                <w:szCs w:val="20"/>
                <w:color w:val="auto"/>
              </w:rPr>
            </w:pPr>
            <w:r>
              <w:rPr>
                <w:rFonts w:ascii="Arial" w:cs="Arial" w:eastAsia="Arial" w:hAnsi="Arial"/>
                <w:sz w:val="17"/>
                <w:szCs w:val="17"/>
                <w:b w:val="1"/>
                <w:bCs w:val="1"/>
                <w:color w:val="auto"/>
              </w:rPr>
              <w:t>Balance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5"/>
          </w:tcPr>
          <w:p>
            <w:pPr>
              <w:jc w:val="right"/>
              <w:ind w:right="440"/>
              <w:spacing w:after="0"/>
              <w:rPr>
                <w:sz w:val="20"/>
                <w:szCs w:val="20"/>
                <w:color w:val="auto"/>
              </w:rPr>
            </w:pPr>
            <w:r>
              <w:rPr>
                <w:rFonts w:ascii="Arial" w:cs="Arial" w:eastAsia="Arial" w:hAnsi="Arial"/>
                <w:sz w:val="17"/>
                <w:szCs w:val="17"/>
                <w:b w:val="1"/>
                <w:bCs w:val="1"/>
                <w:color w:val="auto"/>
                <w:w w:val="95"/>
              </w:rPr>
              <w:t>Gross Amounts not Offset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Liabilities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Balance</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5"/>
          </w:tcPr>
          <w:p>
            <w:pPr>
              <w:jc w:val="right"/>
              <w:ind w:right="620"/>
              <w:spacing w:after="0"/>
              <w:rPr>
                <w:sz w:val="20"/>
                <w:szCs w:val="20"/>
                <w:color w:val="auto"/>
              </w:rPr>
            </w:pPr>
            <w:r>
              <w:rPr>
                <w:rFonts w:ascii="Arial" w:cs="Arial" w:eastAsia="Arial" w:hAnsi="Arial"/>
                <w:sz w:val="17"/>
                <w:szCs w:val="17"/>
                <w:b w:val="1"/>
                <w:bCs w:val="1"/>
                <w:color w:val="auto"/>
              </w:rPr>
              <w:t>in the Balance Sheet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520"/>
              <w:spacing w:after="0" w:line="189" w:lineRule="exact"/>
              <w:rPr>
                <w:sz w:val="20"/>
                <w:szCs w:val="20"/>
                <w:color w:val="auto"/>
              </w:rPr>
            </w:pPr>
            <w:r>
              <w:rPr>
                <w:rFonts w:ascii="Arial" w:cs="Arial" w:eastAsia="Arial" w:hAnsi="Arial"/>
                <w:sz w:val="17"/>
                <w:szCs w:val="17"/>
                <w:b w:val="1"/>
                <w:bCs w:val="1"/>
                <w:color w:val="auto"/>
              </w:rPr>
              <w:t>Sheet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40"/>
              <w:spacing w:after="0" w:line="189" w:lineRule="exact"/>
              <w:rPr>
                <w:sz w:val="20"/>
                <w:szCs w:val="20"/>
                <w:color w:val="auto"/>
              </w:rPr>
            </w:pPr>
            <w:r>
              <w:rPr>
                <w:rFonts w:ascii="Arial" w:cs="Arial" w:eastAsia="Arial" w:hAnsi="Arial"/>
                <w:sz w:val="17"/>
                <w:szCs w:val="17"/>
                <w:b w:val="1"/>
                <w:bCs w:val="1"/>
                <w:color w:val="auto"/>
              </w:rPr>
              <w:t>Financial</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35"/>
              <w:spacing w:after="0" w:line="189" w:lineRule="exact"/>
              <w:rPr>
                <w:sz w:val="20"/>
                <w:szCs w:val="20"/>
                <w:color w:val="auto"/>
              </w:rPr>
            </w:pPr>
            <w:r>
              <w:rPr>
                <w:rFonts w:ascii="Arial" w:cs="Arial" w:eastAsia="Arial" w:hAnsi="Arial"/>
                <w:sz w:val="17"/>
                <w:szCs w:val="17"/>
                <w:b w:val="1"/>
                <w:bCs w:val="1"/>
                <w:color w:val="auto"/>
                <w:w w:val="95"/>
              </w:rPr>
              <w:t>Collateral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7"/>
        </w:trPr>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2"/>
              </w:rPr>
              <w:t>Instruments</w:t>
            </w:r>
          </w:p>
        </w:tc>
        <w:tc>
          <w:tcPr>
            <w:tcW w:w="14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Pledged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w w:val="95"/>
              </w:rPr>
              <w:t>Net Amount</w:t>
            </w:r>
          </w:p>
        </w:tc>
      </w:tr>
      <w:tr>
        <w:trPr>
          <w:trHeight w:val="205"/>
        </w:trPr>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3180" w:type="dxa"/>
            <w:vAlign w:val="bottom"/>
            <w:shd w:val="clear" w:color="auto" w:fill="F0FFFF"/>
          </w:tcPr>
          <w:p>
            <w:pPr>
              <w:spacing w:after="0" w:line="193" w:lineRule="exact"/>
              <w:rPr>
                <w:sz w:val="20"/>
                <w:szCs w:val="20"/>
                <w:color w:val="auto"/>
              </w:rPr>
            </w:pPr>
            <w:r>
              <w:rPr>
                <w:rFonts w:ascii="Arial" w:cs="Arial" w:eastAsia="Arial" w:hAnsi="Arial"/>
                <w:sz w:val="17"/>
                <w:szCs w:val="17"/>
                <w:color w:val="auto"/>
                <w:w w:val="91"/>
              </w:rPr>
              <w:t>Repurchase agreements / reverse repurchase</w:t>
            </w:r>
          </w:p>
        </w:tc>
        <w:tc>
          <w:tcPr>
            <w:tcW w:w="1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8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r>
      <w:tr>
        <w:trPr>
          <w:trHeight w:val="218"/>
        </w:trPr>
        <w:tc>
          <w:tcPr>
            <w:tcW w:w="3180" w:type="dxa"/>
            <w:vAlign w:val="bottom"/>
            <w:shd w:val="clear" w:color="auto" w:fill="F0FFFF"/>
          </w:tcPr>
          <w:p>
            <w:pPr>
              <w:ind w:left="160"/>
              <w:spacing w:after="0"/>
              <w:rPr>
                <w:sz w:val="20"/>
                <w:szCs w:val="20"/>
                <w:color w:val="auto"/>
              </w:rPr>
            </w:pPr>
            <w:r>
              <w:rPr>
                <w:rFonts w:ascii="Arial" w:cs="Arial" w:eastAsia="Arial" w:hAnsi="Arial"/>
                <w:sz w:val="17"/>
                <w:szCs w:val="17"/>
                <w:color w:val="auto"/>
              </w:rPr>
              <w:t>agreements</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350,000</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(350,000)</w:t>
            </w: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8"/>
                <w:szCs w:val="18"/>
                <w:color w:val="auto"/>
              </w:rPr>
            </w:pPr>
          </w:p>
        </w:tc>
      </w:tr>
      <w:tr>
        <w:trPr>
          <w:trHeight w:val="205"/>
        </w:trPr>
        <w:tc>
          <w:tcPr>
            <w:tcW w:w="3180" w:type="dxa"/>
            <w:vAlign w:val="bottom"/>
          </w:tcPr>
          <w:p>
            <w:pPr>
              <w:spacing w:after="0"/>
              <w:rPr>
                <w:sz w:val="20"/>
                <w:szCs w:val="20"/>
                <w:color w:val="auto"/>
              </w:rPr>
            </w:pPr>
            <w:r>
              <w:rPr>
                <w:rFonts w:ascii="Arial" w:cs="Arial" w:eastAsia="Arial" w:hAnsi="Arial"/>
                <w:sz w:val="17"/>
                <w:szCs w:val="17"/>
                <w:color w:val="auto"/>
              </w:rPr>
              <w:t>Derivatives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42,309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42,309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(3,896)</w:t>
            </w:r>
          </w:p>
        </w:tc>
        <w:tc>
          <w:tcPr>
            <w:tcW w:w="14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(35,754)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2,659</w:t>
            </w:r>
          </w:p>
        </w:tc>
      </w:tr>
      <w:tr>
        <w:trPr>
          <w:trHeight w:val="26"/>
        </w:trPr>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3180" w:type="dxa"/>
            <w:vAlign w:val="bottom"/>
            <w:shd w:val="clear" w:color="auto" w:fill="F0FFFF"/>
          </w:tcPr>
          <w:p>
            <w:pPr>
              <w:ind w:left="26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F0FFFF"/>
          </w:tcPr>
          <w:p>
            <w:pPr>
              <w:spacing w:after="0"/>
              <w:rPr>
                <w:sz w:val="21"/>
                <w:szCs w:val="21"/>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392,309</w:t>
            </w:r>
          </w:p>
        </w:tc>
        <w:tc>
          <w:tcPr>
            <w:tcW w:w="200" w:type="dxa"/>
            <w:vAlign w:val="bottom"/>
            <w:shd w:val="clear" w:color="auto" w:fill="F0FFFF"/>
          </w:tcPr>
          <w:p>
            <w:pPr>
              <w:spacing w:after="0"/>
              <w:rPr>
                <w:sz w:val="21"/>
                <w:szCs w:val="21"/>
                <w:color w:val="auto"/>
              </w:rPr>
            </w:pP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(350,000)</w:t>
            </w: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42,309</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(3,896)</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(35,754)</w:t>
            </w: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2,659</w:t>
            </w:r>
          </w:p>
        </w:tc>
      </w:tr>
      <w:tr>
        <w:trPr>
          <w:trHeight w:val="184"/>
        </w:trPr>
        <w:tc>
          <w:tcPr>
            <w:tcW w:w="3180" w:type="dxa"/>
            <w:vAlign w:val="bottom"/>
            <w:tcBorders>
              <w:top w:val="single" w:sz="8" w:color="F0FFFF"/>
            </w:tcBorders>
          </w:tcPr>
          <w:p>
            <w:pPr>
              <w:spacing w:after="0" w:line="184" w:lineRule="exact"/>
              <w:rPr>
                <w:sz w:val="20"/>
                <w:szCs w:val="20"/>
                <w:color w:val="auto"/>
              </w:rPr>
            </w:pPr>
            <w:r>
              <w:rPr>
                <w:rFonts w:ascii="Arial" w:cs="Arial" w:eastAsia="Arial" w:hAnsi="Arial"/>
                <w:sz w:val="17"/>
                <w:szCs w:val="17"/>
                <w:color w:val="auto"/>
                <w:w w:val="92"/>
              </w:rPr>
              <w:t>Weighted average interest rate of repurchase</w:t>
            </w:r>
          </w:p>
        </w:tc>
        <w:tc>
          <w:tcPr>
            <w:tcW w:w="140" w:type="dxa"/>
            <w:vAlign w:val="bottom"/>
            <w:tcBorders>
              <w:top w:val="single" w:sz="8" w:color="F0FF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Borders>
              <w:top w:val="single" w:sz="8" w:color="F0FFFF"/>
            </w:tcBorders>
          </w:tcPr>
          <w:p>
            <w:pPr>
              <w:spacing w:after="0"/>
              <w:rPr>
                <w:sz w:val="15"/>
                <w:szCs w:val="15"/>
                <w:color w:val="auto"/>
              </w:rPr>
            </w:pPr>
          </w:p>
        </w:tc>
        <w:tc>
          <w:tcPr>
            <w:tcW w:w="80" w:type="dxa"/>
            <w:vAlign w:val="bottom"/>
            <w:tcBorders>
              <w:top w:val="single" w:sz="8" w:color="F0FF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Borders>
              <w:top w:val="single" w:sz="8" w:color="F0FFFF"/>
            </w:tcBorders>
          </w:tcPr>
          <w:p>
            <w:pPr>
              <w:spacing w:after="0"/>
              <w:rPr>
                <w:sz w:val="15"/>
                <w:szCs w:val="15"/>
                <w:color w:val="auto"/>
              </w:rPr>
            </w:pPr>
          </w:p>
        </w:tc>
        <w:tc>
          <w:tcPr>
            <w:tcW w:w="80" w:type="dxa"/>
            <w:vAlign w:val="bottom"/>
            <w:tcBorders>
              <w:top w:val="single" w:sz="8" w:color="F0FF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Borders>
              <w:top w:val="single" w:sz="8" w:color="F0FF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Borders>
              <w:top w:val="single" w:sz="8" w:color="F0FFFF"/>
            </w:tcBorders>
          </w:tcPr>
          <w:p>
            <w:pPr>
              <w:spacing w:after="0"/>
              <w:rPr>
                <w:sz w:val="15"/>
                <w:szCs w:val="15"/>
                <w:color w:val="auto"/>
              </w:rPr>
            </w:pPr>
          </w:p>
        </w:tc>
        <w:tc>
          <w:tcPr>
            <w:tcW w:w="80" w:type="dxa"/>
            <w:vAlign w:val="bottom"/>
            <w:tcBorders>
              <w:top w:val="single" w:sz="8" w:color="F0FF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r>
      <w:tr>
        <w:trPr>
          <w:trHeight w:val="216"/>
        </w:trPr>
        <w:tc>
          <w:tcPr>
            <w:tcW w:w="3180" w:type="dxa"/>
            <w:vAlign w:val="bottom"/>
          </w:tcPr>
          <w:p>
            <w:pPr>
              <w:ind w:left="160"/>
              <w:spacing w:after="0"/>
              <w:rPr>
                <w:sz w:val="20"/>
                <w:szCs w:val="20"/>
                <w:color w:val="auto"/>
              </w:rPr>
            </w:pPr>
            <w:r>
              <w:rPr>
                <w:rFonts w:ascii="Arial" w:cs="Arial" w:eastAsia="Arial" w:hAnsi="Arial"/>
                <w:sz w:val="17"/>
                <w:szCs w:val="17"/>
                <w:color w:val="auto"/>
              </w:rPr>
              <w:t>agreements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642"/>
        </w:trPr>
        <w:tc>
          <w:tcPr>
            <w:tcW w:w="31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jc w:val="right"/>
              <w:ind w:right="75"/>
              <w:spacing w:after="0"/>
              <w:rPr>
                <w:sz w:val="20"/>
                <w:szCs w:val="20"/>
                <w:color w:val="auto"/>
              </w:rPr>
            </w:pPr>
            <w:r>
              <w:rPr>
                <w:rFonts w:ascii="Arial" w:cs="Arial" w:eastAsia="Arial" w:hAnsi="Arial"/>
                <w:sz w:val="17"/>
                <w:szCs w:val="17"/>
                <w:color w:val="auto"/>
              </w:rPr>
              <w:t>9</w:t>
            </w: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123"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t>UNITED COMMUNITY BANKS,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Securities</w:t>
      </w:r>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 xml:space="preserve">The amortized cost basis, gross unrealized gains and losses and fair value of securities held-to-maturity at March 31, 2015, December 31, 2014 and March 31, 2014 are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5"/>
              </w:rPr>
              <w:t>Gross</w:t>
            </w:r>
          </w:p>
        </w:tc>
        <w:tc>
          <w:tcPr>
            <w:tcW w:w="12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5"/>
              </w:rPr>
              <w:t>Gross</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b w:val="1"/>
                <w:bCs w:val="1"/>
                <w:color w:val="auto"/>
                <w:w w:val="93"/>
              </w:rPr>
              <w:t>Amortized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0"/>
              </w:rPr>
              <w:t>Unrealized</w:t>
            </w:r>
          </w:p>
        </w:tc>
        <w:tc>
          <w:tcPr>
            <w:tcW w:w="12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2"/>
              </w:rPr>
              <w:t>Unrealized</w:t>
            </w:r>
          </w:p>
        </w:tc>
        <w:tc>
          <w:tcPr>
            <w:tcW w:w="200" w:type="dxa"/>
            <w:vAlign w:val="bottom"/>
          </w:tcPr>
          <w:p>
            <w:pPr>
              <w:spacing w:after="0"/>
              <w:rPr>
                <w:sz w:val="17"/>
                <w:szCs w:val="17"/>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Fair</w:t>
            </w:r>
          </w:p>
        </w:tc>
        <w:tc>
          <w:tcPr>
            <w:tcW w:w="0" w:type="dxa"/>
            <w:vAlign w:val="bottom"/>
          </w:tcPr>
          <w:p>
            <w:pPr>
              <w:spacing w:after="0"/>
              <w:rPr>
                <w:sz w:val="1"/>
                <w:szCs w:val="1"/>
                <w:color w:val="auto"/>
              </w:rPr>
            </w:pPr>
          </w:p>
        </w:tc>
      </w:tr>
      <w:tr>
        <w:trPr>
          <w:trHeight w:val="183"/>
        </w:trPr>
        <w:tc>
          <w:tcPr>
            <w:tcW w:w="5440" w:type="dxa"/>
            <w:vAlign w:val="bottom"/>
            <w:gridSpan w:val="4"/>
          </w:tcPr>
          <w:p>
            <w:pPr>
              <w:spacing w:after="0" w:line="183" w:lineRule="exact"/>
              <w:rPr>
                <w:sz w:val="20"/>
                <w:szCs w:val="20"/>
                <w:color w:val="auto"/>
              </w:rPr>
            </w:pPr>
            <w:r>
              <w:rPr>
                <w:rFonts w:ascii="Arial" w:cs="Arial" w:eastAsia="Arial" w:hAnsi="Arial"/>
                <w:sz w:val="17"/>
                <w:szCs w:val="17"/>
                <w:color w:val="auto"/>
              </w:rPr>
              <w:t>As of March 31, 2015</w:t>
            </w:r>
          </w:p>
        </w:tc>
        <w:tc>
          <w:tcPr>
            <w:tcW w:w="120" w:type="dxa"/>
            <w:vAlign w:val="bottom"/>
          </w:tcPr>
          <w:p>
            <w:pPr>
              <w:spacing w:after="0"/>
              <w:rPr>
                <w:sz w:val="15"/>
                <w:szCs w:val="15"/>
                <w:color w:val="auto"/>
              </w:rPr>
            </w:pPr>
          </w:p>
        </w:tc>
        <w:tc>
          <w:tcPr>
            <w:tcW w:w="920" w:type="dxa"/>
            <w:vAlign w:val="bottom"/>
          </w:tcPr>
          <w:p>
            <w:pPr>
              <w:jc w:val="right"/>
              <w:ind w:right="275"/>
              <w:spacing w:after="0" w:line="183" w:lineRule="exact"/>
              <w:rPr>
                <w:sz w:val="20"/>
                <w:szCs w:val="20"/>
                <w:color w:val="auto"/>
              </w:rPr>
            </w:pPr>
            <w:r>
              <w:rPr>
                <w:rFonts w:ascii="Arial" w:cs="Arial" w:eastAsia="Arial" w:hAnsi="Arial"/>
                <w:sz w:val="17"/>
                <w:szCs w:val="17"/>
                <w:b w:val="1"/>
                <w:bCs w:val="1"/>
                <w:color w:val="auto"/>
              </w:rPr>
              <w:t>Cost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300"/>
              <w:spacing w:after="0" w:line="183" w:lineRule="exact"/>
              <w:rPr>
                <w:sz w:val="20"/>
                <w:szCs w:val="20"/>
                <w:color w:val="auto"/>
              </w:rPr>
            </w:pPr>
            <w:r>
              <w:rPr>
                <w:rFonts w:ascii="Arial" w:cs="Arial" w:eastAsia="Arial" w:hAnsi="Arial"/>
                <w:sz w:val="17"/>
                <w:szCs w:val="17"/>
                <w:b w:val="1"/>
                <w:bCs w:val="1"/>
                <w:color w:val="auto"/>
                <w:w w:val="88"/>
              </w:rPr>
              <w:t>Gains</w:t>
            </w:r>
          </w:p>
        </w:tc>
        <w:tc>
          <w:tcPr>
            <w:tcW w:w="120" w:type="dxa"/>
            <w:vAlign w:val="bottom"/>
          </w:tcPr>
          <w:p>
            <w:pPr>
              <w:spacing w:after="0"/>
              <w:rPr>
                <w:sz w:val="15"/>
                <w:szCs w:val="15"/>
                <w:color w:val="auto"/>
              </w:rPr>
            </w:pPr>
          </w:p>
        </w:tc>
        <w:tc>
          <w:tcPr>
            <w:tcW w:w="1120" w:type="dxa"/>
            <w:vAlign w:val="bottom"/>
            <w:gridSpan w:val="2"/>
          </w:tcPr>
          <w:p>
            <w:pPr>
              <w:jc w:val="center"/>
              <w:ind w:right="320"/>
              <w:spacing w:after="0" w:line="183" w:lineRule="exact"/>
              <w:rPr>
                <w:sz w:val="20"/>
                <w:szCs w:val="20"/>
                <w:color w:val="auto"/>
              </w:rPr>
            </w:pPr>
            <w:r>
              <w:rPr>
                <w:rFonts w:ascii="Arial" w:cs="Arial" w:eastAsia="Arial" w:hAnsi="Arial"/>
                <w:sz w:val="17"/>
                <w:szCs w:val="17"/>
                <w:b w:val="1"/>
                <w:bCs w:val="1"/>
                <w:color w:val="auto"/>
                <w:w w:val="81"/>
              </w:rPr>
              <w:t>Losses</w:t>
            </w:r>
          </w:p>
        </w:tc>
        <w:tc>
          <w:tcPr>
            <w:tcW w:w="200" w:type="dxa"/>
            <w:vAlign w:val="bottom"/>
          </w:tcPr>
          <w:p>
            <w:pPr>
              <w:spacing w:after="0"/>
              <w:rPr>
                <w:sz w:val="15"/>
                <w:szCs w:val="15"/>
                <w:color w:val="auto"/>
              </w:rPr>
            </w:pPr>
          </w:p>
        </w:tc>
        <w:tc>
          <w:tcPr>
            <w:tcW w:w="920" w:type="dxa"/>
            <w:vAlign w:val="bottom"/>
            <w:gridSpan w:val="2"/>
          </w:tcPr>
          <w:p>
            <w:pPr>
              <w:jc w:val="right"/>
              <w:ind w:right="400"/>
              <w:spacing w:after="0" w:line="183" w:lineRule="exact"/>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20" w:type="dxa"/>
            <w:vAlign w:val="bottom"/>
            <w:gridSpan w:val="3"/>
            <w:shd w:val="clear" w:color="auto" w:fill="F0FFFF"/>
          </w:tcPr>
          <w:p>
            <w:pPr>
              <w:ind w:left="280"/>
              <w:spacing w:after="0"/>
              <w:rPr>
                <w:sz w:val="20"/>
                <w:szCs w:val="20"/>
                <w:color w:val="auto"/>
              </w:rPr>
            </w:pPr>
            <w:r>
              <w:rPr>
                <w:rFonts w:ascii="Arial" w:cs="Arial" w:eastAsia="Arial" w:hAnsi="Arial"/>
                <w:sz w:val="17"/>
                <w:szCs w:val="17"/>
                <w:color w:val="auto"/>
              </w:rPr>
              <w:t>State and political subdivisions</w:t>
            </w:r>
          </w:p>
        </w:tc>
        <w:tc>
          <w:tcPr>
            <w:tcW w:w="12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48,136</w:t>
            </w:r>
          </w:p>
        </w:tc>
        <w:tc>
          <w:tcPr>
            <w:tcW w:w="30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4,029</w:t>
            </w:r>
          </w:p>
        </w:tc>
        <w:tc>
          <w:tcPr>
            <w:tcW w:w="12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F0FFFF"/>
          </w:tcPr>
          <w:p>
            <w:pPr>
              <w:spacing w:after="0"/>
              <w:rPr>
                <w:sz w:val="17"/>
                <w:szCs w:val="17"/>
                <w:color w:val="auto"/>
              </w:rPr>
            </w:pP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52,165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20" w:type="dxa"/>
            <w:vAlign w:val="bottom"/>
            <w:gridSpan w:val="3"/>
          </w:tcPr>
          <w:p>
            <w:pPr>
              <w:ind w:left="280"/>
              <w:spacing w:after="0"/>
              <w:rPr>
                <w:sz w:val="20"/>
                <w:szCs w:val="20"/>
                <w:color w:val="auto"/>
              </w:rPr>
            </w:pPr>
            <w:r>
              <w:rPr>
                <w:rFonts w:ascii="Arial" w:cs="Arial" w:eastAsia="Arial" w:hAnsi="Arial"/>
                <w:sz w:val="17"/>
                <w:szCs w:val="17"/>
                <w:color w:val="auto"/>
              </w:rPr>
              <w:t xml:space="preserve">Mortgage-backed securities </w:t>
            </w:r>
            <w:r>
              <w:rPr>
                <w:rFonts w:ascii="Arial" w:cs="Arial" w:eastAsia="Arial" w:hAnsi="Arial"/>
                <w:sz w:val="17"/>
                <w:szCs w:val="17"/>
                <w:color w:val="auto"/>
                <w:vertAlign w:val="superscript"/>
              </w:rPr>
              <w:t>(1)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351,092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10,470</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177</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361,385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368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920" w:type="dxa"/>
            <w:vAlign w:val="bottom"/>
            <w:tcBorders>
              <w:top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920" w:type="dxa"/>
            <w:vAlign w:val="bottom"/>
            <w:tcBorders>
              <w:top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920" w:type="dxa"/>
            <w:vAlign w:val="bottom"/>
            <w:tcBorders>
              <w:top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00" w:type="dxa"/>
            <w:vAlign w:val="bottom"/>
            <w:tcBorders>
              <w:top w:val="single" w:sz="8" w:color="auto"/>
            </w:tcBorders>
            <w:shd w:val="clear" w:color="auto" w:fill="F0FFFF"/>
          </w:tcPr>
          <w:p>
            <w:pPr>
              <w:spacing w:after="0"/>
              <w:rPr>
                <w:sz w:val="17"/>
                <w:szCs w:val="17"/>
                <w:color w:val="auto"/>
              </w:rPr>
            </w:pPr>
          </w:p>
        </w:tc>
        <w:tc>
          <w:tcPr>
            <w:tcW w:w="82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20" w:type="dxa"/>
            <w:vAlign w:val="bottom"/>
            <w:gridSpan w:val="3"/>
          </w:tcPr>
          <w:p>
            <w:pPr>
              <w:ind w:left="440"/>
              <w:spacing w:after="0"/>
              <w:rPr>
                <w:sz w:val="20"/>
                <w:szCs w:val="20"/>
                <w:color w:val="auto"/>
              </w:rPr>
            </w:pPr>
            <w:r>
              <w:rPr>
                <w:rFonts w:ascii="Arial" w:cs="Arial" w:eastAsia="Arial" w:hAnsi="Arial"/>
                <w:sz w:val="17"/>
                <w:szCs w:val="17"/>
                <w:color w:val="auto"/>
              </w:rPr>
              <w:t>Total</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399,228</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14,499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177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413,550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14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36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40" w:type="dxa"/>
            <w:vAlign w:val="bottom"/>
            <w:tcBorders>
              <w:bottom w:val="single" w:sz="8" w:color="auto"/>
            </w:tcBorders>
            <w:gridSpan w:val="2"/>
          </w:tcPr>
          <w:p>
            <w:pPr>
              <w:spacing w:after="0" w:line="167" w:lineRule="exact"/>
              <w:rPr>
                <w:sz w:val="20"/>
                <w:szCs w:val="20"/>
                <w:color w:val="auto"/>
              </w:rPr>
            </w:pPr>
            <w:r>
              <w:rPr>
                <w:rFonts w:ascii="Arial" w:cs="Arial" w:eastAsia="Arial" w:hAnsi="Arial"/>
                <w:sz w:val="17"/>
                <w:szCs w:val="17"/>
                <w:color w:val="auto"/>
                <w:w w:val="89"/>
              </w:rPr>
              <w:t>As of December 31, 2014</w:t>
            </w:r>
          </w:p>
        </w:tc>
        <w:tc>
          <w:tcPr>
            <w:tcW w:w="3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20" w:type="dxa"/>
            <w:vAlign w:val="bottom"/>
            <w:gridSpan w:val="3"/>
            <w:shd w:val="clear" w:color="auto" w:fill="F0FFFF"/>
          </w:tcPr>
          <w:p>
            <w:pPr>
              <w:ind w:left="280"/>
              <w:spacing w:after="0"/>
              <w:rPr>
                <w:sz w:val="20"/>
                <w:szCs w:val="20"/>
                <w:color w:val="auto"/>
              </w:rPr>
            </w:pPr>
            <w:r>
              <w:rPr>
                <w:rFonts w:ascii="Arial" w:cs="Arial" w:eastAsia="Arial" w:hAnsi="Arial"/>
                <w:sz w:val="17"/>
                <w:szCs w:val="17"/>
                <w:color w:val="auto"/>
              </w:rPr>
              <w:t>State and political subdivisions</w:t>
            </w:r>
          </w:p>
        </w:tc>
        <w:tc>
          <w:tcPr>
            <w:tcW w:w="12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48,157</w:t>
            </w:r>
          </w:p>
        </w:tc>
        <w:tc>
          <w:tcPr>
            <w:tcW w:w="30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3,504</w:t>
            </w:r>
          </w:p>
        </w:tc>
        <w:tc>
          <w:tcPr>
            <w:tcW w:w="12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51,661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20" w:type="dxa"/>
            <w:vAlign w:val="bottom"/>
            <w:gridSpan w:val="3"/>
          </w:tcPr>
          <w:p>
            <w:pPr>
              <w:ind w:left="280"/>
              <w:spacing w:after="0"/>
              <w:rPr>
                <w:sz w:val="20"/>
                <w:szCs w:val="20"/>
                <w:color w:val="auto"/>
              </w:rPr>
            </w:pPr>
            <w:r>
              <w:rPr>
                <w:rFonts w:ascii="Arial" w:cs="Arial" w:eastAsia="Arial" w:hAnsi="Arial"/>
                <w:sz w:val="17"/>
                <w:szCs w:val="17"/>
                <w:color w:val="auto"/>
              </w:rPr>
              <w:t xml:space="preserve">Mortgage-backed securities </w:t>
            </w:r>
            <w:r>
              <w:rPr>
                <w:rFonts w:ascii="Arial" w:cs="Arial" w:eastAsia="Arial" w:hAnsi="Arial"/>
                <w:sz w:val="17"/>
                <w:szCs w:val="17"/>
                <w:color w:val="auto"/>
                <w:vertAlign w:val="superscript"/>
              </w:rPr>
              <w:t>(1)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367,110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7,716</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373,572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368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920" w:type="dxa"/>
            <w:vAlign w:val="bottom"/>
            <w:tcBorders>
              <w:top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920" w:type="dxa"/>
            <w:vAlign w:val="bottom"/>
            <w:tcBorders>
              <w:top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920" w:type="dxa"/>
            <w:vAlign w:val="bottom"/>
            <w:tcBorders>
              <w:top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00" w:type="dxa"/>
            <w:vAlign w:val="bottom"/>
            <w:tcBorders>
              <w:top w:val="single" w:sz="8" w:color="auto"/>
            </w:tcBorders>
            <w:shd w:val="clear" w:color="auto" w:fill="F0FFFF"/>
          </w:tcPr>
          <w:p>
            <w:pPr>
              <w:spacing w:after="0"/>
              <w:rPr>
                <w:sz w:val="17"/>
                <w:szCs w:val="17"/>
                <w:color w:val="auto"/>
              </w:rPr>
            </w:pPr>
          </w:p>
        </w:tc>
        <w:tc>
          <w:tcPr>
            <w:tcW w:w="82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20" w:type="dxa"/>
            <w:vAlign w:val="bottom"/>
            <w:gridSpan w:val="3"/>
          </w:tcPr>
          <w:p>
            <w:pPr>
              <w:ind w:left="440"/>
              <w:spacing w:after="0"/>
              <w:rPr>
                <w:sz w:val="20"/>
                <w:szCs w:val="20"/>
                <w:color w:val="auto"/>
              </w:rPr>
            </w:pPr>
            <w:r>
              <w:rPr>
                <w:rFonts w:ascii="Arial" w:cs="Arial" w:eastAsia="Arial" w:hAnsi="Arial"/>
                <w:sz w:val="17"/>
                <w:szCs w:val="17"/>
                <w:color w:val="auto"/>
              </w:rPr>
              <w:t>Total</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415,267</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11,220</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1,254</w:t>
            </w:r>
          </w:p>
        </w:tc>
        <w:tc>
          <w:tcPr>
            <w:tcW w:w="20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425,233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14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36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5420" w:type="dxa"/>
            <w:vAlign w:val="bottom"/>
            <w:gridSpan w:val="3"/>
          </w:tcPr>
          <w:p>
            <w:pPr>
              <w:spacing w:after="0" w:line="167" w:lineRule="exact"/>
              <w:rPr>
                <w:sz w:val="20"/>
                <w:szCs w:val="20"/>
                <w:color w:val="auto"/>
              </w:rPr>
            </w:pPr>
            <w:r>
              <w:rPr>
                <w:rFonts w:ascii="Arial" w:cs="Arial" w:eastAsia="Arial" w:hAnsi="Arial"/>
                <w:sz w:val="17"/>
                <w:szCs w:val="17"/>
                <w:color w:val="auto"/>
              </w:rPr>
              <w:t>As of March 31, 2014</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5420" w:type="dxa"/>
            <w:vAlign w:val="bottom"/>
            <w:gridSpan w:val="3"/>
            <w:shd w:val="clear" w:color="auto" w:fill="F0FFFF"/>
          </w:tcPr>
          <w:p>
            <w:pPr>
              <w:ind w:left="280"/>
              <w:spacing w:after="0"/>
              <w:rPr>
                <w:sz w:val="20"/>
                <w:szCs w:val="20"/>
                <w:color w:val="auto"/>
              </w:rPr>
            </w:pPr>
            <w:r>
              <w:rPr>
                <w:rFonts w:ascii="Arial" w:cs="Arial" w:eastAsia="Arial" w:hAnsi="Arial"/>
                <w:sz w:val="17"/>
                <w:szCs w:val="17"/>
                <w:color w:val="auto"/>
              </w:rPr>
              <w:t>State and political subdivisions</w:t>
            </w:r>
          </w:p>
        </w:tc>
        <w:tc>
          <w:tcPr>
            <w:tcW w:w="12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51,257</w:t>
            </w:r>
          </w:p>
        </w:tc>
        <w:tc>
          <w:tcPr>
            <w:tcW w:w="30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3,430</w:t>
            </w:r>
          </w:p>
        </w:tc>
        <w:tc>
          <w:tcPr>
            <w:tcW w:w="12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13</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54,674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20" w:type="dxa"/>
            <w:vAlign w:val="bottom"/>
            <w:gridSpan w:val="3"/>
          </w:tcPr>
          <w:p>
            <w:pPr>
              <w:ind w:left="280"/>
              <w:spacing w:after="0"/>
              <w:rPr>
                <w:sz w:val="20"/>
                <w:szCs w:val="20"/>
                <w:color w:val="auto"/>
              </w:rPr>
            </w:pPr>
            <w:r>
              <w:rPr>
                <w:rFonts w:ascii="Arial" w:cs="Arial" w:eastAsia="Arial" w:hAnsi="Arial"/>
                <w:sz w:val="17"/>
                <w:szCs w:val="17"/>
                <w:color w:val="auto"/>
              </w:rPr>
              <w:t xml:space="preserve">Mortgage-backed securities </w:t>
            </w:r>
            <w:r>
              <w:rPr>
                <w:rFonts w:ascii="Arial" w:cs="Arial" w:eastAsia="Arial" w:hAnsi="Arial"/>
                <w:sz w:val="17"/>
                <w:szCs w:val="17"/>
                <w:color w:val="auto"/>
                <w:vertAlign w:val="superscript"/>
              </w:rPr>
              <w:t>(1)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413,440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6,877</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1,855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418,462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368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920" w:type="dxa"/>
            <w:vAlign w:val="bottom"/>
            <w:tcBorders>
              <w:top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920" w:type="dxa"/>
            <w:vAlign w:val="bottom"/>
            <w:tcBorders>
              <w:top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920" w:type="dxa"/>
            <w:vAlign w:val="bottom"/>
            <w:tcBorders>
              <w:top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00" w:type="dxa"/>
            <w:vAlign w:val="bottom"/>
            <w:tcBorders>
              <w:top w:val="single" w:sz="8" w:color="auto"/>
            </w:tcBorders>
            <w:shd w:val="clear" w:color="auto" w:fill="F0FFFF"/>
          </w:tcPr>
          <w:p>
            <w:pPr>
              <w:spacing w:after="0"/>
              <w:rPr>
                <w:sz w:val="17"/>
                <w:szCs w:val="17"/>
                <w:color w:val="auto"/>
              </w:rPr>
            </w:pPr>
          </w:p>
        </w:tc>
        <w:tc>
          <w:tcPr>
            <w:tcW w:w="82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20" w:type="dxa"/>
            <w:vAlign w:val="bottom"/>
            <w:gridSpan w:val="3"/>
          </w:tcPr>
          <w:p>
            <w:pPr>
              <w:ind w:left="440"/>
              <w:spacing w:after="0"/>
              <w:rPr>
                <w:sz w:val="20"/>
                <w:szCs w:val="20"/>
                <w:color w:val="auto"/>
              </w:rPr>
            </w:pPr>
            <w:r>
              <w:rPr>
                <w:rFonts w:ascii="Arial" w:cs="Arial" w:eastAsia="Arial" w:hAnsi="Arial"/>
                <w:sz w:val="17"/>
                <w:szCs w:val="17"/>
                <w:color w:val="auto"/>
              </w:rPr>
              <w:t>Total</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464,697</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10,307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1,868</w:t>
            </w:r>
          </w:p>
        </w:tc>
        <w:tc>
          <w:tcPr>
            <w:tcW w:w="20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473,136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740" w:hanging="122"/>
        <w:spacing w:after="0"/>
        <w:tabs>
          <w:tab w:leader="none" w:pos="740" w:val="left"/>
        </w:tabs>
        <w:numPr>
          <w:ilvl w:val="0"/>
          <w:numId w:val="3"/>
        </w:numPr>
        <w:rPr>
          <w:rFonts w:ascii="Arial" w:cs="Arial" w:eastAsia="Arial" w:hAnsi="Arial"/>
          <w:sz w:val="14"/>
          <w:szCs w:val="14"/>
          <w:color w:val="auto"/>
          <w:vertAlign w:val="superscript"/>
        </w:rPr>
      </w:pPr>
      <w:r>
        <w:rPr>
          <w:rFonts w:ascii="Arial" w:cs="Arial" w:eastAsia="Arial" w:hAnsi="Arial"/>
          <w:sz w:val="14"/>
          <w:szCs w:val="14"/>
          <w:color w:val="auto"/>
        </w:rPr>
        <w:t>All are residential type mortgage-backed securities and U.S.government agency commercial mortgage backed securities.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following table summarizes held-to-maturity securities in an unrealized loss position as of March 31, 2015, December 31, 2014 and March 31, 2014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thousands)</w:t>
      </w:r>
      <w:r>
        <w:rPr>
          <w:rFonts w:ascii="Arial" w:cs="Arial" w:eastAsia="Arial" w:hAnsi="Arial"/>
          <w:sz w:val="17"/>
          <w:szCs w:val="17"/>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40" w:type="dxa"/>
            <w:vAlign w:val="bottom"/>
            <w:gridSpan w:val="6"/>
          </w:tcPr>
          <w:p>
            <w:pPr>
              <w:jc w:val="right"/>
              <w:ind w:right="760"/>
              <w:spacing w:after="0"/>
              <w:rPr>
                <w:sz w:val="20"/>
                <w:szCs w:val="20"/>
                <w:color w:val="auto"/>
              </w:rPr>
            </w:pPr>
            <w:r>
              <w:rPr>
                <w:rFonts w:ascii="Arial" w:cs="Arial" w:eastAsia="Arial" w:hAnsi="Arial"/>
                <w:sz w:val="17"/>
                <w:szCs w:val="17"/>
                <w:b w:val="1"/>
                <w:bCs w:val="1"/>
                <w:color w:val="auto"/>
              </w:rPr>
              <w:t>Less than 12 Months</w:t>
            </w:r>
          </w:p>
        </w:tc>
        <w:tc>
          <w:tcPr>
            <w:tcW w:w="140" w:type="dxa"/>
            <w:vAlign w:val="bottom"/>
          </w:tcPr>
          <w:p>
            <w:pPr>
              <w:spacing w:after="0"/>
              <w:rPr>
                <w:sz w:val="19"/>
                <w:szCs w:val="19"/>
                <w:color w:val="auto"/>
              </w:rPr>
            </w:pPr>
          </w:p>
        </w:tc>
        <w:tc>
          <w:tcPr>
            <w:tcW w:w="2620" w:type="dxa"/>
            <w:vAlign w:val="bottom"/>
            <w:gridSpan w:val="5"/>
          </w:tcPr>
          <w:p>
            <w:pPr>
              <w:ind w:left="420"/>
              <w:spacing w:after="0"/>
              <w:rPr>
                <w:sz w:val="20"/>
                <w:szCs w:val="20"/>
                <w:color w:val="auto"/>
              </w:rPr>
            </w:pPr>
            <w:r>
              <w:rPr>
                <w:rFonts w:ascii="Arial" w:cs="Arial" w:eastAsia="Arial" w:hAnsi="Arial"/>
                <w:sz w:val="17"/>
                <w:szCs w:val="17"/>
                <w:b w:val="1"/>
                <w:bCs w:val="1"/>
                <w:color w:val="auto"/>
              </w:rPr>
              <w:t>12 Months or More</w:t>
            </w:r>
          </w:p>
        </w:tc>
        <w:tc>
          <w:tcPr>
            <w:tcW w:w="140" w:type="dxa"/>
            <w:vAlign w:val="bottom"/>
          </w:tcPr>
          <w:p>
            <w:pPr>
              <w:spacing w:after="0"/>
              <w:rPr>
                <w:sz w:val="19"/>
                <w:szCs w:val="19"/>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7"/>
                <w:szCs w:val="17"/>
                <w:b w:val="1"/>
                <w:bCs w:val="1"/>
                <w:color w:val="auto"/>
              </w:rPr>
              <w:t>Total</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w w:val="95"/>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5"/>
              <w:spacing w:after="0" w:line="189" w:lineRule="exact"/>
              <w:rPr>
                <w:sz w:val="20"/>
                <w:szCs w:val="20"/>
                <w:color w:val="auto"/>
              </w:rPr>
            </w:pPr>
            <w:r>
              <w:rPr>
                <w:rFonts w:ascii="Arial" w:cs="Arial" w:eastAsia="Arial" w:hAnsi="Arial"/>
                <w:sz w:val="17"/>
                <w:szCs w:val="17"/>
                <w:b w:val="1"/>
                <w:bCs w:val="1"/>
                <w:color w:val="auto"/>
                <w:w w:val="92"/>
              </w:rPr>
              <w:t>Unrealized</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w w:val="95"/>
              </w:rPr>
              <w:t>Unrealized</w:t>
            </w:r>
          </w:p>
        </w:tc>
        <w:tc>
          <w:tcPr>
            <w:tcW w:w="100" w:type="dxa"/>
            <w:vAlign w:val="bottom"/>
          </w:tcPr>
          <w:p>
            <w:pPr>
              <w:spacing w:after="0"/>
              <w:rPr>
                <w:sz w:val="16"/>
                <w:szCs w:val="16"/>
                <w:color w:val="auto"/>
              </w:rPr>
            </w:pPr>
          </w:p>
        </w:tc>
      </w:tr>
      <w:tr>
        <w:trPr>
          <w:trHeight w:val="183"/>
        </w:trPr>
        <w:tc>
          <w:tcPr>
            <w:tcW w:w="2740" w:type="dxa"/>
            <w:vAlign w:val="bottom"/>
            <w:gridSpan w:val="3"/>
          </w:tcPr>
          <w:p>
            <w:pPr>
              <w:spacing w:after="0" w:line="183" w:lineRule="exact"/>
              <w:rPr>
                <w:sz w:val="20"/>
                <w:szCs w:val="20"/>
                <w:color w:val="auto"/>
              </w:rPr>
            </w:pPr>
            <w:r>
              <w:rPr>
                <w:rFonts w:ascii="Arial" w:cs="Arial" w:eastAsia="Arial" w:hAnsi="Arial"/>
                <w:sz w:val="17"/>
                <w:szCs w:val="17"/>
                <w:color w:val="auto"/>
              </w:rPr>
              <w:t>As of March 31, 2015</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60"/>
              <w:spacing w:after="0" w:line="183" w:lineRule="exact"/>
              <w:rPr>
                <w:sz w:val="20"/>
                <w:szCs w:val="20"/>
                <w:color w:val="auto"/>
              </w:rPr>
            </w:pPr>
            <w:r>
              <w:rPr>
                <w:rFonts w:ascii="Arial" w:cs="Arial" w:eastAsia="Arial" w:hAnsi="Arial"/>
                <w:sz w:val="17"/>
                <w:szCs w:val="17"/>
                <w:b w:val="1"/>
                <w:bCs w:val="1"/>
                <w:color w:val="auto"/>
              </w:rPr>
              <w:t>Fair Value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640"/>
              <w:spacing w:after="0" w:line="183" w:lineRule="exact"/>
              <w:rPr>
                <w:sz w:val="20"/>
                <w:szCs w:val="20"/>
                <w:color w:val="auto"/>
              </w:rPr>
            </w:pPr>
            <w:r>
              <w:rPr>
                <w:rFonts w:ascii="Arial" w:cs="Arial" w:eastAsia="Arial" w:hAnsi="Arial"/>
                <w:sz w:val="17"/>
                <w:szCs w:val="17"/>
                <w:b w:val="1"/>
                <w:bCs w:val="1"/>
                <w:color w:val="auto"/>
              </w:rPr>
              <w:t>Loss</w:t>
            </w:r>
          </w:p>
        </w:tc>
        <w:tc>
          <w:tcPr>
            <w:tcW w:w="140" w:type="dxa"/>
            <w:vAlign w:val="bottom"/>
          </w:tcPr>
          <w:p>
            <w:pPr>
              <w:spacing w:after="0"/>
              <w:rPr>
                <w:sz w:val="15"/>
                <w:szCs w:val="15"/>
                <w:color w:val="auto"/>
              </w:rPr>
            </w:pPr>
          </w:p>
        </w:tc>
        <w:tc>
          <w:tcPr>
            <w:tcW w:w="1240" w:type="dxa"/>
            <w:vAlign w:val="bottom"/>
            <w:gridSpan w:val="2"/>
          </w:tcPr>
          <w:p>
            <w:pPr>
              <w:jc w:val="right"/>
              <w:ind w:right="420"/>
              <w:spacing w:after="0" w:line="183" w:lineRule="exact"/>
              <w:rPr>
                <w:sz w:val="20"/>
                <w:szCs w:val="20"/>
                <w:color w:val="auto"/>
              </w:rPr>
            </w:pPr>
            <w:r>
              <w:rPr>
                <w:rFonts w:ascii="Arial" w:cs="Arial" w:eastAsia="Arial" w:hAnsi="Arial"/>
                <w:sz w:val="17"/>
                <w:szCs w:val="17"/>
                <w:b w:val="1"/>
                <w:bCs w:val="1"/>
                <w:color w:val="auto"/>
                <w:w w:val="98"/>
              </w:rPr>
              <w:t>Fair Value</w:t>
            </w:r>
          </w:p>
        </w:tc>
        <w:tc>
          <w:tcPr>
            <w:tcW w:w="120" w:type="dxa"/>
            <w:vAlign w:val="bottom"/>
          </w:tcPr>
          <w:p>
            <w:pPr>
              <w:spacing w:after="0"/>
              <w:rPr>
                <w:sz w:val="15"/>
                <w:szCs w:val="15"/>
                <w:color w:val="auto"/>
              </w:rPr>
            </w:pPr>
          </w:p>
        </w:tc>
        <w:tc>
          <w:tcPr>
            <w:tcW w:w="1260" w:type="dxa"/>
            <w:vAlign w:val="bottom"/>
            <w:gridSpan w:val="2"/>
          </w:tcPr>
          <w:p>
            <w:pPr>
              <w:jc w:val="center"/>
              <w:ind w:right="360"/>
              <w:spacing w:after="0" w:line="183" w:lineRule="exact"/>
              <w:rPr>
                <w:sz w:val="20"/>
                <w:szCs w:val="20"/>
                <w:color w:val="auto"/>
              </w:rPr>
            </w:pPr>
            <w:r>
              <w:rPr>
                <w:rFonts w:ascii="Arial" w:cs="Arial" w:eastAsia="Arial" w:hAnsi="Arial"/>
                <w:sz w:val="17"/>
                <w:szCs w:val="17"/>
                <w:b w:val="1"/>
                <w:bCs w:val="1"/>
                <w:color w:val="auto"/>
                <w:w w:val="85"/>
              </w:rPr>
              <w:t>Loss</w:t>
            </w:r>
          </w:p>
        </w:tc>
        <w:tc>
          <w:tcPr>
            <w:tcW w:w="140" w:type="dxa"/>
            <w:vAlign w:val="bottom"/>
          </w:tcPr>
          <w:p>
            <w:pPr>
              <w:spacing w:after="0"/>
              <w:rPr>
                <w:sz w:val="15"/>
                <w:szCs w:val="15"/>
                <w:color w:val="auto"/>
              </w:rPr>
            </w:pPr>
          </w:p>
        </w:tc>
        <w:tc>
          <w:tcPr>
            <w:tcW w:w="1100" w:type="dxa"/>
            <w:vAlign w:val="bottom"/>
            <w:gridSpan w:val="2"/>
          </w:tcPr>
          <w:p>
            <w:pPr>
              <w:jc w:val="right"/>
              <w:ind w:right="300"/>
              <w:spacing w:after="0" w:line="183" w:lineRule="exact"/>
              <w:rPr>
                <w:sz w:val="20"/>
                <w:szCs w:val="20"/>
                <w:color w:val="auto"/>
              </w:rPr>
            </w:pPr>
            <w:r>
              <w:rPr>
                <w:rFonts w:ascii="Arial" w:cs="Arial" w:eastAsia="Arial" w:hAnsi="Arial"/>
                <w:sz w:val="17"/>
                <w:szCs w:val="17"/>
                <w:b w:val="1"/>
                <w:bCs w:val="1"/>
                <w:color w:val="auto"/>
                <w:w w:val="95"/>
              </w:rPr>
              <w:t>Fair Value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500"/>
              <w:spacing w:after="0" w:line="183" w:lineRule="exact"/>
              <w:rPr>
                <w:sz w:val="20"/>
                <w:szCs w:val="20"/>
                <w:color w:val="auto"/>
              </w:rPr>
            </w:pPr>
            <w:r>
              <w:rPr>
                <w:rFonts w:ascii="Arial" w:cs="Arial" w:eastAsia="Arial" w:hAnsi="Arial"/>
                <w:sz w:val="17"/>
                <w:szCs w:val="17"/>
                <w:b w:val="1"/>
                <w:bCs w:val="1"/>
                <w:color w:val="auto"/>
              </w:rPr>
              <w:t>Loss</w:t>
            </w:r>
          </w:p>
        </w:tc>
      </w:tr>
      <w:tr>
        <w:trPr>
          <w:trHeight w:val="24"/>
        </w:trPr>
        <w:tc>
          <w:tcPr>
            <w:tcW w:w="15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274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Mortgage-backed securities</w:t>
            </w:r>
          </w:p>
        </w:tc>
        <w:tc>
          <w:tcPr>
            <w:tcW w:w="580" w:type="dxa"/>
            <w:vAlign w:val="bottom"/>
            <w:shd w:val="clear" w:color="auto" w:fill="F0FFFF"/>
          </w:tcPr>
          <w:p>
            <w:pPr>
              <w:spacing w:after="0"/>
              <w:rPr>
                <w:sz w:val="17"/>
                <w:szCs w:val="17"/>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16,177</w:t>
            </w: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140</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6,252</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37</w:t>
            </w: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22,429</w:t>
            </w:r>
          </w:p>
        </w:tc>
        <w:tc>
          <w:tcPr>
            <w:tcW w:w="22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177</w:t>
            </w:r>
          </w:p>
        </w:tc>
      </w:tr>
      <w:tr>
        <w:trPr>
          <w:trHeight w:val="26"/>
        </w:trPr>
        <w:tc>
          <w:tcPr>
            <w:tcW w:w="1500" w:type="dxa"/>
            <w:vAlign w:val="bottom"/>
            <w:shd w:val="clear" w:color="auto" w:fill="F0FFFF"/>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980" w:type="dxa"/>
            <w:vAlign w:val="bottom"/>
            <w:shd w:val="clear" w:color="auto" w:fill="F0FFFF"/>
          </w:tcPr>
          <w:p>
            <w:pPr>
              <w:spacing w:after="0"/>
              <w:rPr>
                <w:sz w:val="2"/>
                <w:szCs w:val="2"/>
                <w:color w:val="auto"/>
              </w:rPr>
            </w:pPr>
          </w:p>
        </w:tc>
        <w:tc>
          <w:tcPr>
            <w:tcW w:w="58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05"/>
        </w:trPr>
        <w:tc>
          <w:tcPr>
            <w:tcW w:w="2740" w:type="dxa"/>
            <w:vAlign w:val="bottom"/>
            <w:gridSpan w:val="3"/>
          </w:tcPr>
          <w:p>
            <w:pPr>
              <w:ind w:left="160"/>
              <w:spacing w:after="0"/>
              <w:rPr>
                <w:sz w:val="20"/>
                <w:szCs w:val="20"/>
                <w:color w:val="auto"/>
              </w:rPr>
            </w:pPr>
            <w:r>
              <w:rPr>
                <w:rFonts w:ascii="Arial" w:cs="Arial" w:eastAsia="Arial" w:hAnsi="Arial"/>
                <w:sz w:val="17"/>
                <w:szCs w:val="17"/>
                <w:color w:val="auto"/>
              </w:rPr>
              <w:t>Total unrealized loss position</w:t>
            </w:r>
          </w:p>
        </w:tc>
        <w:tc>
          <w:tcPr>
            <w:tcW w:w="5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16,177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140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6,252</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37</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22,429</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177</w:t>
            </w:r>
          </w:p>
        </w:tc>
      </w:tr>
      <w:tr>
        <w:trPr>
          <w:trHeight w:val="20"/>
        </w:trPr>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50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167"/>
        </w:trPr>
        <w:tc>
          <w:tcPr>
            <w:tcW w:w="2740" w:type="dxa"/>
            <w:vAlign w:val="bottom"/>
            <w:gridSpan w:val="3"/>
          </w:tcPr>
          <w:p>
            <w:pPr>
              <w:spacing w:after="0" w:line="167" w:lineRule="exact"/>
              <w:rPr>
                <w:sz w:val="20"/>
                <w:szCs w:val="20"/>
                <w:color w:val="auto"/>
              </w:rPr>
            </w:pPr>
            <w:r>
              <w:rPr>
                <w:rFonts w:ascii="Arial" w:cs="Arial" w:eastAsia="Arial" w:hAnsi="Arial"/>
                <w:sz w:val="17"/>
                <w:szCs w:val="17"/>
                <w:color w:val="auto"/>
              </w:rPr>
              <w:t>As of December 31, 2014</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9"/>
        </w:trPr>
        <w:tc>
          <w:tcPr>
            <w:tcW w:w="15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274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Mortgage-backed securities</w:t>
            </w:r>
          </w:p>
        </w:tc>
        <w:tc>
          <w:tcPr>
            <w:tcW w:w="58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126,514</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917</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17,053</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337</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143,567</w:t>
            </w:r>
          </w:p>
        </w:tc>
        <w:tc>
          <w:tcPr>
            <w:tcW w:w="22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1,254</w:t>
            </w:r>
          </w:p>
        </w:tc>
      </w:tr>
      <w:tr>
        <w:trPr>
          <w:trHeight w:val="26"/>
        </w:trPr>
        <w:tc>
          <w:tcPr>
            <w:tcW w:w="1500" w:type="dxa"/>
            <w:vAlign w:val="bottom"/>
            <w:shd w:val="clear" w:color="auto" w:fill="F0FFFF"/>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980" w:type="dxa"/>
            <w:vAlign w:val="bottom"/>
            <w:shd w:val="clear" w:color="auto" w:fill="F0FFFF"/>
          </w:tcPr>
          <w:p>
            <w:pPr>
              <w:spacing w:after="0"/>
              <w:rPr>
                <w:sz w:val="2"/>
                <w:szCs w:val="2"/>
                <w:color w:val="auto"/>
              </w:rPr>
            </w:pPr>
          </w:p>
        </w:tc>
        <w:tc>
          <w:tcPr>
            <w:tcW w:w="58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05"/>
        </w:trPr>
        <w:tc>
          <w:tcPr>
            <w:tcW w:w="2740" w:type="dxa"/>
            <w:vAlign w:val="bottom"/>
            <w:gridSpan w:val="3"/>
          </w:tcPr>
          <w:p>
            <w:pPr>
              <w:ind w:left="160"/>
              <w:spacing w:after="0"/>
              <w:rPr>
                <w:sz w:val="20"/>
                <w:szCs w:val="20"/>
                <w:color w:val="auto"/>
              </w:rPr>
            </w:pPr>
            <w:r>
              <w:rPr>
                <w:rFonts w:ascii="Arial" w:cs="Arial" w:eastAsia="Arial" w:hAnsi="Arial"/>
                <w:sz w:val="17"/>
                <w:szCs w:val="17"/>
                <w:color w:val="auto"/>
              </w:rPr>
              <w:t>Total unrealized loss position</w:t>
            </w:r>
          </w:p>
        </w:tc>
        <w:tc>
          <w:tcPr>
            <w:tcW w:w="5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126,514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917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17,053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337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143,567</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1,254</w:t>
            </w:r>
          </w:p>
        </w:tc>
      </w:tr>
      <w:tr>
        <w:trPr>
          <w:trHeight w:val="20"/>
        </w:trPr>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50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167"/>
        </w:trPr>
        <w:tc>
          <w:tcPr>
            <w:tcW w:w="2740" w:type="dxa"/>
            <w:vAlign w:val="bottom"/>
            <w:gridSpan w:val="3"/>
          </w:tcPr>
          <w:p>
            <w:pPr>
              <w:spacing w:after="0" w:line="167" w:lineRule="exact"/>
              <w:rPr>
                <w:sz w:val="20"/>
                <w:szCs w:val="20"/>
                <w:color w:val="auto"/>
              </w:rPr>
            </w:pPr>
            <w:r>
              <w:rPr>
                <w:rFonts w:ascii="Arial" w:cs="Arial" w:eastAsia="Arial" w:hAnsi="Arial"/>
                <w:sz w:val="17"/>
                <w:szCs w:val="17"/>
                <w:color w:val="auto"/>
              </w:rPr>
              <w:t>As of March 31, 2014</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9"/>
        </w:trPr>
        <w:tc>
          <w:tcPr>
            <w:tcW w:w="1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274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State and political subdivisions</w:t>
            </w:r>
          </w:p>
        </w:tc>
        <w:tc>
          <w:tcPr>
            <w:tcW w:w="72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1,628</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13</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1,628</w:t>
            </w:r>
          </w:p>
        </w:tc>
        <w:tc>
          <w:tcPr>
            <w:tcW w:w="22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F0FFFF"/>
          </w:tcPr>
          <w:p>
            <w:pPr>
              <w:spacing w:after="0"/>
              <w:rPr>
                <w:sz w:val="18"/>
                <w:szCs w:val="18"/>
                <w:color w:val="auto"/>
              </w:rPr>
            </w:pPr>
          </w:p>
        </w:tc>
      </w:tr>
      <w:tr>
        <w:trPr>
          <w:trHeight w:val="205"/>
        </w:trPr>
        <w:tc>
          <w:tcPr>
            <w:tcW w:w="2740" w:type="dxa"/>
            <w:vAlign w:val="bottom"/>
            <w:gridSpan w:val="3"/>
          </w:tcPr>
          <w:p>
            <w:pPr>
              <w:spacing w:after="0"/>
              <w:rPr>
                <w:sz w:val="20"/>
                <w:szCs w:val="20"/>
                <w:color w:val="auto"/>
              </w:rPr>
            </w:pPr>
            <w:r>
              <w:rPr>
                <w:rFonts w:ascii="Arial" w:cs="Arial" w:eastAsia="Arial" w:hAnsi="Arial"/>
                <w:sz w:val="17"/>
                <w:szCs w:val="17"/>
                <w:color w:val="auto"/>
              </w:rPr>
              <w:t>Mortgage-backed securities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200,284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1,721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1,644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201,928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1,855</w:t>
            </w:r>
          </w:p>
        </w:tc>
      </w:tr>
      <w:tr>
        <w:trPr>
          <w:trHeight w:val="26"/>
        </w:trPr>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2740" w:type="dxa"/>
            <w:vAlign w:val="bottom"/>
            <w:gridSpan w:val="3"/>
            <w:shd w:val="clear" w:color="auto" w:fill="F0FFFF"/>
          </w:tcPr>
          <w:p>
            <w:pPr>
              <w:ind w:left="160"/>
              <w:spacing w:after="0"/>
              <w:rPr>
                <w:sz w:val="20"/>
                <w:szCs w:val="20"/>
                <w:color w:val="auto"/>
              </w:rPr>
            </w:pPr>
            <w:r>
              <w:rPr>
                <w:rFonts w:ascii="Arial" w:cs="Arial" w:eastAsia="Arial" w:hAnsi="Arial"/>
                <w:sz w:val="17"/>
                <w:szCs w:val="17"/>
                <w:color w:val="auto"/>
              </w:rPr>
              <w:t>Total unrealized loss position</w:t>
            </w:r>
          </w:p>
        </w:tc>
        <w:tc>
          <w:tcPr>
            <w:tcW w:w="580" w:type="dxa"/>
            <w:vAlign w:val="bottom"/>
            <w:shd w:val="clear" w:color="auto" w:fill="F0FFFF"/>
          </w:tcPr>
          <w:p>
            <w:pPr>
              <w:spacing w:after="0"/>
              <w:rPr>
                <w:sz w:val="19"/>
                <w:szCs w:val="19"/>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201,912</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1,734</w:t>
            </w:r>
          </w:p>
        </w:tc>
        <w:tc>
          <w:tcPr>
            <w:tcW w:w="240" w:type="dxa"/>
            <w:vAlign w:val="bottom"/>
            <w:shd w:val="clear" w:color="auto" w:fill="F0FFFF"/>
          </w:tcPr>
          <w:p>
            <w:pPr>
              <w:spacing w:after="0"/>
              <w:rPr>
                <w:sz w:val="19"/>
                <w:szCs w:val="19"/>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1,644</w:t>
            </w:r>
          </w:p>
        </w:tc>
        <w:tc>
          <w:tcPr>
            <w:tcW w:w="240" w:type="dxa"/>
            <w:vAlign w:val="bottom"/>
            <w:shd w:val="clear" w:color="auto" w:fill="F0FFFF"/>
          </w:tcPr>
          <w:p>
            <w:pPr>
              <w:spacing w:after="0"/>
              <w:rPr>
                <w:sz w:val="19"/>
                <w:szCs w:val="19"/>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134</w:t>
            </w:r>
          </w:p>
        </w:tc>
        <w:tc>
          <w:tcPr>
            <w:tcW w:w="220" w:type="dxa"/>
            <w:vAlign w:val="bottom"/>
            <w:shd w:val="clear" w:color="auto" w:fill="F0FFFF"/>
          </w:tcPr>
          <w:p>
            <w:pPr>
              <w:spacing w:after="0"/>
              <w:rPr>
                <w:sz w:val="19"/>
                <w:szCs w:val="19"/>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203,556</w:t>
            </w:r>
          </w:p>
        </w:tc>
        <w:tc>
          <w:tcPr>
            <w:tcW w:w="22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1,868</w:t>
            </w:r>
          </w:p>
        </w:tc>
      </w:tr>
      <w:tr>
        <w:trPr>
          <w:trHeight w:val="20"/>
        </w:trPr>
        <w:tc>
          <w:tcPr>
            <w:tcW w:w="150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980" w:type="dxa"/>
            <w:vAlign w:val="bottom"/>
            <w:tcBorders>
              <w:top w:val="single" w:sz="8" w:color="F0FFFF"/>
            </w:tcBorders>
            <w:shd w:val="clear" w:color="auto" w:fill="F0FFFF"/>
          </w:tcPr>
          <w:p>
            <w:pPr>
              <w:spacing w:after="0" w:line="20" w:lineRule="exact"/>
              <w:rPr>
                <w:sz w:val="1"/>
                <w:szCs w:val="1"/>
                <w:color w:val="auto"/>
              </w:rPr>
            </w:pPr>
          </w:p>
        </w:tc>
        <w:tc>
          <w:tcPr>
            <w:tcW w:w="58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r>
    </w:tbl>
    <w:p>
      <w:pPr>
        <w:spacing w:after="0" w:line="21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Management evaluates securities for other-than-temporary impairment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No impairment charges were recognized during the three months ended March 31, 2015 or 2014.</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7"/>
          <w:szCs w:val="17"/>
          <w:b w:val="1"/>
          <w:bCs w:val="1"/>
          <w:color w:val="auto"/>
        </w:rPr>
        <w:t>UNITED COMMUNITY BANKS, INC. AND SUBSIDIARIES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 xml:space="preserve">The cost basis, unrealized gains and losses, and fair value of securities available-for-sale at March 31, 2015, December 31, 2014 and March 31, 2014 are presented below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5"/>
              </w:rPr>
              <w:t>Gross</w:t>
            </w:r>
          </w:p>
        </w:tc>
        <w:tc>
          <w:tcPr>
            <w:tcW w:w="12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5"/>
              </w:rPr>
              <w:t>Gross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3"/>
              </w:rPr>
              <w:t>Amortized</w:t>
            </w:r>
          </w:p>
        </w:tc>
        <w:tc>
          <w:tcPr>
            <w:tcW w:w="12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0"/>
              </w:rPr>
              <w:t>Unrealized</w:t>
            </w:r>
          </w:p>
        </w:tc>
        <w:tc>
          <w:tcPr>
            <w:tcW w:w="12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0"/>
              </w:rPr>
              <w:t>Unrealized</w:t>
            </w:r>
          </w:p>
        </w:tc>
        <w:tc>
          <w:tcPr>
            <w:tcW w:w="22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rPr>
              <w:t>Fair</w:t>
            </w:r>
          </w:p>
        </w:tc>
        <w:tc>
          <w:tcPr>
            <w:tcW w:w="0" w:type="dxa"/>
            <w:vAlign w:val="bottom"/>
          </w:tcPr>
          <w:p>
            <w:pPr>
              <w:spacing w:after="0"/>
              <w:rPr>
                <w:sz w:val="1"/>
                <w:szCs w:val="1"/>
                <w:color w:val="auto"/>
              </w:rPr>
            </w:pPr>
          </w:p>
        </w:tc>
      </w:tr>
      <w:tr>
        <w:trPr>
          <w:trHeight w:val="183"/>
        </w:trPr>
        <w:tc>
          <w:tcPr>
            <w:tcW w:w="3680" w:type="dxa"/>
            <w:vAlign w:val="bottom"/>
            <w:gridSpan w:val="4"/>
          </w:tcPr>
          <w:p>
            <w:pPr>
              <w:spacing w:after="0" w:line="183" w:lineRule="exact"/>
              <w:rPr>
                <w:sz w:val="20"/>
                <w:szCs w:val="20"/>
                <w:color w:val="auto"/>
              </w:rPr>
            </w:pPr>
            <w:r>
              <w:rPr>
                <w:rFonts w:ascii="Arial" w:cs="Arial" w:eastAsia="Arial" w:hAnsi="Arial"/>
                <w:sz w:val="17"/>
                <w:szCs w:val="17"/>
                <w:color w:val="auto"/>
              </w:rPr>
              <w:t>As of March 31, 2015</w:t>
            </w: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360"/>
              <w:spacing w:after="0" w:line="183" w:lineRule="exact"/>
              <w:rPr>
                <w:sz w:val="20"/>
                <w:szCs w:val="20"/>
                <w:color w:val="auto"/>
              </w:rPr>
            </w:pPr>
            <w:r>
              <w:rPr>
                <w:rFonts w:ascii="Arial" w:cs="Arial" w:eastAsia="Arial" w:hAnsi="Arial"/>
                <w:sz w:val="17"/>
                <w:szCs w:val="17"/>
                <w:b w:val="1"/>
                <w:bCs w:val="1"/>
                <w:color w:val="auto"/>
                <w:w w:val="89"/>
              </w:rPr>
              <w:t>Cost</w:t>
            </w:r>
          </w:p>
        </w:tc>
        <w:tc>
          <w:tcPr>
            <w:tcW w:w="120" w:type="dxa"/>
            <w:vAlign w:val="bottom"/>
          </w:tcPr>
          <w:p>
            <w:pPr>
              <w:spacing w:after="0"/>
              <w:rPr>
                <w:sz w:val="15"/>
                <w:szCs w:val="15"/>
                <w:color w:val="auto"/>
              </w:rPr>
            </w:pPr>
          </w:p>
        </w:tc>
        <w:tc>
          <w:tcPr>
            <w:tcW w:w="1260" w:type="dxa"/>
            <w:vAlign w:val="bottom"/>
            <w:gridSpan w:val="2"/>
          </w:tcPr>
          <w:p>
            <w:pPr>
              <w:jc w:val="center"/>
              <w:ind w:right="360"/>
              <w:spacing w:after="0" w:line="183" w:lineRule="exact"/>
              <w:rPr>
                <w:sz w:val="20"/>
                <w:szCs w:val="20"/>
                <w:color w:val="auto"/>
              </w:rPr>
            </w:pPr>
            <w:r>
              <w:rPr>
                <w:rFonts w:ascii="Arial" w:cs="Arial" w:eastAsia="Arial" w:hAnsi="Arial"/>
                <w:sz w:val="17"/>
                <w:szCs w:val="17"/>
                <w:b w:val="1"/>
                <w:bCs w:val="1"/>
                <w:color w:val="auto"/>
                <w:w w:val="88"/>
              </w:rPr>
              <w:t>Gains</w:t>
            </w:r>
          </w:p>
        </w:tc>
        <w:tc>
          <w:tcPr>
            <w:tcW w:w="120" w:type="dxa"/>
            <w:vAlign w:val="bottom"/>
          </w:tcPr>
          <w:p>
            <w:pPr>
              <w:spacing w:after="0"/>
              <w:rPr>
                <w:sz w:val="15"/>
                <w:szCs w:val="15"/>
                <w:color w:val="auto"/>
              </w:rPr>
            </w:pPr>
          </w:p>
        </w:tc>
        <w:tc>
          <w:tcPr>
            <w:tcW w:w="1260" w:type="dxa"/>
            <w:vAlign w:val="bottom"/>
            <w:gridSpan w:val="2"/>
          </w:tcPr>
          <w:p>
            <w:pPr>
              <w:jc w:val="center"/>
              <w:ind w:right="360"/>
              <w:spacing w:after="0" w:line="183" w:lineRule="exact"/>
              <w:rPr>
                <w:sz w:val="20"/>
                <w:szCs w:val="20"/>
                <w:color w:val="auto"/>
              </w:rPr>
            </w:pPr>
            <w:r>
              <w:rPr>
                <w:rFonts w:ascii="Arial" w:cs="Arial" w:eastAsia="Arial" w:hAnsi="Arial"/>
                <w:sz w:val="17"/>
                <w:szCs w:val="17"/>
                <w:b w:val="1"/>
                <w:bCs w:val="1"/>
                <w:color w:val="auto"/>
                <w:w w:val="78"/>
              </w:rPr>
              <w:t>Losses</w:t>
            </w:r>
          </w:p>
        </w:tc>
        <w:tc>
          <w:tcPr>
            <w:tcW w:w="220" w:type="dxa"/>
            <w:vAlign w:val="bottom"/>
          </w:tcPr>
          <w:p>
            <w:pPr>
              <w:spacing w:after="0"/>
              <w:rPr>
                <w:sz w:val="15"/>
                <w:szCs w:val="15"/>
                <w:color w:val="auto"/>
              </w:rPr>
            </w:pPr>
          </w:p>
        </w:tc>
        <w:tc>
          <w:tcPr>
            <w:tcW w:w="1040" w:type="dxa"/>
            <w:vAlign w:val="bottom"/>
            <w:gridSpan w:val="2"/>
          </w:tcPr>
          <w:p>
            <w:pPr>
              <w:jc w:val="center"/>
              <w:ind w:right="320"/>
              <w:spacing w:after="0" w:line="183" w:lineRule="exact"/>
              <w:rPr>
                <w:sz w:val="20"/>
                <w:szCs w:val="20"/>
                <w:color w:val="auto"/>
              </w:rPr>
            </w:pPr>
            <w:r>
              <w:rPr>
                <w:rFonts w:ascii="Arial" w:cs="Arial" w:eastAsia="Arial" w:hAnsi="Arial"/>
                <w:sz w:val="17"/>
                <w:szCs w:val="17"/>
                <w:b w:val="1"/>
                <w:bCs w:val="1"/>
                <w:color w:val="auto"/>
                <w:w w:val="88"/>
              </w:rPr>
              <w:t>Value</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gridSpan w:val="3"/>
            <w:shd w:val="clear" w:color="auto" w:fill="F0FFFF"/>
          </w:tcPr>
          <w:p>
            <w:pPr>
              <w:ind w:left="320"/>
              <w:spacing w:after="0"/>
              <w:rPr>
                <w:sz w:val="20"/>
                <w:szCs w:val="20"/>
                <w:color w:val="auto"/>
              </w:rPr>
            </w:pPr>
            <w:r>
              <w:rPr>
                <w:rFonts w:ascii="Arial" w:cs="Arial" w:eastAsia="Arial" w:hAnsi="Arial"/>
                <w:sz w:val="17"/>
                <w:szCs w:val="17"/>
                <w:color w:val="auto"/>
              </w:rPr>
              <w:t>U.S. Treasuries</w:t>
            </w:r>
          </w:p>
        </w:tc>
        <w:tc>
          <w:tcPr>
            <w:tcW w:w="134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47,661</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753</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48,414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gridSpan w:val="3"/>
          </w:tcPr>
          <w:p>
            <w:pPr>
              <w:ind w:left="320"/>
              <w:spacing w:after="0"/>
              <w:rPr>
                <w:sz w:val="20"/>
                <w:szCs w:val="20"/>
                <w:color w:val="auto"/>
              </w:rPr>
            </w:pPr>
            <w:r>
              <w:rPr>
                <w:rFonts w:ascii="Arial" w:cs="Arial" w:eastAsia="Arial" w:hAnsi="Arial"/>
                <w:sz w:val="17"/>
                <w:szCs w:val="17"/>
                <w:color w:val="auto"/>
              </w:rPr>
              <w:t>U.S. Government agencies</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36,508</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760</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37,268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gridSpan w:val="3"/>
            <w:shd w:val="clear" w:color="auto" w:fill="F0FFFF"/>
          </w:tcPr>
          <w:p>
            <w:pPr>
              <w:ind w:left="320"/>
              <w:spacing w:after="0"/>
              <w:rPr>
                <w:sz w:val="20"/>
                <w:szCs w:val="20"/>
                <w:color w:val="auto"/>
              </w:rPr>
            </w:pPr>
            <w:r>
              <w:rPr>
                <w:rFonts w:ascii="Arial" w:cs="Arial" w:eastAsia="Arial" w:hAnsi="Arial"/>
                <w:sz w:val="17"/>
                <w:szCs w:val="17"/>
                <w:color w:val="auto"/>
              </w:rPr>
              <w:t>State and political subdivisions</w:t>
            </w:r>
          </w:p>
        </w:tc>
        <w:tc>
          <w:tcPr>
            <w:tcW w:w="1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15,864</w:t>
            </w: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491</w:t>
            </w: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3</w:t>
            </w:r>
          </w:p>
        </w:tc>
        <w:tc>
          <w:tcPr>
            <w:tcW w:w="22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16,352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gridSpan w:val="3"/>
          </w:tcPr>
          <w:p>
            <w:pPr>
              <w:ind w:left="320"/>
              <w:spacing w:after="0"/>
              <w:rPr>
                <w:sz w:val="20"/>
                <w:szCs w:val="20"/>
                <w:color w:val="auto"/>
              </w:rPr>
            </w:pPr>
            <w:r>
              <w:rPr>
                <w:rFonts w:ascii="Arial" w:cs="Arial" w:eastAsia="Arial" w:hAnsi="Arial"/>
                <w:sz w:val="17"/>
                <w:szCs w:val="17"/>
                <w:color w:val="auto"/>
              </w:rPr>
              <w:t xml:space="preserve">Mortgage-backed securities </w:t>
            </w:r>
            <w:r>
              <w:rPr>
                <w:rFonts w:ascii="Arial" w:cs="Arial" w:eastAsia="Arial" w:hAnsi="Arial"/>
                <w:sz w:val="17"/>
                <w:szCs w:val="17"/>
                <w:color w:val="auto"/>
                <w:vertAlign w:val="superscript"/>
              </w:rPr>
              <w:t>(1)</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1,023,809</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20,986</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3,681</w:t>
            </w:r>
          </w:p>
        </w:tc>
        <w:tc>
          <w:tcPr>
            <w:tcW w:w="2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1,041,114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gridSpan w:val="3"/>
            <w:shd w:val="clear" w:color="auto" w:fill="F0FFFF"/>
          </w:tcPr>
          <w:p>
            <w:pPr>
              <w:ind w:left="320"/>
              <w:spacing w:after="0"/>
              <w:rPr>
                <w:sz w:val="20"/>
                <w:szCs w:val="20"/>
                <w:color w:val="auto"/>
              </w:rPr>
            </w:pPr>
            <w:r>
              <w:rPr>
                <w:rFonts w:ascii="Arial" w:cs="Arial" w:eastAsia="Arial" w:hAnsi="Arial"/>
                <w:sz w:val="17"/>
                <w:szCs w:val="17"/>
                <w:color w:val="auto"/>
              </w:rPr>
              <w:t>Corporate bonds</w:t>
            </w:r>
          </w:p>
        </w:tc>
        <w:tc>
          <w:tcPr>
            <w:tcW w:w="1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186,126</w:t>
            </w: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2,107</w:t>
            </w: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526</w:t>
            </w:r>
          </w:p>
        </w:tc>
        <w:tc>
          <w:tcPr>
            <w:tcW w:w="22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187,707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gridSpan w:val="3"/>
          </w:tcPr>
          <w:p>
            <w:pPr>
              <w:ind w:left="320"/>
              <w:spacing w:after="0"/>
              <w:rPr>
                <w:sz w:val="20"/>
                <w:szCs w:val="20"/>
                <w:color w:val="auto"/>
              </w:rPr>
            </w:pPr>
            <w:r>
              <w:rPr>
                <w:rFonts w:ascii="Arial" w:cs="Arial" w:eastAsia="Arial" w:hAnsi="Arial"/>
                <w:sz w:val="17"/>
                <w:szCs w:val="17"/>
                <w:color w:val="auto"/>
              </w:rPr>
              <w:t>Asset-backed securities</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466,663</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2,812</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747</w:t>
            </w:r>
          </w:p>
        </w:tc>
        <w:tc>
          <w:tcPr>
            <w:tcW w:w="2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468,728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gridSpan w:val="3"/>
            <w:shd w:val="clear" w:color="auto" w:fill="F0FFFF"/>
          </w:tcPr>
          <w:p>
            <w:pPr>
              <w:ind w:left="320"/>
              <w:spacing w:after="0"/>
              <w:rPr>
                <w:sz w:val="20"/>
                <w:szCs w:val="20"/>
                <w:color w:val="auto"/>
              </w:rPr>
            </w:pPr>
            <w:r>
              <w:rPr>
                <w:rFonts w:ascii="Arial" w:cs="Arial" w:eastAsia="Arial" w:hAnsi="Arial"/>
                <w:sz w:val="17"/>
                <w:szCs w:val="17"/>
                <w:color w:val="auto"/>
              </w:rPr>
              <w:t>Other</w:t>
            </w:r>
          </w:p>
        </w:tc>
        <w:tc>
          <w:tcPr>
            <w:tcW w:w="1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2,390</w:t>
            </w: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2,390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80" w:type="dxa"/>
            <w:vAlign w:val="bottom"/>
            <w:tcBorders>
              <w:top w:val="single" w:sz="8" w:color="F0FFFF"/>
            </w:tcBorders>
          </w:tcPr>
          <w:p>
            <w:pPr>
              <w:spacing w:after="0"/>
              <w:rPr>
                <w:sz w:val="17"/>
                <w:szCs w:val="17"/>
                <w:color w:val="auto"/>
              </w:rPr>
            </w:pPr>
          </w:p>
        </w:tc>
        <w:tc>
          <w:tcPr>
            <w:tcW w:w="260" w:type="dxa"/>
            <w:vAlign w:val="bottom"/>
            <w:tcBorders>
              <w:top w:val="single" w:sz="8" w:color="F0FFFF"/>
            </w:tcBorders>
          </w:tcPr>
          <w:p>
            <w:pPr>
              <w:spacing w:after="0"/>
              <w:rPr>
                <w:sz w:val="17"/>
                <w:szCs w:val="17"/>
                <w:color w:val="auto"/>
              </w:rPr>
            </w:pPr>
          </w:p>
        </w:tc>
        <w:tc>
          <w:tcPr>
            <w:tcW w:w="1920" w:type="dxa"/>
            <w:vAlign w:val="bottom"/>
            <w:tcBorders>
              <w:top w:val="single" w:sz="8" w:color="F0FFFF"/>
            </w:tcBorders>
          </w:tcPr>
          <w:p>
            <w:pPr>
              <w:spacing w:after="0"/>
              <w:rPr>
                <w:sz w:val="17"/>
                <w:szCs w:val="17"/>
                <w:color w:val="auto"/>
              </w:rPr>
            </w:pPr>
          </w:p>
        </w:tc>
        <w:tc>
          <w:tcPr>
            <w:tcW w:w="120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F0FF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660" w:type="dxa"/>
            <w:vAlign w:val="bottom"/>
            <w:gridSpan w:val="3"/>
            <w:shd w:val="clear" w:color="auto" w:fill="F0FFFF"/>
          </w:tcPr>
          <w:p>
            <w:pPr>
              <w:ind w:left="440"/>
              <w:spacing w:after="0"/>
              <w:rPr>
                <w:sz w:val="20"/>
                <w:szCs w:val="20"/>
                <w:color w:val="auto"/>
              </w:rPr>
            </w:pPr>
            <w:r>
              <w:rPr>
                <w:rFonts w:ascii="Arial" w:cs="Arial" w:eastAsia="Arial" w:hAnsi="Arial"/>
                <w:sz w:val="17"/>
                <w:szCs w:val="17"/>
                <w:color w:val="auto"/>
              </w:rPr>
              <w:t>Total</w:t>
            </w:r>
          </w:p>
        </w:tc>
        <w:tc>
          <w:tcPr>
            <w:tcW w:w="134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1,779,021</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27,909</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4,957</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1,801,973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480" w:type="dxa"/>
            <w:vAlign w:val="bottom"/>
            <w:tcBorders>
              <w:top w:val="single" w:sz="8" w:color="F0FFFF"/>
            </w:tcBorders>
          </w:tcPr>
          <w:p>
            <w:pPr>
              <w:spacing w:after="0"/>
              <w:rPr>
                <w:sz w:val="17"/>
                <w:szCs w:val="17"/>
                <w:color w:val="auto"/>
              </w:rPr>
            </w:pPr>
          </w:p>
        </w:tc>
        <w:tc>
          <w:tcPr>
            <w:tcW w:w="260" w:type="dxa"/>
            <w:vAlign w:val="bottom"/>
            <w:tcBorders>
              <w:top w:val="single" w:sz="8" w:color="F0FFFF"/>
            </w:tcBorders>
          </w:tcPr>
          <w:p>
            <w:pPr>
              <w:spacing w:after="0"/>
              <w:rPr>
                <w:sz w:val="17"/>
                <w:szCs w:val="17"/>
                <w:color w:val="auto"/>
              </w:rPr>
            </w:pPr>
          </w:p>
        </w:tc>
        <w:tc>
          <w:tcPr>
            <w:tcW w:w="1920" w:type="dxa"/>
            <w:vAlign w:val="bottom"/>
            <w:tcBorders>
              <w:top w:val="single" w:sz="8" w:color="F0FFFF"/>
            </w:tcBorders>
          </w:tcPr>
          <w:p>
            <w:pPr>
              <w:spacing w:after="0"/>
              <w:rPr>
                <w:sz w:val="17"/>
                <w:szCs w:val="17"/>
                <w:color w:val="auto"/>
              </w:rPr>
            </w:pPr>
          </w:p>
        </w:tc>
        <w:tc>
          <w:tcPr>
            <w:tcW w:w="120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F0FF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1740" w:type="dxa"/>
            <w:vAlign w:val="bottom"/>
            <w:tcBorders>
              <w:bottom w:val="single" w:sz="8" w:color="auto"/>
            </w:tcBorders>
            <w:gridSpan w:val="2"/>
            <w:shd w:val="clear" w:color="auto" w:fill="F0FFFF"/>
          </w:tcPr>
          <w:p>
            <w:pPr>
              <w:spacing w:after="0" w:line="167" w:lineRule="exact"/>
              <w:rPr>
                <w:sz w:val="20"/>
                <w:szCs w:val="20"/>
                <w:color w:val="auto"/>
              </w:rPr>
            </w:pPr>
            <w:r>
              <w:rPr>
                <w:rFonts w:ascii="Arial" w:cs="Arial" w:eastAsia="Arial" w:hAnsi="Arial"/>
                <w:sz w:val="17"/>
                <w:szCs w:val="17"/>
                <w:color w:val="auto"/>
                <w:w w:val="89"/>
              </w:rPr>
              <w:t>As of December 31, 2014</w:t>
            </w:r>
          </w:p>
        </w:tc>
        <w:tc>
          <w:tcPr>
            <w:tcW w:w="1920" w:type="dxa"/>
            <w:vAlign w:val="bottom"/>
            <w:tcBorders>
              <w:bottom w:val="single" w:sz="8" w:color="F0FFFF"/>
            </w:tcBorders>
            <w:shd w:val="clear" w:color="auto" w:fill="F0FFFF"/>
          </w:tcPr>
          <w:p>
            <w:pPr>
              <w:spacing w:after="0"/>
              <w:rPr>
                <w:sz w:val="16"/>
                <w:szCs w:val="16"/>
                <w:color w:val="auto"/>
              </w:rPr>
            </w:pPr>
          </w:p>
        </w:tc>
        <w:tc>
          <w:tcPr>
            <w:tcW w:w="1200" w:type="dxa"/>
            <w:vAlign w:val="bottom"/>
            <w:tcBorders>
              <w:bottom w:val="single" w:sz="8" w:color="F0FFFF"/>
            </w:tcBorders>
            <w:shd w:val="clear" w:color="auto" w:fill="F0FFFF"/>
          </w:tcPr>
          <w:p>
            <w:pPr>
              <w:spacing w:after="0"/>
              <w:rPr>
                <w:sz w:val="16"/>
                <w:szCs w:val="16"/>
                <w:color w:val="auto"/>
              </w:rPr>
            </w:pPr>
          </w:p>
        </w:tc>
        <w:tc>
          <w:tcPr>
            <w:tcW w:w="140" w:type="dxa"/>
            <w:vAlign w:val="bottom"/>
            <w:tcBorders>
              <w:bottom w:val="single" w:sz="8" w:color="F0FFFF"/>
            </w:tcBorders>
            <w:shd w:val="clear" w:color="auto" w:fill="F0FFFF"/>
          </w:tcPr>
          <w:p>
            <w:pPr>
              <w:spacing w:after="0"/>
              <w:rPr>
                <w:sz w:val="16"/>
                <w:szCs w:val="16"/>
                <w:color w:val="auto"/>
              </w:rPr>
            </w:pPr>
          </w:p>
        </w:tc>
        <w:tc>
          <w:tcPr>
            <w:tcW w:w="1000" w:type="dxa"/>
            <w:vAlign w:val="bottom"/>
            <w:tcBorders>
              <w:bottom w:val="single" w:sz="8" w:color="F0FFFF"/>
            </w:tcBorders>
            <w:shd w:val="clear" w:color="auto" w:fill="F0FFFF"/>
          </w:tcPr>
          <w:p>
            <w:pPr>
              <w:spacing w:after="0"/>
              <w:rPr>
                <w:sz w:val="16"/>
                <w:szCs w:val="16"/>
                <w:color w:val="auto"/>
              </w:rPr>
            </w:pPr>
          </w:p>
        </w:tc>
        <w:tc>
          <w:tcPr>
            <w:tcW w:w="220" w:type="dxa"/>
            <w:vAlign w:val="bottom"/>
            <w:tcBorders>
              <w:bottom w:val="single" w:sz="8" w:color="F0FFFF"/>
            </w:tcBorders>
            <w:shd w:val="clear" w:color="auto" w:fill="F0FFFF"/>
          </w:tcPr>
          <w:p>
            <w:pPr>
              <w:spacing w:after="0"/>
              <w:rPr>
                <w:sz w:val="16"/>
                <w:szCs w:val="16"/>
                <w:color w:val="auto"/>
              </w:rPr>
            </w:pPr>
          </w:p>
        </w:tc>
        <w:tc>
          <w:tcPr>
            <w:tcW w:w="120" w:type="dxa"/>
            <w:vAlign w:val="bottom"/>
            <w:tcBorders>
              <w:bottom w:val="single" w:sz="8" w:color="F0FFFF"/>
            </w:tcBorders>
            <w:shd w:val="clear" w:color="auto" w:fill="F0FFFF"/>
          </w:tcPr>
          <w:p>
            <w:pPr>
              <w:spacing w:after="0"/>
              <w:rPr>
                <w:sz w:val="16"/>
                <w:szCs w:val="16"/>
                <w:color w:val="auto"/>
              </w:rPr>
            </w:pPr>
          </w:p>
        </w:tc>
        <w:tc>
          <w:tcPr>
            <w:tcW w:w="1020" w:type="dxa"/>
            <w:vAlign w:val="bottom"/>
            <w:tcBorders>
              <w:bottom w:val="single" w:sz="8" w:color="F0FFFF"/>
            </w:tcBorders>
            <w:shd w:val="clear" w:color="auto" w:fill="F0FFFF"/>
          </w:tcPr>
          <w:p>
            <w:pPr>
              <w:spacing w:after="0"/>
              <w:rPr>
                <w:sz w:val="16"/>
                <w:szCs w:val="16"/>
                <w:color w:val="auto"/>
              </w:rPr>
            </w:pPr>
          </w:p>
        </w:tc>
        <w:tc>
          <w:tcPr>
            <w:tcW w:w="240" w:type="dxa"/>
            <w:vAlign w:val="bottom"/>
            <w:tcBorders>
              <w:bottom w:val="single" w:sz="8" w:color="F0FFFF"/>
            </w:tcBorders>
            <w:shd w:val="clear" w:color="auto" w:fill="F0FFFF"/>
          </w:tcPr>
          <w:p>
            <w:pPr>
              <w:spacing w:after="0"/>
              <w:rPr>
                <w:sz w:val="16"/>
                <w:szCs w:val="16"/>
                <w:color w:val="auto"/>
              </w:rPr>
            </w:pPr>
          </w:p>
        </w:tc>
        <w:tc>
          <w:tcPr>
            <w:tcW w:w="120" w:type="dxa"/>
            <w:vAlign w:val="bottom"/>
            <w:tcBorders>
              <w:bottom w:val="single" w:sz="8" w:color="F0FFFF"/>
            </w:tcBorders>
            <w:shd w:val="clear" w:color="auto" w:fill="F0FFFF"/>
          </w:tcPr>
          <w:p>
            <w:pPr>
              <w:spacing w:after="0"/>
              <w:rPr>
                <w:sz w:val="16"/>
                <w:szCs w:val="16"/>
                <w:color w:val="auto"/>
              </w:rPr>
            </w:pPr>
          </w:p>
        </w:tc>
        <w:tc>
          <w:tcPr>
            <w:tcW w:w="1020" w:type="dxa"/>
            <w:vAlign w:val="bottom"/>
            <w:tcBorders>
              <w:bottom w:val="single" w:sz="8" w:color="F0FFFF"/>
            </w:tcBorders>
            <w:shd w:val="clear" w:color="auto" w:fill="F0FFFF"/>
          </w:tcPr>
          <w:p>
            <w:pPr>
              <w:spacing w:after="0"/>
              <w:rPr>
                <w:sz w:val="16"/>
                <w:szCs w:val="16"/>
                <w:color w:val="auto"/>
              </w:rPr>
            </w:pPr>
          </w:p>
        </w:tc>
        <w:tc>
          <w:tcPr>
            <w:tcW w:w="240" w:type="dxa"/>
            <w:vAlign w:val="bottom"/>
            <w:tcBorders>
              <w:bottom w:val="single" w:sz="8" w:color="F0FFFF"/>
            </w:tcBorders>
            <w:shd w:val="clear" w:color="auto" w:fill="F0FFFF"/>
          </w:tcPr>
          <w:p>
            <w:pPr>
              <w:spacing w:after="0"/>
              <w:rPr>
                <w:sz w:val="16"/>
                <w:szCs w:val="16"/>
                <w:color w:val="auto"/>
              </w:rPr>
            </w:pPr>
          </w:p>
        </w:tc>
        <w:tc>
          <w:tcPr>
            <w:tcW w:w="220" w:type="dxa"/>
            <w:vAlign w:val="bottom"/>
            <w:tcBorders>
              <w:bottom w:val="single" w:sz="8" w:color="F0FFFF"/>
            </w:tcBorders>
            <w:shd w:val="clear" w:color="auto" w:fill="F0FFFF"/>
          </w:tcPr>
          <w:p>
            <w:pPr>
              <w:spacing w:after="0"/>
              <w:rPr>
                <w:sz w:val="16"/>
                <w:szCs w:val="16"/>
                <w:color w:val="auto"/>
              </w:rPr>
            </w:pPr>
          </w:p>
        </w:tc>
        <w:tc>
          <w:tcPr>
            <w:tcW w:w="940" w:type="dxa"/>
            <w:vAlign w:val="bottom"/>
            <w:tcBorders>
              <w:bottom w:val="single" w:sz="8" w:color="F0FFFF"/>
            </w:tcBorders>
            <w:shd w:val="clear" w:color="auto" w:fill="F0FFFF"/>
          </w:tcPr>
          <w:p>
            <w:pPr>
              <w:spacing w:after="0"/>
              <w:rPr>
                <w:sz w:val="16"/>
                <w:szCs w:val="16"/>
                <w:color w:val="auto"/>
              </w:rPr>
            </w:pPr>
          </w:p>
        </w:tc>
        <w:tc>
          <w:tcPr>
            <w:tcW w:w="100" w:type="dxa"/>
            <w:vAlign w:val="bottom"/>
            <w:tcBorders>
              <w:bottom w:val="single" w:sz="8" w:color="F0FFFF"/>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gridSpan w:val="3"/>
          </w:tcPr>
          <w:p>
            <w:pPr>
              <w:ind w:left="320"/>
              <w:spacing w:after="0"/>
              <w:rPr>
                <w:sz w:val="20"/>
                <w:szCs w:val="20"/>
                <w:color w:val="auto"/>
              </w:rPr>
            </w:pPr>
            <w:r>
              <w:rPr>
                <w:rFonts w:ascii="Arial" w:cs="Arial" w:eastAsia="Arial" w:hAnsi="Arial"/>
                <w:sz w:val="17"/>
                <w:szCs w:val="17"/>
                <w:color w:val="auto"/>
              </w:rPr>
              <w:t>U.S. Treasuries</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105,540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235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66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105,709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gridSpan w:val="3"/>
            <w:shd w:val="clear" w:color="auto" w:fill="F0FFFF"/>
          </w:tcPr>
          <w:p>
            <w:pPr>
              <w:ind w:left="320"/>
              <w:spacing w:after="0"/>
              <w:rPr>
                <w:sz w:val="20"/>
                <w:szCs w:val="20"/>
                <w:color w:val="auto"/>
              </w:rPr>
            </w:pPr>
            <w:r>
              <w:rPr>
                <w:rFonts w:ascii="Arial" w:cs="Arial" w:eastAsia="Arial" w:hAnsi="Arial"/>
                <w:sz w:val="17"/>
                <w:szCs w:val="17"/>
                <w:color w:val="auto"/>
              </w:rPr>
              <w:t>U.S. Government agencies</w:t>
            </w:r>
          </w:p>
        </w:tc>
        <w:tc>
          <w:tcPr>
            <w:tcW w:w="1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36,474</w:t>
            </w: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175</w:t>
            </w:r>
          </w:p>
        </w:tc>
        <w:tc>
          <w:tcPr>
            <w:tcW w:w="22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36,299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gridSpan w:val="3"/>
          </w:tcPr>
          <w:p>
            <w:pPr>
              <w:ind w:left="320"/>
              <w:spacing w:after="0"/>
              <w:rPr>
                <w:sz w:val="20"/>
                <w:szCs w:val="20"/>
                <w:color w:val="auto"/>
              </w:rPr>
            </w:pPr>
            <w:r>
              <w:rPr>
                <w:rFonts w:ascii="Arial" w:cs="Arial" w:eastAsia="Arial" w:hAnsi="Arial"/>
                <w:sz w:val="17"/>
                <w:szCs w:val="17"/>
                <w:color w:val="auto"/>
              </w:rPr>
              <w:t>State and political subdivisions</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19,748</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504</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19</w:t>
            </w:r>
          </w:p>
        </w:tc>
        <w:tc>
          <w:tcPr>
            <w:tcW w:w="2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20,233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gridSpan w:val="3"/>
            <w:shd w:val="clear" w:color="auto" w:fill="F0FFFF"/>
          </w:tcPr>
          <w:p>
            <w:pPr>
              <w:ind w:left="320"/>
              <w:spacing w:after="0"/>
              <w:rPr>
                <w:sz w:val="20"/>
                <w:szCs w:val="20"/>
                <w:color w:val="auto"/>
              </w:rPr>
            </w:pPr>
            <w:r>
              <w:rPr>
                <w:rFonts w:ascii="Arial" w:cs="Arial" w:eastAsia="Arial" w:hAnsi="Arial"/>
                <w:sz w:val="17"/>
                <w:szCs w:val="17"/>
                <w:color w:val="auto"/>
              </w:rPr>
              <w:t xml:space="preserve">Mortgage-backed securities </w:t>
            </w:r>
            <w:r>
              <w:rPr>
                <w:rFonts w:ascii="Arial" w:cs="Arial" w:eastAsia="Arial" w:hAnsi="Arial"/>
                <w:sz w:val="17"/>
                <w:szCs w:val="17"/>
                <w:color w:val="auto"/>
                <w:vertAlign w:val="superscript"/>
              </w:rPr>
              <w:t>(1)</w:t>
            </w:r>
          </w:p>
        </w:tc>
        <w:tc>
          <w:tcPr>
            <w:tcW w:w="1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988,012</w:t>
            </w: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16,273</w:t>
            </w: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7,465</w:t>
            </w:r>
          </w:p>
        </w:tc>
        <w:tc>
          <w:tcPr>
            <w:tcW w:w="22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996,820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gridSpan w:val="3"/>
          </w:tcPr>
          <w:p>
            <w:pPr>
              <w:ind w:left="320"/>
              <w:spacing w:after="0"/>
              <w:rPr>
                <w:sz w:val="20"/>
                <w:szCs w:val="20"/>
                <w:color w:val="auto"/>
              </w:rPr>
            </w:pPr>
            <w:r>
              <w:rPr>
                <w:rFonts w:ascii="Arial" w:cs="Arial" w:eastAsia="Arial" w:hAnsi="Arial"/>
                <w:sz w:val="17"/>
                <w:szCs w:val="17"/>
                <w:color w:val="auto"/>
              </w:rPr>
              <w:t>Corporate bonds</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165,018</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1,686</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1,076</w:t>
            </w:r>
          </w:p>
        </w:tc>
        <w:tc>
          <w:tcPr>
            <w:tcW w:w="2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165,628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gridSpan w:val="3"/>
            <w:shd w:val="clear" w:color="auto" w:fill="F0FFFF"/>
          </w:tcPr>
          <w:p>
            <w:pPr>
              <w:ind w:left="320"/>
              <w:spacing w:after="0"/>
              <w:rPr>
                <w:sz w:val="20"/>
                <w:szCs w:val="20"/>
                <w:color w:val="auto"/>
              </w:rPr>
            </w:pPr>
            <w:r>
              <w:rPr>
                <w:rFonts w:ascii="Arial" w:cs="Arial" w:eastAsia="Arial" w:hAnsi="Arial"/>
                <w:sz w:val="17"/>
                <w:szCs w:val="17"/>
                <w:color w:val="auto"/>
              </w:rPr>
              <w:t>Asset-backed securities</w:t>
            </w:r>
          </w:p>
        </w:tc>
        <w:tc>
          <w:tcPr>
            <w:tcW w:w="1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455,626</w:t>
            </w: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2,257</w:t>
            </w: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1,955</w:t>
            </w:r>
          </w:p>
        </w:tc>
        <w:tc>
          <w:tcPr>
            <w:tcW w:w="22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455,928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gridSpan w:val="3"/>
          </w:tcPr>
          <w:p>
            <w:pPr>
              <w:ind w:left="320"/>
              <w:spacing w:after="0"/>
              <w:rPr>
                <w:sz w:val="20"/>
                <w:szCs w:val="20"/>
                <w:color w:val="auto"/>
              </w:rPr>
            </w:pPr>
            <w:r>
              <w:rPr>
                <w:rFonts w:ascii="Arial" w:cs="Arial" w:eastAsia="Arial" w:hAnsi="Arial"/>
                <w:sz w:val="17"/>
                <w:szCs w:val="17"/>
                <w:color w:val="auto"/>
              </w:rPr>
              <w:t>Other</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2,117</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2,117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920" w:type="dxa"/>
            <w:vAlign w:val="bottom"/>
            <w:shd w:val="clear" w:color="auto" w:fill="F0FFFF"/>
          </w:tcPr>
          <w:p>
            <w:pPr>
              <w:spacing w:after="0"/>
              <w:rPr>
                <w:sz w:val="17"/>
                <w:szCs w:val="17"/>
                <w:color w:val="auto"/>
              </w:rPr>
            </w:pPr>
          </w:p>
        </w:tc>
        <w:tc>
          <w:tcPr>
            <w:tcW w:w="1200" w:type="dxa"/>
            <w:vAlign w:val="bottom"/>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100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1020" w:type="dxa"/>
            <w:vAlign w:val="bottom"/>
            <w:tcBorders>
              <w:top w:val="single" w:sz="8" w:color="auto"/>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1020" w:type="dxa"/>
            <w:vAlign w:val="bottom"/>
            <w:tcBorders>
              <w:top w:val="single" w:sz="8" w:color="auto"/>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20" w:type="dxa"/>
            <w:vAlign w:val="bottom"/>
            <w:tcBorders>
              <w:top w:val="single" w:sz="8" w:color="auto"/>
            </w:tcBorders>
            <w:shd w:val="clear" w:color="auto" w:fill="F0FFFF"/>
          </w:tcPr>
          <w:p>
            <w:pPr>
              <w:spacing w:after="0"/>
              <w:rPr>
                <w:sz w:val="17"/>
                <w:szCs w:val="17"/>
                <w:color w:val="auto"/>
              </w:rPr>
            </w:pPr>
          </w:p>
        </w:tc>
        <w:tc>
          <w:tcPr>
            <w:tcW w:w="94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gridSpan w:val="3"/>
          </w:tcPr>
          <w:p>
            <w:pPr>
              <w:ind w:left="440"/>
              <w:spacing w:after="0"/>
              <w:rPr>
                <w:sz w:val="20"/>
                <w:szCs w:val="20"/>
                <w:color w:val="auto"/>
              </w:rPr>
            </w:pPr>
            <w:r>
              <w:rPr>
                <w:rFonts w:ascii="Arial" w:cs="Arial" w:eastAsia="Arial" w:hAnsi="Arial"/>
                <w:sz w:val="17"/>
                <w:szCs w:val="17"/>
                <w:color w:val="auto"/>
              </w:rPr>
              <w:t>Total</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1,772,535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20,955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10,756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1,782,734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14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920" w:type="dxa"/>
            <w:vAlign w:val="bottom"/>
            <w:shd w:val="clear" w:color="auto" w:fill="F0FFFF"/>
          </w:tcPr>
          <w:p>
            <w:pPr>
              <w:spacing w:after="0"/>
              <w:rPr>
                <w:sz w:val="17"/>
                <w:szCs w:val="17"/>
                <w:color w:val="auto"/>
              </w:rPr>
            </w:pPr>
          </w:p>
        </w:tc>
        <w:tc>
          <w:tcPr>
            <w:tcW w:w="1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3660" w:type="dxa"/>
            <w:vAlign w:val="bottom"/>
            <w:gridSpan w:val="3"/>
          </w:tcPr>
          <w:p>
            <w:pPr>
              <w:spacing w:after="0" w:line="167" w:lineRule="exact"/>
              <w:rPr>
                <w:sz w:val="20"/>
                <w:szCs w:val="20"/>
                <w:color w:val="auto"/>
              </w:rPr>
            </w:pPr>
            <w:r>
              <w:rPr>
                <w:rFonts w:ascii="Arial" w:cs="Arial" w:eastAsia="Arial" w:hAnsi="Arial"/>
                <w:sz w:val="17"/>
                <w:szCs w:val="17"/>
                <w:color w:val="auto"/>
              </w:rPr>
              <w:t>As of March 31, 2014</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3660" w:type="dxa"/>
            <w:vAlign w:val="bottom"/>
            <w:gridSpan w:val="3"/>
            <w:shd w:val="clear" w:color="auto" w:fill="F0FFFF"/>
          </w:tcPr>
          <w:p>
            <w:pPr>
              <w:ind w:left="320"/>
              <w:spacing w:after="0"/>
              <w:rPr>
                <w:sz w:val="20"/>
                <w:szCs w:val="20"/>
                <w:color w:val="auto"/>
              </w:rPr>
            </w:pPr>
            <w:r>
              <w:rPr>
                <w:rFonts w:ascii="Arial" w:cs="Arial" w:eastAsia="Arial" w:hAnsi="Arial"/>
                <w:sz w:val="17"/>
                <w:szCs w:val="17"/>
                <w:color w:val="auto"/>
              </w:rPr>
              <w:t>State and political subdivisions</w:t>
            </w:r>
          </w:p>
        </w:tc>
        <w:tc>
          <w:tcPr>
            <w:tcW w:w="134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22,244</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842</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80</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23,006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gridSpan w:val="3"/>
          </w:tcPr>
          <w:p>
            <w:pPr>
              <w:ind w:left="320"/>
              <w:spacing w:after="0"/>
              <w:rPr>
                <w:sz w:val="20"/>
                <w:szCs w:val="20"/>
                <w:color w:val="auto"/>
              </w:rPr>
            </w:pPr>
            <w:r>
              <w:rPr>
                <w:rFonts w:ascii="Arial" w:cs="Arial" w:eastAsia="Arial" w:hAnsi="Arial"/>
                <w:sz w:val="17"/>
                <w:szCs w:val="17"/>
                <w:color w:val="auto"/>
              </w:rPr>
              <w:t xml:space="preserve">Mortgage-backed securities </w:t>
            </w:r>
            <w:r>
              <w:rPr>
                <w:rFonts w:ascii="Arial" w:cs="Arial" w:eastAsia="Arial" w:hAnsi="Arial"/>
                <w:sz w:val="17"/>
                <w:szCs w:val="17"/>
                <w:color w:val="auto"/>
                <w:vertAlign w:val="superscript"/>
              </w:rPr>
              <w:t>(1)</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1,126,227</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13,213</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11,328</w:t>
            </w:r>
          </w:p>
        </w:tc>
        <w:tc>
          <w:tcPr>
            <w:tcW w:w="2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1,128,112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gridSpan w:val="3"/>
            <w:shd w:val="clear" w:color="auto" w:fill="F0FFFF"/>
          </w:tcPr>
          <w:p>
            <w:pPr>
              <w:ind w:left="320"/>
              <w:spacing w:after="0"/>
              <w:rPr>
                <w:sz w:val="20"/>
                <w:szCs w:val="20"/>
                <w:color w:val="auto"/>
              </w:rPr>
            </w:pPr>
            <w:r>
              <w:rPr>
                <w:rFonts w:ascii="Arial" w:cs="Arial" w:eastAsia="Arial" w:hAnsi="Arial"/>
                <w:sz w:val="17"/>
                <w:szCs w:val="17"/>
                <w:color w:val="auto"/>
              </w:rPr>
              <w:t>Corporate bonds</w:t>
            </w:r>
          </w:p>
        </w:tc>
        <w:tc>
          <w:tcPr>
            <w:tcW w:w="1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255,238</w:t>
            </w: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1,616</w:t>
            </w: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4,930</w:t>
            </w:r>
          </w:p>
        </w:tc>
        <w:tc>
          <w:tcPr>
            <w:tcW w:w="22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251,924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660" w:type="dxa"/>
            <w:vAlign w:val="bottom"/>
            <w:gridSpan w:val="3"/>
          </w:tcPr>
          <w:p>
            <w:pPr>
              <w:ind w:left="320"/>
              <w:spacing w:after="0"/>
              <w:rPr>
                <w:sz w:val="20"/>
                <w:szCs w:val="20"/>
                <w:color w:val="auto"/>
              </w:rPr>
            </w:pPr>
            <w:r>
              <w:rPr>
                <w:rFonts w:ascii="Arial" w:cs="Arial" w:eastAsia="Arial" w:hAnsi="Arial"/>
                <w:sz w:val="17"/>
                <w:szCs w:val="17"/>
                <w:color w:val="auto"/>
              </w:rPr>
              <w:t>Asset-backed securities</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429,492</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3,003</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433</w:t>
            </w:r>
          </w:p>
        </w:tc>
        <w:tc>
          <w:tcPr>
            <w:tcW w:w="2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432,062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gridSpan w:val="3"/>
            <w:shd w:val="clear" w:color="auto" w:fill="F0FFFF"/>
          </w:tcPr>
          <w:p>
            <w:pPr>
              <w:ind w:left="320"/>
              <w:spacing w:after="0"/>
              <w:rPr>
                <w:sz w:val="20"/>
                <w:szCs w:val="20"/>
                <w:color w:val="auto"/>
              </w:rPr>
            </w:pPr>
            <w:r>
              <w:rPr>
                <w:rFonts w:ascii="Arial" w:cs="Arial" w:eastAsia="Arial" w:hAnsi="Arial"/>
                <w:sz w:val="17"/>
                <w:szCs w:val="17"/>
                <w:color w:val="auto"/>
              </w:rPr>
              <w:t>Other</w:t>
            </w:r>
          </w:p>
        </w:tc>
        <w:tc>
          <w:tcPr>
            <w:tcW w:w="1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2,572</w:t>
            </w: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2,572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80" w:type="dxa"/>
            <w:vAlign w:val="bottom"/>
            <w:tcBorders>
              <w:top w:val="single" w:sz="8" w:color="F0FFFF"/>
            </w:tcBorders>
          </w:tcPr>
          <w:p>
            <w:pPr>
              <w:spacing w:after="0"/>
              <w:rPr>
                <w:sz w:val="17"/>
                <w:szCs w:val="17"/>
                <w:color w:val="auto"/>
              </w:rPr>
            </w:pPr>
          </w:p>
        </w:tc>
        <w:tc>
          <w:tcPr>
            <w:tcW w:w="260" w:type="dxa"/>
            <w:vAlign w:val="bottom"/>
            <w:tcBorders>
              <w:top w:val="single" w:sz="8" w:color="F0FFFF"/>
            </w:tcBorders>
          </w:tcPr>
          <w:p>
            <w:pPr>
              <w:spacing w:after="0"/>
              <w:rPr>
                <w:sz w:val="17"/>
                <w:szCs w:val="17"/>
                <w:color w:val="auto"/>
              </w:rPr>
            </w:pPr>
          </w:p>
        </w:tc>
        <w:tc>
          <w:tcPr>
            <w:tcW w:w="1920" w:type="dxa"/>
            <w:vAlign w:val="bottom"/>
            <w:tcBorders>
              <w:top w:val="single" w:sz="8" w:color="F0FFFF"/>
            </w:tcBorders>
          </w:tcPr>
          <w:p>
            <w:pPr>
              <w:spacing w:after="0"/>
              <w:rPr>
                <w:sz w:val="17"/>
                <w:szCs w:val="17"/>
                <w:color w:val="auto"/>
              </w:rPr>
            </w:pPr>
          </w:p>
        </w:tc>
        <w:tc>
          <w:tcPr>
            <w:tcW w:w="120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F0FF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60" w:type="dxa"/>
            <w:vAlign w:val="bottom"/>
            <w:gridSpan w:val="3"/>
            <w:shd w:val="clear" w:color="auto" w:fill="F0FFFF"/>
          </w:tcPr>
          <w:p>
            <w:pPr>
              <w:ind w:left="440"/>
              <w:spacing w:after="0"/>
              <w:rPr>
                <w:sz w:val="20"/>
                <w:szCs w:val="20"/>
                <w:color w:val="auto"/>
              </w:rPr>
            </w:pPr>
            <w:r>
              <w:rPr>
                <w:rFonts w:ascii="Arial" w:cs="Arial" w:eastAsia="Arial" w:hAnsi="Arial"/>
                <w:sz w:val="17"/>
                <w:szCs w:val="17"/>
                <w:color w:val="auto"/>
              </w:rPr>
              <w:t>Total</w:t>
            </w:r>
          </w:p>
        </w:tc>
        <w:tc>
          <w:tcPr>
            <w:tcW w:w="1200" w:type="dxa"/>
            <w:vAlign w:val="bottom"/>
            <w:shd w:val="clear" w:color="auto" w:fill="F0FFFF"/>
          </w:tcPr>
          <w:p>
            <w:pPr>
              <w:spacing w:after="0"/>
              <w:rPr>
                <w:sz w:val="19"/>
                <w:szCs w:val="19"/>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1,835,773</w:t>
            </w:r>
          </w:p>
        </w:tc>
        <w:tc>
          <w:tcPr>
            <w:tcW w:w="220" w:type="dxa"/>
            <w:vAlign w:val="bottom"/>
            <w:shd w:val="clear" w:color="auto" w:fill="F0FFFF"/>
          </w:tcPr>
          <w:p>
            <w:pPr>
              <w:spacing w:after="0"/>
              <w:rPr>
                <w:sz w:val="19"/>
                <w:szCs w:val="19"/>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18,674</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16,771</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1,837,676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920" w:type="dxa"/>
            <w:vAlign w:val="bottom"/>
            <w:tcBorders>
              <w:top w:val="single" w:sz="8" w:color="F0FFFF"/>
            </w:tcBorders>
            <w:shd w:val="clear" w:color="auto" w:fill="F0FFFF"/>
          </w:tcPr>
          <w:p>
            <w:pPr>
              <w:spacing w:after="0" w:line="20" w:lineRule="exact"/>
              <w:rPr>
                <w:sz w:val="1"/>
                <w:szCs w:val="1"/>
                <w:color w:val="auto"/>
              </w:rPr>
            </w:pPr>
          </w:p>
        </w:tc>
        <w:tc>
          <w:tcPr>
            <w:tcW w:w="120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640" w:right="3040" w:hanging="5637"/>
        <w:spacing w:after="0" w:line="797" w:lineRule="auto"/>
        <w:tabs>
          <w:tab w:leader="none" w:pos="142" w:val="left"/>
        </w:tabs>
        <w:numPr>
          <w:ilvl w:val="0"/>
          <w:numId w:val="4"/>
        </w:numPr>
        <w:rPr>
          <w:rFonts w:ascii="Arial" w:cs="Arial" w:eastAsia="Arial" w:hAnsi="Arial"/>
          <w:sz w:val="17"/>
          <w:szCs w:val="17"/>
          <w:color w:val="auto"/>
          <w:vertAlign w:val="superscript"/>
        </w:rPr>
      </w:pPr>
      <w:r>
        <w:rPr>
          <w:rFonts w:ascii="Arial" w:cs="Arial" w:eastAsia="Arial" w:hAnsi="Arial"/>
          <w:sz w:val="17"/>
          <w:szCs w:val="17"/>
          <w:color w:val="auto"/>
        </w:rPr>
        <w:t>All are residential type mortgage-backed securities and U.S.government agency commercial mortgage backed securities.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-286385</wp:posOffset>
            </wp:positionV>
            <wp:extent cx="7253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7"/>
          <w:szCs w:val="17"/>
          <w:b w:val="1"/>
          <w:bCs w:val="1"/>
          <w:color w:val="auto"/>
        </w:rPr>
        <w:t>UNITED COMMUNITY BANKS,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The following table summarizes available-for-sale securities in an unrealized loss position as of March 31, 2015, December 31, 2014 and March 31, 2014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thousands)</w:t>
      </w:r>
      <w:r>
        <w:rPr>
          <w:rFonts w:ascii="Arial" w:cs="Arial" w:eastAsia="Arial" w:hAnsi="Arial"/>
          <w:sz w:val="17"/>
          <w:szCs w:val="17"/>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40" w:type="dxa"/>
            <w:vAlign w:val="bottom"/>
            <w:gridSpan w:val="6"/>
          </w:tcPr>
          <w:p>
            <w:pPr>
              <w:jc w:val="right"/>
              <w:ind w:right="760"/>
              <w:spacing w:after="0"/>
              <w:rPr>
                <w:sz w:val="20"/>
                <w:szCs w:val="20"/>
                <w:color w:val="auto"/>
              </w:rPr>
            </w:pPr>
            <w:r>
              <w:rPr>
                <w:rFonts w:ascii="Arial" w:cs="Arial" w:eastAsia="Arial" w:hAnsi="Arial"/>
                <w:sz w:val="17"/>
                <w:szCs w:val="17"/>
                <w:b w:val="1"/>
                <w:bCs w:val="1"/>
                <w:color w:val="auto"/>
              </w:rPr>
              <w:t>Less than 12 Months</w:t>
            </w:r>
          </w:p>
        </w:tc>
        <w:tc>
          <w:tcPr>
            <w:tcW w:w="140" w:type="dxa"/>
            <w:vAlign w:val="bottom"/>
          </w:tcPr>
          <w:p>
            <w:pPr>
              <w:spacing w:after="0"/>
              <w:rPr>
                <w:sz w:val="19"/>
                <w:szCs w:val="19"/>
                <w:color w:val="auto"/>
              </w:rPr>
            </w:pPr>
          </w:p>
        </w:tc>
        <w:tc>
          <w:tcPr>
            <w:tcW w:w="2620" w:type="dxa"/>
            <w:vAlign w:val="bottom"/>
            <w:gridSpan w:val="5"/>
          </w:tcPr>
          <w:p>
            <w:pPr>
              <w:ind w:left="420"/>
              <w:spacing w:after="0"/>
              <w:rPr>
                <w:sz w:val="20"/>
                <w:szCs w:val="20"/>
                <w:color w:val="auto"/>
              </w:rPr>
            </w:pPr>
            <w:r>
              <w:rPr>
                <w:rFonts w:ascii="Arial" w:cs="Arial" w:eastAsia="Arial" w:hAnsi="Arial"/>
                <w:sz w:val="17"/>
                <w:szCs w:val="17"/>
                <w:b w:val="1"/>
                <w:bCs w:val="1"/>
                <w:color w:val="auto"/>
              </w:rPr>
              <w:t>12 Months or More</w:t>
            </w:r>
          </w:p>
        </w:tc>
        <w:tc>
          <w:tcPr>
            <w:tcW w:w="140" w:type="dxa"/>
            <w:vAlign w:val="bottom"/>
          </w:tcPr>
          <w:p>
            <w:pPr>
              <w:spacing w:after="0"/>
              <w:rPr>
                <w:sz w:val="19"/>
                <w:szCs w:val="19"/>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7"/>
                <w:szCs w:val="17"/>
                <w:b w:val="1"/>
                <w:bCs w:val="1"/>
                <w:color w:val="auto"/>
              </w:rPr>
              <w:t>Total</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w w:val="95"/>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5"/>
              <w:spacing w:after="0" w:line="189" w:lineRule="exact"/>
              <w:rPr>
                <w:sz w:val="20"/>
                <w:szCs w:val="20"/>
                <w:color w:val="auto"/>
              </w:rPr>
            </w:pPr>
            <w:r>
              <w:rPr>
                <w:rFonts w:ascii="Arial" w:cs="Arial" w:eastAsia="Arial" w:hAnsi="Arial"/>
                <w:sz w:val="17"/>
                <w:szCs w:val="17"/>
                <w:b w:val="1"/>
                <w:bCs w:val="1"/>
                <w:color w:val="auto"/>
                <w:w w:val="92"/>
              </w:rPr>
              <w:t>Unrealized</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w w:val="95"/>
              </w:rPr>
              <w:t>Unrealized</w:t>
            </w:r>
          </w:p>
        </w:tc>
        <w:tc>
          <w:tcPr>
            <w:tcW w:w="100" w:type="dxa"/>
            <w:vAlign w:val="bottom"/>
          </w:tcPr>
          <w:p>
            <w:pPr>
              <w:spacing w:after="0"/>
              <w:rPr>
                <w:sz w:val="16"/>
                <w:szCs w:val="16"/>
                <w:color w:val="auto"/>
              </w:rPr>
            </w:pPr>
          </w:p>
        </w:tc>
      </w:tr>
      <w:tr>
        <w:trPr>
          <w:trHeight w:val="183"/>
        </w:trPr>
        <w:tc>
          <w:tcPr>
            <w:tcW w:w="2780" w:type="dxa"/>
            <w:vAlign w:val="bottom"/>
            <w:gridSpan w:val="3"/>
          </w:tcPr>
          <w:p>
            <w:pPr>
              <w:spacing w:after="0" w:line="183" w:lineRule="exact"/>
              <w:rPr>
                <w:sz w:val="20"/>
                <w:szCs w:val="20"/>
                <w:color w:val="auto"/>
              </w:rPr>
            </w:pPr>
            <w:r>
              <w:rPr>
                <w:rFonts w:ascii="Arial" w:cs="Arial" w:eastAsia="Arial" w:hAnsi="Arial"/>
                <w:sz w:val="17"/>
                <w:szCs w:val="17"/>
                <w:color w:val="auto"/>
              </w:rPr>
              <w:t>As of March 31, 2015</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60"/>
              <w:spacing w:after="0" w:line="183" w:lineRule="exact"/>
              <w:rPr>
                <w:sz w:val="20"/>
                <w:szCs w:val="20"/>
                <w:color w:val="auto"/>
              </w:rPr>
            </w:pPr>
            <w:r>
              <w:rPr>
                <w:rFonts w:ascii="Arial" w:cs="Arial" w:eastAsia="Arial" w:hAnsi="Arial"/>
                <w:sz w:val="17"/>
                <w:szCs w:val="17"/>
                <w:b w:val="1"/>
                <w:bCs w:val="1"/>
                <w:color w:val="auto"/>
              </w:rPr>
              <w:t>Fair Value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640"/>
              <w:spacing w:after="0" w:line="183" w:lineRule="exact"/>
              <w:rPr>
                <w:sz w:val="20"/>
                <w:szCs w:val="20"/>
                <w:color w:val="auto"/>
              </w:rPr>
            </w:pPr>
            <w:r>
              <w:rPr>
                <w:rFonts w:ascii="Arial" w:cs="Arial" w:eastAsia="Arial" w:hAnsi="Arial"/>
                <w:sz w:val="17"/>
                <w:szCs w:val="17"/>
                <w:b w:val="1"/>
                <w:bCs w:val="1"/>
                <w:color w:val="auto"/>
              </w:rPr>
              <w:t>Loss</w:t>
            </w:r>
          </w:p>
        </w:tc>
        <w:tc>
          <w:tcPr>
            <w:tcW w:w="140" w:type="dxa"/>
            <w:vAlign w:val="bottom"/>
          </w:tcPr>
          <w:p>
            <w:pPr>
              <w:spacing w:after="0"/>
              <w:rPr>
                <w:sz w:val="15"/>
                <w:szCs w:val="15"/>
                <w:color w:val="auto"/>
              </w:rPr>
            </w:pPr>
          </w:p>
        </w:tc>
        <w:tc>
          <w:tcPr>
            <w:tcW w:w="1240" w:type="dxa"/>
            <w:vAlign w:val="bottom"/>
            <w:gridSpan w:val="2"/>
          </w:tcPr>
          <w:p>
            <w:pPr>
              <w:jc w:val="right"/>
              <w:ind w:right="420"/>
              <w:spacing w:after="0" w:line="183" w:lineRule="exact"/>
              <w:rPr>
                <w:sz w:val="20"/>
                <w:szCs w:val="20"/>
                <w:color w:val="auto"/>
              </w:rPr>
            </w:pPr>
            <w:r>
              <w:rPr>
                <w:rFonts w:ascii="Arial" w:cs="Arial" w:eastAsia="Arial" w:hAnsi="Arial"/>
                <w:sz w:val="17"/>
                <w:szCs w:val="17"/>
                <w:b w:val="1"/>
                <w:bCs w:val="1"/>
                <w:color w:val="auto"/>
                <w:w w:val="98"/>
              </w:rPr>
              <w:t>Fair Value</w:t>
            </w:r>
          </w:p>
        </w:tc>
        <w:tc>
          <w:tcPr>
            <w:tcW w:w="120" w:type="dxa"/>
            <w:vAlign w:val="bottom"/>
          </w:tcPr>
          <w:p>
            <w:pPr>
              <w:spacing w:after="0"/>
              <w:rPr>
                <w:sz w:val="15"/>
                <w:szCs w:val="15"/>
                <w:color w:val="auto"/>
              </w:rPr>
            </w:pPr>
          </w:p>
        </w:tc>
        <w:tc>
          <w:tcPr>
            <w:tcW w:w="1260" w:type="dxa"/>
            <w:vAlign w:val="bottom"/>
            <w:gridSpan w:val="2"/>
          </w:tcPr>
          <w:p>
            <w:pPr>
              <w:jc w:val="center"/>
              <w:ind w:right="360"/>
              <w:spacing w:after="0" w:line="183" w:lineRule="exact"/>
              <w:rPr>
                <w:sz w:val="20"/>
                <w:szCs w:val="20"/>
                <w:color w:val="auto"/>
              </w:rPr>
            </w:pPr>
            <w:r>
              <w:rPr>
                <w:rFonts w:ascii="Arial" w:cs="Arial" w:eastAsia="Arial" w:hAnsi="Arial"/>
                <w:sz w:val="17"/>
                <w:szCs w:val="17"/>
                <w:b w:val="1"/>
                <w:bCs w:val="1"/>
                <w:color w:val="auto"/>
                <w:w w:val="85"/>
              </w:rPr>
              <w:t>Loss</w:t>
            </w:r>
          </w:p>
        </w:tc>
        <w:tc>
          <w:tcPr>
            <w:tcW w:w="140" w:type="dxa"/>
            <w:vAlign w:val="bottom"/>
          </w:tcPr>
          <w:p>
            <w:pPr>
              <w:spacing w:after="0"/>
              <w:rPr>
                <w:sz w:val="15"/>
                <w:szCs w:val="15"/>
                <w:color w:val="auto"/>
              </w:rPr>
            </w:pPr>
          </w:p>
        </w:tc>
        <w:tc>
          <w:tcPr>
            <w:tcW w:w="1100" w:type="dxa"/>
            <w:vAlign w:val="bottom"/>
            <w:gridSpan w:val="2"/>
          </w:tcPr>
          <w:p>
            <w:pPr>
              <w:jc w:val="right"/>
              <w:ind w:right="300"/>
              <w:spacing w:after="0" w:line="183" w:lineRule="exact"/>
              <w:rPr>
                <w:sz w:val="20"/>
                <w:szCs w:val="20"/>
                <w:color w:val="auto"/>
              </w:rPr>
            </w:pPr>
            <w:r>
              <w:rPr>
                <w:rFonts w:ascii="Arial" w:cs="Arial" w:eastAsia="Arial" w:hAnsi="Arial"/>
                <w:sz w:val="17"/>
                <w:szCs w:val="17"/>
                <w:b w:val="1"/>
                <w:bCs w:val="1"/>
                <w:color w:val="auto"/>
                <w:w w:val="95"/>
              </w:rPr>
              <w:t>Fair Value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500"/>
              <w:spacing w:after="0" w:line="183" w:lineRule="exact"/>
              <w:rPr>
                <w:sz w:val="20"/>
                <w:szCs w:val="20"/>
                <w:color w:val="auto"/>
              </w:rPr>
            </w:pPr>
            <w:r>
              <w:rPr>
                <w:rFonts w:ascii="Arial" w:cs="Arial" w:eastAsia="Arial" w:hAnsi="Arial"/>
                <w:sz w:val="17"/>
                <w:szCs w:val="17"/>
                <w:b w:val="1"/>
                <w:bCs w:val="1"/>
                <w:color w:val="auto"/>
              </w:rPr>
              <w:t>Loss</w:t>
            </w:r>
          </w:p>
        </w:tc>
      </w:tr>
      <w:tr>
        <w:trPr>
          <w:trHeight w:val="24"/>
        </w:trPr>
        <w:tc>
          <w:tcPr>
            <w:tcW w:w="15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278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State and political subdivisions</w:t>
            </w:r>
          </w:p>
        </w:tc>
        <w:tc>
          <w:tcPr>
            <w:tcW w:w="68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2,957</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3</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2,957</w:t>
            </w:r>
          </w:p>
        </w:tc>
        <w:tc>
          <w:tcPr>
            <w:tcW w:w="22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w:t>
            </w:r>
          </w:p>
        </w:tc>
      </w:tr>
      <w:tr>
        <w:trPr>
          <w:trHeight w:val="205"/>
        </w:trPr>
        <w:tc>
          <w:tcPr>
            <w:tcW w:w="2780" w:type="dxa"/>
            <w:vAlign w:val="bottom"/>
            <w:gridSpan w:val="3"/>
          </w:tcPr>
          <w:p>
            <w:pPr>
              <w:spacing w:after="0"/>
              <w:rPr>
                <w:sz w:val="20"/>
                <w:szCs w:val="20"/>
                <w:color w:val="auto"/>
              </w:rPr>
            </w:pPr>
            <w:r>
              <w:rPr>
                <w:rFonts w:ascii="Arial" w:cs="Arial" w:eastAsia="Arial" w:hAnsi="Arial"/>
                <w:sz w:val="17"/>
                <w:szCs w:val="17"/>
                <w:color w:val="auto"/>
              </w:rPr>
              <w:t>Mortgage-backed securities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51,339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363</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219,027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3,318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270,366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3,681</w:t>
            </w:r>
          </w:p>
        </w:tc>
      </w:tr>
      <w:tr>
        <w:trPr>
          <w:trHeight w:val="205"/>
        </w:trPr>
        <w:tc>
          <w:tcPr>
            <w:tcW w:w="278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Corporate bonds</w:t>
            </w:r>
          </w:p>
        </w:tc>
        <w:tc>
          <w:tcPr>
            <w:tcW w:w="5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10,474</w:t>
            </w: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526</w:t>
            </w: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10,474</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526</w:t>
            </w:r>
          </w:p>
        </w:tc>
      </w:tr>
      <w:tr>
        <w:trPr>
          <w:trHeight w:val="205"/>
        </w:trPr>
        <w:tc>
          <w:tcPr>
            <w:tcW w:w="2780" w:type="dxa"/>
            <w:vAlign w:val="bottom"/>
            <w:gridSpan w:val="3"/>
          </w:tcPr>
          <w:p>
            <w:pPr>
              <w:spacing w:after="0"/>
              <w:rPr>
                <w:sz w:val="20"/>
                <w:szCs w:val="20"/>
                <w:color w:val="auto"/>
              </w:rPr>
            </w:pPr>
            <w:r>
              <w:rPr>
                <w:rFonts w:ascii="Arial" w:cs="Arial" w:eastAsia="Arial" w:hAnsi="Arial"/>
                <w:sz w:val="17"/>
                <w:szCs w:val="17"/>
                <w:color w:val="auto"/>
              </w:rPr>
              <w:t>Asset-backed securities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137,476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564</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30,229</w:t>
            </w: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183</w:t>
            </w: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167,705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747</w:t>
            </w:r>
          </w:p>
        </w:tc>
      </w:tr>
      <w:tr>
        <w:trPr>
          <w:trHeight w:val="26"/>
        </w:trPr>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2780" w:type="dxa"/>
            <w:vAlign w:val="bottom"/>
            <w:gridSpan w:val="3"/>
            <w:shd w:val="clear" w:color="auto" w:fill="F0FFFF"/>
          </w:tcPr>
          <w:p>
            <w:pPr>
              <w:ind w:left="220"/>
              <w:spacing w:after="0"/>
              <w:rPr>
                <w:sz w:val="20"/>
                <w:szCs w:val="20"/>
                <w:color w:val="auto"/>
              </w:rPr>
            </w:pPr>
            <w:r>
              <w:rPr>
                <w:rFonts w:ascii="Arial" w:cs="Arial" w:eastAsia="Arial" w:hAnsi="Arial"/>
                <w:sz w:val="17"/>
                <w:szCs w:val="17"/>
                <w:color w:val="auto"/>
              </w:rPr>
              <w:t>Total unrealized loss position</w:t>
            </w:r>
          </w:p>
        </w:tc>
        <w:tc>
          <w:tcPr>
            <w:tcW w:w="540" w:type="dxa"/>
            <w:vAlign w:val="bottom"/>
            <w:shd w:val="clear" w:color="auto" w:fill="F0FFFF"/>
          </w:tcPr>
          <w:p>
            <w:pPr>
              <w:spacing w:after="0"/>
              <w:rPr>
                <w:sz w:val="21"/>
                <w:szCs w:val="21"/>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202,246</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1,456</w:t>
            </w:r>
          </w:p>
        </w:tc>
        <w:tc>
          <w:tcPr>
            <w:tcW w:w="240" w:type="dxa"/>
            <w:vAlign w:val="bottom"/>
            <w:shd w:val="clear" w:color="auto" w:fill="F0FFFF"/>
          </w:tcPr>
          <w:p>
            <w:pPr>
              <w:spacing w:after="0"/>
              <w:rPr>
                <w:sz w:val="21"/>
                <w:szCs w:val="21"/>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249,256</w:t>
            </w:r>
          </w:p>
        </w:tc>
        <w:tc>
          <w:tcPr>
            <w:tcW w:w="240" w:type="dxa"/>
            <w:vAlign w:val="bottom"/>
            <w:shd w:val="clear" w:color="auto" w:fill="F0FFFF"/>
          </w:tcPr>
          <w:p>
            <w:pPr>
              <w:spacing w:after="0"/>
              <w:rPr>
                <w:sz w:val="21"/>
                <w:szCs w:val="21"/>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3,501</w:t>
            </w:r>
          </w:p>
        </w:tc>
        <w:tc>
          <w:tcPr>
            <w:tcW w:w="220" w:type="dxa"/>
            <w:vAlign w:val="bottom"/>
            <w:shd w:val="clear" w:color="auto" w:fill="F0FFFF"/>
          </w:tcPr>
          <w:p>
            <w:pPr>
              <w:spacing w:after="0"/>
              <w:rPr>
                <w:sz w:val="21"/>
                <w:szCs w:val="21"/>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451,502</w:t>
            </w:r>
          </w:p>
        </w:tc>
        <w:tc>
          <w:tcPr>
            <w:tcW w:w="22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4,957</w:t>
            </w:r>
          </w:p>
        </w:tc>
      </w:tr>
      <w:tr>
        <w:trPr>
          <w:trHeight w:val="196"/>
        </w:trPr>
        <w:tc>
          <w:tcPr>
            <w:tcW w:w="1500" w:type="dxa"/>
            <w:vAlign w:val="bottom"/>
            <w:tcBorders>
              <w:top w:val="single" w:sz="8" w:color="F0FFFF"/>
            </w:tcBorders>
          </w:tcPr>
          <w:p>
            <w:pPr>
              <w:spacing w:after="0"/>
              <w:rPr>
                <w:sz w:val="17"/>
                <w:szCs w:val="17"/>
                <w:color w:val="auto"/>
              </w:rPr>
            </w:pPr>
          </w:p>
        </w:tc>
        <w:tc>
          <w:tcPr>
            <w:tcW w:w="260" w:type="dxa"/>
            <w:vAlign w:val="bottom"/>
            <w:tcBorders>
              <w:top w:val="single" w:sz="8" w:color="F0FFFF"/>
            </w:tcBorders>
          </w:tcPr>
          <w:p>
            <w:pPr>
              <w:spacing w:after="0"/>
              <w:rPr>
                <w:sz w:val="17"/>
                <w:szCs w:val="17"/>
                <w:color w:val="auto"/>
              </w:rPr>
            </w:pPr>
          </w:p>
        </w:tc>
        <w:tc>
          <w:tcPr>
            <w:tcW w:w="1020" w:type="dxa"/>
            <w:vAlign w:val="bottom"/>
            <w:tcBorders>
              <w:top w:val="single" w:sz="8" w:color="F0FFFF"/>
            </w:tcBorders>
          </w:tcPr>
          <w:p>
            <w:pPr>
              <w:spacing w:after="0"/>
              <w:rPr>
                <w:sz w:val="17"/>
                <w:szCs w:val="17"/>
                <w:color w:val="auto"/>
              </w:rPr>
            </w:pPr>
          </w:p>
        </w:tc>
        <w:tc>
          <w:tcPr>
            <w:tcW w:w="54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r>
      <w:tr>
        <w:trPr>
          <w:trHeight w:val="185"/>
        </w:trPr>
        <w:tc>
          <w:tcPr>
            <w:tcW w:w="2780" w:type="dxa"/>
            <w:vAlign w:val="bottom"/>
            <w:gridSpan w:val="3"/>
            <w:shd w:val="clear" w:color="auto" w:fill="F0FFFF"/>
          </w:tcPr>
          <w:p>
            <w:pPr>
              <w:spacing w:after="0" w:line="167" w:lineRule="exact"/>
              <w:rPr>
                <w:sz w:val="20"/>
                <w:szCs w:val="20"/>
                <w:color w:val="auto"/>
              </w:rPr>
            </w:pPr>
            <w:r>
              <w:rPr>
                <w:rFonts w:ascii="Arial" w:cs="Arial" w:eastAsia="Arial" w:hAnsi="Arial"/>
                <w:sz w:val="17"/>
                <w:szCs w:val="17"/>
                <w:color w:val="auto"/>
              </w:rPr>
              <w:t>As of December 31, 2014</w:t>
            </w:r>
          </w:p>
        </w:tc>
        <w:tc>
          <w:tcPr>
            <w:tcW w:w="54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4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r>
      <w:tr>
        <w:trPr>
          <w:trHeight w:val="205"/>
        </w:trPr>
        <w:tc>
          <w:tcPr>
            <w:tcW w:w="176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U.S. Treasuries</w:t>
            </w:r>
          </w:p>
        </w:tc>
        <w:tc>
          <w:tcPr>
            <w:tcW w:w="1020" w:type="dxa"/>
            <w:vAlign w:val="bottom"/>
            <w:tcBorders>
              <w:top w:val="single" w:sz="8" w:color="F0FFFF"/>
            </w:tcBorders>
          </w:tcPr>
          <w:p>
            <w:pPr>
              <w:spacing w:after="0"/>
              <w:rPr>
                <w:sz w:val="17"/>
                <w:szCs w:val="17"/>
                <w:color w:val="auto"/>
              </w:rPr>
            </w:pPr>
          </w:p>
        </w:tc>
        <w:tc>
          <w:tcPr>
            <w:tcW w:w="680" w:type="dxa"/>
            <w:vAlign w:val="bottom"/>
            <w:tcBorders>
              <w:top w:val="single" w:sz="8" w:color="F0FFFF"/>
            </w:tcBorders>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F0FFFF"/>
            </w:tcBorders>
            <w:gridSpan w:val="2"/>
          </w:tcPr>
          <w:p>
            <w:pPr>
              <w:jc w:val="right"/>
              <w:ind w:right="120"/>
              <w:spacing w:after="0"/>
              <w:rPr>
                <w:sz w:val="20"/>
                <w:szCs w:val="20"/>
                <w:color w:val="auto"/>
              </w:rPr>
            </w:pPr>
            <w:r>
              <w:rPr>
                <w:rFonts w:ascii="Arial" w:cs="Arial" w:eastAsia="Arial" w:hAnsi="Arial"/>
                <w:sz w:val="17"/>
                <w:szCs w:val="17"/>
                <w:color w:val="auto"/>
              </w:rPr>
              <w:t>34,180</w:t>
            </w:r>
          </w:p>
        </w:tc>
        <w:tc>
          <w:tcPr>
            <w:tcW w:w="240" w:type="dxa"/>
            <w:vAlign w:val="bottom"/>
            <w:tcBorders>
              <w:top w:val="single" w:sz="8" w:color="F0FFFF"/>
            </w:tcBorders>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F0FFFF"/>
            </w:tcBorders>
          </w:tcPr>
          <w:p>
            <w:pPr>
              <w:jc w:val="right"/>
              <w:spacing w:after="0"/>
              <w:rPr>
                <w:sz w:val="20"/>
                <w:szCs w:val="20"/>
                <w:color w:val="auto"/>
              </w:rPr>
            </w:pPr>
            <w:r>
              <w:rPr>
                <w:rFonts w:ascii="Arial" w:cs="Arial" w:eastAsia="Arial" w:hAnsi="Arial"/>
                <w:sz w:val="17"/>
                <w:szCs w:val="17"/>
                <w:color w:val="auto"/>
              </w:rPr>
              <w:t>66</w:t>
            </w:r>
          </w:p>
        </w:tc>
        <w:tc>
          <w:tcPr>
            <w:tcW w:w="240" w:type="dxa"/>
            <w:vAlign w:val="bottom"/>
            <w:tcBorders>
              <w:top w:val="single" w:sz="8" w:color="F0FFFF"/>
            </w:tcBorders>
          </w:tcPr>
          <w:p>
            <w:pPr>
              <w:spacing w:after="0"/>
              <w:rPr>
                <w:sz w:val="17"/>
                <w:szCs w:val="17"/>
                <w:color w:val="auto"/>
              </w:rPr>
            </w:pPr>
          </w:p>
        </w:tc>
        <w:tc>
          <w:tcPr>
            <w:tcW w:w="140" w:type="dxa"/>
            <w:vAlign w:val="bottom"/>
            <w:tcBorders>
              <w:top w:val="single" w:sz="8" w:color="F0FFFF"/>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F0FFFF"/>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F0FFFF"/>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F0FFFF"/>
            </w:tcBorders>
          </w:tcPr>
          <w:p>
            <w:pPr>
              <w:spacing w:after="0"/>
              <w:rPr>
                <w:sz w:val="17"/>
                <w:szCs w:val="17"/>
                <w:color w:val="auto"/>
              </w:rPr>
            </w:pPr>
          </w:p>
        </w:tc>
        <w:tc>
          <w:tcPr>
            <w:tcW w:w="140" w:type="dxa"/>
            <w:vAlign w:val="bottom"/>
            <w:tcBorders>
              <w:top w:val="single" w:sz="8" w:color="F0FFFF"/>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F0FFFF"/>
            </w:tcBorders>
            <w:gridSpan w:val="2"/>
          </w:tcPr>
          <w:p>
            <w:pPr>
              <w:jc w:val="right"/>
              <w:ind w:right="120"/>
              <w:spacing w:after="0"/>
              <w:rPr>
                <w:sz w:val="20"/>
                <w:szCs w:val="20"/>
                <w:color w:val="auto"/>
              </w:rPr>
            </w:pPr>
            <w:r>
              <w:rPr>
                <w:rFonts w:ascii="Arial" w:cs="Arial" w:eastAsia="Arial" w:hAnsi="Arial"/>
                <w:sz w:val="17"/>
                <w:szCs w:val="17"/>
                <w:color w:val="auto"/>
              </w:rPr>
              <w:t>34,180</w:t>
            </w:r>
          </w:p>
        </w:tc>
        <w:tc>
          <w:tcPr>
            <w:tcW w:w="220" w:type="dxa"/>
            <w:vAlign w:val="bottom"/>
            <w:tcBorders>
              <w:top w:val="single" w:sz="8" w:color="F0FFFF"/>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F0FFFF"/>
            </w:tcBorders>
          </w:tcPr>
          <w:p>
            <w:pPr>
              <w:jc w:val="right"/>
              <w:spacing w:after="0"/>
              <w:rPr>
                <w:sz w:val="20"/>
                <w:szCs w:val="20"/>
                <w:color w:val="auto"/>
              </w:rPr>
            </w:pPr>
            <w:r>
              <w:rPr>
                <w:rFonts w:ascii="Arial" w:cs="Arial" w:eastAsia="Arial" w:hAnsi="Arial"/>
                <w:sz w:val="17"/>
                <w:szCs w:val="17"/>
                <w:color w:val="auto"/>
              </w:rPr>
              <w:t>66</w:t>
            </w:r>
          </w:p>
        </w:tc>
        <w:tc>
          <w:tcPr>
            <w:tcW w:w="100" w:type="dxa"/>
            <w:vAlign w:val="bottom"/>
            <w:tcBorders>
              <w:top w:val="single" w:sz="8" w:color="F0FFFF"/>
            </w:tcBorders>
          </w:tcPr>
          <w:p>
            <w:pPr>
              <w:spacing w:after="0"/>
              <w:rPr>
                <w:sz w:val="17"/>
                <w:szCs w:val="17"/>
                <w:color w:val="auto"/>
              </w:rPr>
            </w:pPr>
          </w:p>
        </w:tc>
      </w:tr>
      <w:tr>
        <w:trPr>
          <w:trHeight w:val="205"/>
        </w:trPr>
        <w:tc>
          <w:tcPr>
            <w:tcW w:w="278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U.S. Government agencies</w:t>
            </w:r>
          </w:p>
        </w:tc>
        <w:tc>
          <w:tcPr>
            <w:tcW w:w="5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36,299</w:t>
            </w: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175</w:t>
            </w: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36,299</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175</w:t>
            </w:r>
          </w:p>
        </w:tc>
      </w:tr>
      <w:tr>
        <w:trPr>
          <w:trHeight w:val="205"/>
        </w:trPr>
        <w:tc>
          <w:tcPr>
            <w:tcW w:w="2780" w:type="dxa"/>
            <w:vAlign w:val="bottom"/>
            <w:gridSpan w:val="3"/>
          </w:tcPr>
          <w:p>
            <w:pPr>
              <w:spacing w:after="0"/>
              <w:rPr>
                <w:sz w:val="20"/>
                <w:szCs w:val="20"/>
                <w:color w:val="auto"/>
              </w:rPr>
            </w:pPr>
            <w:r>
              <w:rPr>
                <w:rFonts w:ascii="Arial" w:cs="Arial" w:eastAsia="Arial" w:hAnsi="Arial"/>
                <w:sz w:val="17"/>
                <w:szCs w:val="17"/>
                <w:color w:val="auto"/>
              </w:rPr>
              <w:t>State and political subdivisions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2,481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2,481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7"/>
                <w:szCs w:val="17"/>
                <w:color w:val="auto"/>
              </w:rPr>
            </w:pPr>
          </w:p>
        </w:tc>
      </w:tr>
      <w:tr>
        <w:trPr>
          <w:trHeight w:val="205"/>
        </w:trPr>
        <w:tc>
          <w:tcPr>
            <w:tcW w:w="278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Mortgage-backed securities</w:t>
            </w:r>
          </w:p>
        </w:tc>
        <w:tc>
          <w:tcPr>
            <w:tcW w:w="5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88,741</w:t>
            </w: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446</w:t>
            </w: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251,977</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7,019</w:t>
            </w: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340,718</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7,465</w:t>
            </w:r>
          </w:p>
        </w:tc>
      </w:tr>
      <w:tr>
        <w:trPr>
          <w:trHeight w:val="205"/>
        </w:trPr>
        <w:tc>
          <w:tcPr>
            <w:tcW w:w="2780" w:type="dxa"/>
            <w:vAlign w:val="bottom"/>
            <w:gridSpan w:val="3"/>
          </w:tcPr>
          <w:p>
            <w:pPr>
              <w:spacing w:after="0"/>
              <w:rPr>
                <w:sz w:val="20"/>
                <w:szCs w:val="20"/>
                <w:color w:val="auto"/>
              </w:rPr>
            </w:pPr>
            <w:r>
              <w:rPr>
                <w:rFonts w:ascii="Arial" w:cs="Arial" w:eastAsia="Arial" w:hAnsi="Arial"/>
                <w:sz w:val="17"/>
                <w:szCs w:val="17"/>
                <w:color w:val="auto"/>
              </w:rPr>
              <w:t>Corporate bonds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37,891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371</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20,275</w:t>
            </w: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705</w:t>
            </w: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58,166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1,076</w:t>
            </w:r>
          </w:p>
        </w:tc>
      </w:tr>
      <w:tr>
        <w:trPr>
          <w:trHeight w:val="205"/>
        </w:trPr>
        <w:tc>
          <w:tcPr>
            <w:tcW w:w="278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Asset-backed securities</w:t>
            </w:r>
          </w:p>
        </w:tc>
        <w:tc>
          <w:tcPr>
            <w:tcW w:w="5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221,359</w:t>
            </w: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1,592</w:t>
            </w: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40,952</w:t>
            </w: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363</w:t>
            </w:r>
          </w:p>
        </w:tc>
        <w:tc>
          <w:tcPr>
            <w:tcW w:w="14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262,311</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1,955</w:t>
            </w:r>
          </w:p>
        </w:tc>
      </w:tr>
      <w:tr>
        <w:trPr>
          <w:trHeight w:val="26"/>
        </w:trPr>
        <w:tc>
          <w:tcPr>
            <w:tcW w:w="1500" w:type="dxa"/>
            <w:vAlign w:val="bottom"/>
            <w:shd w:val="clear" w:color="auto" w:fill="F0FFFF"/>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020" w:type="dxa"/>
            <w:vAlign w:val="bottom"/>
            <w:shd w:val="clear" w:color="auto" w:fill="F0FFFF"/>
          </w:tcPr>
          <w:p>
            <w:pPr>
              <w:spacing w:after="0"/>
              <w:rPr>
                <w:sz w:val="2"/>
                <w:szCs w:val="2"/>
                <w:color w:val="auto"/>
              </w:rPr>
            </w:pPr>
          </w:p>
        </w:tc>
        <w:tc>
          <w:tcPr>
            <w:tcW w:w="54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05"/>
        </w:trPr>
        <w:tc>
          <w:tcPr>
            <w:tcW w:w="2780" w:type="dxa"/>
            <w:vAlign w:val="bottom"/>
            <w:gridSpan w:val="3"/>
          </w:tcPr>
          <w:p>
            <w:pPr>
              <w:ind w:left="220"/>
              <w:spacing w:after="0"/>
              <w:rPr>
                <w:sz w:val="20"/>
                <w:szCs w:val="20"/>
                <w:color w:val="auto"/>
              </w:rPr>
            </w:pPr>
            <w:r>
              <w:rPr>
                <w:rFonts w:ascii="Arial" w:cs="Arial" w:eastAsia="Arial" w:hAnsi="Arial"/>
                <w:sz w:val="17"/>
                <w:szCs w:val="17"/>
                <w:color w:val="auto"/>
              </w:rPr>
              <w:t>Total unrealized loss position</w:t>
            </w:r>
          </w:p>
        </w:tc>
        <w:tc>
          <w:tcPr>
            <w:tcW w:w="5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420,951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2,669</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313,204</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8,087</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734,155</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10,756</w:t>
            </w:r>
          </w:p>
        </w:tc>
      </w:tr>
      <w:tr>
        <w:trPr>
          <w:trHeight w:val="20"/>
        </w:trPr>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50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5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167"/>
        </w:trPr>
        <w:tc>
          <w:tcPr>
            <w:tcW w:w="2780" w:type="dxa"/>
            <w:vAlign w:val="bottom"/>
            <w:gridSpan w:val="3"/>
          </w:tcPr>
          <w:p>
            <w:pPr>
              <w:spacing w:after="0" w:line="167" w:lineRule="exact"/>
              <w:rPr>
                <w:sz w:val="20"/>
                <w:szCs w:val="20"/>
                <w:color w:val="auto"/>
              </w:rPr>
            </w:pPr>
            <w:r>
              <w:rPr>
                <w:rFonts w:ascii="Arial" w:cs="Arial" w:eastAsia="Arial" w:hAnsi="Arial"/>
                <w:sz w:val="17"/>
                <w:szCs w:val="17"/>
                <w:color w:val="auto"/>
              </w:rPr>
              <w:t>As of March 31, 2014</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9"/>
        </w:trPr>
        <w:tc>
          <w:tcPr>
            <w:tcW w:w="1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278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State and political subdivisions</w:t>
            </w:r>
          </w:p>
        </w:tc>
        <w:tc>
          <w:tcPr>
            <w:tcW w:w="68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3,595</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80</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3,595</w:t>
            </w:r>
          </w:p>
        </w:tc>
        <w:tc>
          <w:tcPr>
            <w:tcW w:w="22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80</w:t>
            </w:r>
          </w:p>
        </w:tc>
        <w:tc>
          <w:tcPr>
            <w:tcW w:w="100" w:type="dxa"/>
            <w:vAlign w:val="bottom"/>
            <w:shd w:val="clear" w:color="auto" w:fill="F0FFFF"/>
          </w:tcPr>
          <w:p>
            <w:pPr>
              <w:spacing w:after="0"/>
              <w:rPr>
                <w:sz w:val="18"/>
                <w:szCs w:val="18"/>
                <w:color w:val="auto"/>
              </w:rPr>
            </w:pPr>
          </w:p>
        </w:tc>
      </w:tr>
      <w:tr>
        <w:trPr>
          <w:trHeight w:val="205"/>
        </w:trPr>
        <w:tc>
          <w:tcPr>
            <w:tcW w:w="2780" w:type="dxa"/>
            <w:vAlign w:val="bottom"/>
            <w:gridSpan w:val="3"/>
          </w:tcPr>
          <w:p>
            <w:pPr>
              <w:spacing w:after="0"/>
              <w:rPr>
                <w:sz w:val="20"/>
                <w:szCs w:val="20"/>
                <w:color w:val="auto"/>
              </w:rPr>
            </w:pPr>
            <w:r>
              <w:rPr>
                <w:rFonts w:ascii="Arial" w:cs="Arial" w:eastAsia="Arial" w:hAnsi="Arial"/>
                <w:sz w:val="17"/>
                <w:szCs w:val="17"/>
                <w:color w:val="auto"/>
              </w:rPr>
              <w:t>Mortgage-backed securities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342,886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3,817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186,290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7,511</w:t>
            </w: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529,176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11,328</w:t>
            </w:r>
          </w:p>
        </w:tc>
      </w:tr>
      <w:tr>
        <w:trPr>
          <w:trHeight w:val="205"/>
        </w:trPr>
        <w:tc>
          <w:tcPr>
            <w:tcW w:w="278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Corporate bonds</w:t>
            </w:r>
          </w:p>
        </w:tc>
        <w:tc>
          <w:tcPr>
            <w:tcW w:w="5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82,337</w:t>
            </w: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2,393</w:t>
            </w: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75,320</w:t>
            </w: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2,537</w:t>
            </w: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157,657</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4,930</w:t>
            </w:r>
          </w:p>
        </w:tc>
      </w:tr>
      <w:tr>
        <w:trPr>
          <w:trHeight w:val="205"/>
        </w:trPr>
        <w:tc>
          <w:tcPr>
            <w:tcW w:w="2780" w:type="dxa"/>
            <w:vAlign w:val="bottom"/>
            <w:gridSpan w:val="3"/>
          </w:tcPr>
          <w:p>
            <w:pPr>
              <w:spacing w:after="0"/>
              <w:rPr>
                <w:sz w:val="20"/>
                <w:szCs w:val="20"/>
                <w:color w:val="auto"/>
              </w:rPr>
            </w:pPr>
            <w:r>
              <w:rPr>
                <w:rFonts w:ascii="Arial" w:cs="Arial" w:eastAsia="Arial" w:hAnsi="Arial"/>
                <w:sz w:val="17"/>
                <w:szCs w:val="17"/>
                <w:color w:val="auto"/>
              </w:rPr>
              <w:t>Asset-backed securities</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136,076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433</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136,076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433</w:t>
            </w:r>
          </w:p>
        </w:tc>
      </w:tr>
      <w:tr>
        <w:trPr>
          <w:trHeight w:val="26"/>
        </w:trPr>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2780" w:type="dxa"/>
            <w:vAlign w:val="bottom"/>
            <w:gridSpan w:val="3"/>
            <w:shd w:val="clear" w:color="auto" w:fill="F0FFFF"/>
          </w:tcPr>
          <w:p>
            <w:pPr>
              <w:ind w:left="220"/>
              <w:spacing w:after="0"/>
              <w:rPr>
                <w:sz w:val="20"/>
                <w:szCs w:val="20"/>
                <w:color w:val="auto"/>
              </w:rPr>
            </w:pPr>
            <w:r>
              <w:rPr>
                <w:rFonts w:ascii="Arial" w:cs="Arial" w:eastAsia="Arial" w:hAnsi="Arial"/>
                <w:sz w:val="17"/>
                <w:szCs w:val="17"/>
                <w:color w:val="auto"/>
              </w:rPr>
              <w:t>Total unrealized loss position</w:t>
            </w:r>
          </w:p>
        </w:tc>
        <w:tc>
          <w:tcPr>
            <w:tcW w:w="540" w:type="dxa"/>
            <w:vAlign w:val="bottom"/>
            <w:shd w:val="clear" w:color="auto" w:fill="F0FFFF"/>
          </w:tcPr>
          <w:p>
            <w:pPr>
              <w:spacing w:after="0"/>
              <w:rPr>
                <w:sz w:val="19"/>
                <w:szCs w:val="19"/>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564,894</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6,723</w:t>
            </w:r>
          </w:p>
        </w:tc>
        <w:tc>
          <w:tcPr>
            <w:tcW w:w="240" w:type="dxa"/>
            <w:vAlign w:val="bottom"/>
            <w:shd w:val="clear" w:color="auto" w:fill="F0FFFF"/>
          </w:tcPr>
          <w:p>
            <w:pPr>
              <w:spacing w:after="0"/>
              <w:rPr>
                <w:sz w:val="19"/>
                <w:szCs w:val="19"/>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261,610</w:t>
            </w:r>
          </w:p>
        </w:tc>
        <w:tc>
          <w:tcPr>
            <w:tcW w:w="240" w:type="dxa"/>
            <w:vAlign w:val="bottom"/>
            <w:shd w:val="clear" w:color="auto" w:fill="F0FFFF"/>
          </w:tcPr>
          <w:p>
            <w:pPr>
              <w:spacing w:after="0"/>
              <w:rPr>
                <w:sz w:val="19"/>
                <w:szCs w:val="19"/>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10,048</w:t>
            </w:r>
          </w:p>
        </w:tc>
        <w:tc>
          <w:tcPr>
            <w:tcW w:w="220" w:type="dxa"/>
            <w:vAlign w:val="bottom"/>
            <w:shd w:val="clear" w:color="auto" w:fill="F0FFFF"/>
          </w:tcPr>
          <w:p>
            <w:pPr>
              <w:spacing w:after="0"/>
              <w:rPr>
                <w:sz w:val="19"/>
                <w:szCs w:val="19"/>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826,504</w:t>
            </w:r>
          </w:p>
        </w:tc>
        <w:tc>
          <w:tcPr>
            <w:tcW w:w="22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16,771</w:t>
            </w:r>
          </w:p>
        </w:tc>
      </w:tr>
      <w:tr>
        <w:trPr>
          <w:trHeight w:val="20"/>
        </w:trPr>
        <w:tc>
          <w:tcPr>
            <w:tcW w:w="150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020" w:type="dxa"/>
            <w:vAlign w:val="bottom"/>
            <w:tcBorders>
              <w:top w:val="single" w:sz="8" w:color="F0FFFF"/>
            </w:tcBorders>
            <w:shd w:val="clear" w:color="auto" w:fill="F0FFFF"/>
          </w:tcPr>
          <w:p>
            <w:pPr>
              <w:spacing w:after="0" w:line="20" w:lineRule="exact"/>
              <w:rPr>
                <w:sz w:val="1"/>
                <w:szCs w:val="1"/>
                <w:color w:val="auto"/>
              </w:rPr>
            </w:pPr>
          </w:p>
        </w:tc>
        <w:tc>
          <w:tcPr>
            <w:tcW w:w="54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r>
    </w:tbl>
    <w:p>
      <w:pPr>
        <w:spacing w:after="0" w:line="218" w:lineRule="exact"/>
        <w:rPr>
          <w:sz w:val="20"/>
          <w:szCs w:val="20"/>
          <w:color w:val="auto"/>
        </w:rPr>
      </w:pPr>
    </w:p>
    <w:p>
      <w:pPr>
        <w:jc w:val="both"/>
        <w:spacing w:after="0" w:line="315" w:lineRule="auto"/>
        <w:rPr>
          <w:sz w:val="20"/>
          <w:szCs w:val="20"/>
          <w:color w:val="auto"/>
        </w:rPr>
      </w:pPr>
      <w:r>
        <w:rPr>
          <w:rFonts w:ascii="Arial" w:cs="Arial" w:eastAsia="Arial" w:hAnsi="Arial"/>
          <w:sz w:val="15"/>
          <w:szCs w:val="15"/>
          <w:color w:val="auto"/>
        </w:rPr>
        <w:t>At March 31, 2015, there were 79 available-for-sale securities and 6 held-to-maturity securities that were in an unrealized loss position. United does not intend to sell nor believes it will be required to sell securities in an unrealized loss position prior to the recovery of their amortized cost basis. Unrealized losses at March 31, 2015, December 31, 2014 and March 31, 2014 were primarily attributable to changes in interest rates and therefore, United does not consider them to be impaired.</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Realized gains and losses are derived using the specific identification method for determining the cost of securities sold. The following table summarizes securities sales activity for the three months ended March 31, 2015 and 2014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5"/>
          </w:tcPr>
          <w:p>
            <w:pPr>
              <w:jc w:val="right"/>
              <w:ind w:right="600"/>
              <w:spacing w:after="0"/>
              <w:rPr>
                <w:sz w:val="20"/>
                <w:szCs w:val="20"/>
                <w:color w:val="auto"/>
              </w:rPr>
            </w:pPr>
            <w:r>
              <w:rPr>
                <w:rFonts w:ascii="Arial" w:cs="Arial" w:eastAsia="Arial" w:hAnsi="Arial"/>
                <w:sz w:val="17"/>
                <w:szCs w:val="17"/>
                <w:b w:val="1"/>
                <w:bCs w:val="1"/>
                <w:color w:val="auto"/>
              </w:rPr>
              <w:t>Three Months Ended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b w:val="1"/>
                <w:bCs w:val="1"/>
                <w:color w:val="auto"/>
              </w:rPr>
              <w:t>March 31,</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2015</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20" w:type="dxa"/>
            <w:vAlign w:val="bottom"/>
            <w:shd w:val="clear" w:color="auto" w:fill="F0FFFF"/>
          </w:tcPr>
          <w:p>
            <w:pPr>
              <w:spacing w:after="0"/>
              <w:rPr>
                <w:sz w:val="20"/>
                <w:szCs w:val="20"/>
                <w:color w:val="auto"/>
              </w:rPr>
            </w:pPr>
            <w:r>
              <w:rPr>
                <w:rFonts w:ascii="Arial" w:cs="Arial" w:eastAsia="Arial" w:hAnsi="Arial"/>
                <w:sz w:val="17"/>
                <w:szCs w:val="17"/>
                <w:color w:val="auto"/>
              </w:rPr>
              <w:t>Proceeds from sales</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69,467</w:t>
            </w:r>
          </w:p>
        </w:tc>
        <w:tc>
          <w:tcPr>
            <w:tcW w:w="560" w:type="dxa"/>
            <w:vAlign w:val="bottom"/>
            <w:gridSpan w:val="2"/>
            <w:shd w:val="clear" w:color="auto" w:fill="F0FFFF"/>
          </w:tcPr>
          <w:p>
            <w:pPr>
              <w:jc w:val="right"/>
              <w:ind w:right="28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153,316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Gross gains on sales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1,539</w:t>
            </w:r>
          </w:p>
        </w:tc>
        <w:tc>
          <w:tcPr>
            <w:tcW w:w="5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410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20" w:type="dxa"/>
            <w:vAlign w:val="bottom"/>
            <w:shd w:val="clear" w:color="auto" w:fill="F0FFFF"/>
          </w:tcPr>
          <w:p>
            <w:pPr>
              <w:spacing w:after="0"/>
              <w:rPr>
                <w:sz w:val="20"/>
                <w:szCs w:val="20"/>
                <w:color w:val="auto"/>
              </w:rPr>
            </w:pPr>
            <w:r>
              <w:rPr>
                <w:rFonts w:ascii="Arial" w:cs="Arial" w:eastAsia="Arial" w:hAnsi="Arial"/>
                <w:sz w:val="17"/>
                <w:szCs w:val="17"/>
                <w:color w:val="auto"/>
              </w:rPr>
              <w:t>Gross losses on sales</w:t>
            </w: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20" w:type="dxa"/>
            <w:vAlign w:val="bottom"/>
            <w:tcBorders>
              <w:top w:val="single" w:sz="8" w:color="F0FF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F0FF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20" w:type="dxa"/>
            <w:vAlign w:val="bottom"/>
            <w:shd w:val="clear" w:color="auto" w:fill="F0FFFF"/>
          </w:tcPr>
          <w:p>
            <w:pPr>
              <w:ind w:left="100"/>
              <w:spacing w:after="0"/>
              <w:rPr>
                <w:sz w:val="20"/>
                <w:szCs w:val="20"/>
                <w:color w:val="auto"/>
              </w:rPr>
            </w:pPr>
            <w:r>
              <w:rPr>
                <w:rFonts w:ascii="Arial" w:cs="Arial" w:eastAsia="Arial" w:hAnsi="Arial"/>
                <w:sz w:val="17"/>
                <w:szCs w:val="17"/>
                <w:color w:val="auto"/>
              </w:rPr>
              <w:t>Net gains on sales of securities</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1,539</w:t>
            </w:r>
          </w:p>
        </w:tc>
        <w:tc>
          <w:tcPr>
            <w:tcW w:w="560" w:type="dxa"/>
            <w:vAlign w:val="bottom"/>
            <w:gridSpan w:val="2"/>
            <w:shd w:val="clear" w:color="auto" w:fill="F0FFFF"/>
          </w:tcPr>
          <w:p>
            <w:pPr>
              <w:jc w:val="right"/>
              <w:ind w:right="28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Income tax expense attributable to sales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598</w:t>
            </w:r>
          </w:p>
        </w:tc>
        <w:tc>
          <w:tcPr>
            <w:tcW w:w="5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Securities with a carrying value of $1.36 billion, $1.51 billion and $1.48 billion were pledged to secure public deposits and other secured borrowings at March 31, 2015, December 31, 2014 and March 31, 2014, respectively.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color w:val="auto"/>
        </w:rPr>
        <w:t>UNITED COMMUNITY BANKS,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 xml:space="preserve">The amortized cost and fair value of held-to-maturity and available-for-sale securities at March 31, 2015, by contractual maturity, are presented in the following table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gridSpan w:val="5"/>
          </w:tcPr>
          <w:p>
            <w:pPr>
              <w:jc w:val="right"/>
              <w:ind w:right="840"/>
              <w:spacing w:after="0"/>
              <w:rPr>
                <w:sz w:val="20"/>
                <w:szCs w:val="20"/>
                <w:color w:val="auto"/>
              </w:rPr>
            </w:pPr>
            <w:r>
              <w:rPr>
                <w:rFonts w:ascii="Arial" w:cs="Arial" w:eastAsia="Arial" w:hAnsi="Arial"/>
                <w:sz w:val="17"/>
                <w:szCs w:val="17"/>
                <w:b w:val="1"/>
                <w:bCs w:val="1"/>
                <w:color w:val="auto"/>
              </w:rPr>
              <w:t>Available-for-Sale</w:t>
            </w:r>
          </w:p>
        </w:tc>
        <w:tc>
          <w:tcPr>
            <w:tcW w:w="340" w:type="dxa"/>
            <w:vAlign w:val="bottom"/>
          </w:tcPr>
          <w:p>
            <w:pPr>
              <w:spacing w:after="0"/>
              <w:rPr>
                <w:sz w:val="19"/>
                <w:szCs w:val="19"/>
                <w:color w:val="auto"/>
              </w:rPr>
            </w:pPr>
          </w:p>
        </w:tc>
        <w:tc>
          <w:tcPr>
            <w:tcW w:w="2240" w:type="dxa"/>
            <w:vAlign w:val="bottom"/>
            <w:gridSpan w:val="6"/>
          </w:tcPr>
          <w:p>
            <w:pPr>
              <w:jc w:val="right"/>
              <w:ind w:right="700"/>
              <w:spacing w:after="0"/>
              <w:rPr>
                <w:sz w:val="20"/>
                <w:szCs w:val="20"/>
                <w:color w:val="auto"/>
              </w:rPr>
            </w:pPr>
            <w:r>
              <w:rPr>
                <w:rFonts w:ascii="Arial" w:cs="Arial" w:eastAsia="Arial" w:hAnsi="Arial"/>
                <w:sz w:val="17"/>
                <w:szCs w:val="17"/>
                <w:b w:val="1"/>
                <w:bCs w:val="1"/>
                <w:color w:val="auto"/>
              </w:rPr>
              <w:t>Held-to-Maturity</w:t>
            </w:r>
          </w:p>
        </w:tc>
      </w:tr>
      <w:tr>
        <w:trPr>
          <w:trHeight w:val="211"/>
        </w:trPr>
        <w:tc>
          <w:tcPr>
            <w:tcW w:w="6060" w:type="dxa"/>
            <w:vAlign w:val="bottom"/>
          </w:tcPr>
          <w:p>
            <w:pPr>
              <w:spacing w:after="0"/>
              <w:rPr>
                <w:sz w:val="18"/>
                <w:szCs w:val="18"/>
                <w:color w:val="auto"/>
              </w:rPr>
            </w:pPr>
          </w:p>
        </w:tc>
        <w:tc>
          <w:tcPr>
            <w:tcW w:w="1400" w:type="dxa"/>
            <w:vAlign w:val="bottom"/>
            <w:tcBorders>
              <w:top w:val="single" w:sz="8" w:color="auto"/>
            </w:tcBorders>
            <w:gridSpan w:val="3"/>
          </w:tcPr>
          <w:p>
            <w:pPr>
              <w:spacing w:after="0"/>
              <w:rPr>
                <w:sz w:val="20"/>
                <w:szCs w:val="20"/>
                <w:color w:val="auto"/>
              </w:rPr>
            </w:pPr>
            <w:r>
              <w:rPr>
                <w:rFonts w:ascii="Arial" w:cs="Arial" w:eastAsia="Arial" w:hAnsi="Arial"/>
                <w:sz w:val="17"/>
                <w:szCs w:val="17"/>
                <w:b w:val="1"/>
                <w:bCs w:val="1"/>
                <w:color w:val="auto"/>
              </w:rPr>
              <w:t>Amortized Cost</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b w:val="1"/>
                <w:bCs w:val="1"/>
                <w:color w:val="auto"/>
                <w:w w:val="98"/>
              </w:rPr>
              <w:t>Fair Value</w:t>
            </w:r>
          </w:p>
        </w:tc>
        <w:tc>
          <w:tcPr>
            <w:tcW w:w="240" w:type="dxa"/>
            <w:vAlign w:val="bottom"/>
          </w:tcPr>
          <w:p>
            <w:pPr>
              <w:spacing w:after="0"/>
              <w:rPr>
                <w:sz w:val="18"/>
                <w:szCs w:val="18"/>
                <w:color w:val="auto"/>
              </w:rPr>
            </w:pPr>
          </w:p>
        </w:tc>
        <w:tc>
          <w:tcPr>
            <w:tcW w:w="1260" w:type="dxa"/>
            <w:vAlign w:val="bottom"/>
            <w:tcBorders>
              <w:top w:val="single" w:sz="8" w:color="auto"/>
            </w:tcBorders>
            <w:gridSpan w:val="3"/>
          </w:tcPr>
          <w:p>
            <w:pPr>
              <w:spacing w:after="0"/>
              <w:rPr>
                <w:sz w:val="20"/>
                <w:szCs w:val="20"/>
                <w:color w:val="auto"/>
              </w:rPr>
            </w:pPr>
            <w:r>
              <w:rPr>
                <w:rFonts w:ascii="Arial" w:cs="Arial" w:eastAsia="Arial" w:hAnsi="Arial"/>
                <w:sz w:val="17"/>
                <w:szCs w:val="17"/>
                <w:b w:val="1"/>
                <w:bCs w:val="1"/>
                <w:color w:val="auto"/>
                <w:w w:val="98"/>
              </w:rPr>
              <w:t>Amortized Cost</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b w:val="1"/>
                <w:bCs w:val="1"/>
                <w:color w:val="auto"/>
                <w:w w:val="98"/>
              </w:rPr>
              <w:t>Fair Value</w:t>
            </w:r>
          </w:p>
        </w:tc>
        <w:tc>
          <w:tcPr>
            <w:tcW w:w="100" w:type="dxa"/>
            <w:vAlign w:val="bottom"/>
          </w:tcPr>
          <w:p>
            <w:pPr>
              <w:spacing w:after="0"/>
              <w:rPr>
                <w:sz w:val="18"/>
                <w:szCs w:val="18"/>
                <w:color w:val="auto"/>
              </w:rPr>
            </w:pPr>
          </w:p>
        </w:tc>
      </w:tr>
      <w:tr>
        <w:trPr>
          <w:trHeight w:val="205"/>
        </w:trPr>
        <w:tc>
          <w:tcPr>
            <w:tcW w:w="60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F0FFFF"/>
          </w:tcPr>
          <w:p>
            <w:pPr>
              <w:spacing w:after="0"/>
              <w:rPr>
                <w:sz w:val="20"/>
                <w:szCs w:val="20"/>
                <w:color w:val="auto"/>
              </w:rPr>
            </w:pPr>
            <w:r>
              <w:rPr>
                <w:rFonts w:ascii="Arial" w:cs="Arial" w:eastAsia="Arial" w:hAnsi="Arial"/>
                <w:sz w:val="17"/>
                <w:szCs w:val="17"/>
                <w:color w:val="auto"/>
              </w:rPr>
              <w:t>US Treasuries:</w:t>
            </w:r>
          </w:p>
        </w:tc>
        <w:tc>
          <w:tcPr>
            <w:tcW w:w="28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6060" w:type="dxa"/>
            <w:vAlign w:val="bottom"/>
          </w:tcPr>
          <w:p>
            <w:pPr>
              <w:ind w:left="180"/>
              <w:spacing w:after="0"/>
              <w:rPr>
                <w:sz w:val="20"/>
                <w:szCs w:val="20"/>
                <w:color w:val="auto"/>
              </w:rPr>
            </w:pPr>
            <w:r>
              <w:rPr>
                <w:rFonts w:ascii="Arial" w:cs="Arial" w:eastAsia="Arial" w:hAnsi="Arial"/>
                <w:sz w:val="17"/>
                <w:szCs w:val="17"/>
                <w:color w:val="auto"/>
              </w:rPr>
              <w:t>1 to 5 years</w:t>
            </w: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47,661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48,414</w:t>
            </w:r>
          </w:p>
        </w:tc>
        <w:tc>
          <w:tcPr>
            <w:tcW w:w="34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6"/>
        </w:trPr>
        <w:tc>
          <w:tcPr>
            <w:tcW w:w="60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60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47,661</w:t>
            </w:r>
          </w:p>
        </w:tc>
        <w:tc>
          <w:tcPr>
            <w:tcW w:w="1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48,414</w:t>
            </w:r>
          </w:p>
        </w:tc>
        <w:tc>
          <w:tcPr>
            <w:tcW w:w="3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8"/>
                <w:szCs w:val="18"/>
                <w:color w:val="auto"/>
              </w:rPr>
            </w:pPr>
          </w:p>
        </w:tc>
      </w:tr>
      <w:tr>
        <w:trPr>
          <w:trHeight w:val="205"/>
        </w:trPr>
        <w:tc>
          <w:tcPr>
            <w:tcW w:w="6060" w:type="dxa"/>
            <w:vAlign w:val="bottom"/>
            <w:tcBorders>
              <w:top w:val="single" w:sz="8" w:color="F0FF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F0FF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r>
      <w:tr>
        <w:trPr>
          <w:trHeight w:val="205"/>
        </w:trPr>
        <w:tc>
          <w:tcPr>
            <w:tcW w:w="6060" w:type="dxa"/>
            <w:vAlign w:val="bottom"/>
            <w:shd w:val="clear" w:color="auto" w:fill="F0FFFF"/>
          </w:tcPr>
          <w:p>
            <w:pPr>
              <w:spacing w:after="0"/>
              <w:rPr>
                <w:sz w:val="20"/>
                <w:szCs w:val="20"/>
                <w:color w:val="auto"/>
              </w:rPr>
            </w:pPr>
            <w:r>
              <w:rPr>
                <w:rFonts w:ascii="Arial" w:cs="Arial" w:eastAsia="Arial" w:hAnsi="Arial"/>
                <w:sz w:val="17"/>
                <w:szCs w:val="17"/>
                <w:color w:val="auto"/>
              </w:rPr>
              <w:t>US Government agencies:</w:t>
            </w:r>
          </w:p>
        </w:tc>
        <w:tc>
          <w:tcPr>
            <w:tcW w:w="28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6060" w:type="dxa"/>
            <w:vAlign w:val="bottom"/>
          </w:tcPr>
          <w:p>
            <w:pPr>
              <w:ind w:left="180"/>
              <w:spacing w:after="0"/>
              <w:rPr>
                <w:sz w:val="20"/>
                <w:szCs w:val="20"/>
                <w:color w:val="auto"/>
              </w:rPr>
            </w:pPr>
            <w:r>
              <w:rPr>
                <w:rFonts w:ascii="Arial" w:cs="Arial" w:eastAsia="Arial" w:hAnsi="Arial"/>
                <w:sz w:val="17"/>
                <w:szCs w:val="17"/>
                <w:color w:val="auto"/>
              </w:rPr>
              <w:t>5 to 10 years</w:t>
            </w:r>
          </w:p>
        </w:tc>
        <w:tc>
          <w:tcPr>
            <w:tcW w:w="28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36,508</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37,268</w:t>
            </w:r>
          </w:p>
        </w:tc>
        <w:tc>
          <w:tcPr>
            <w:tcW w:w="34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6"/>
        </w:trPr>
        <w:tc>
          <w:tcPr>
            <w:tcW w:w="60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60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36,508</w:t>
            </w:r>
          </w:p>
        </w:tc>
        <w:tc>
          <w:tcPr>
            <w:tcW w:w="1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37,268</w:t>
            </w:r>
          </w:p>
        </w:tc>
        <w:tc>
          <w:tcPr>
            <w:tcW w:w="3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8"/>
                <w:szCs w:val="18"/>
                <w:color w:val="auto"/>
              </w:rPr>
            </w:pPr>
          </w:p>
        </w:tc>
      </w:tr>
      <w:tr>
        <w:trPr>
          <w:trHeight w:val="205"/>
        </w:trPr>
        <w:tc>
          <w:tcPr>
            <w:tcW w:w="6060" w:type="dxa"/>
            <w:vAlign w:val="bottom"/>
            <w:tcBorders>
              <w:top w:val="single" w:sz="8" w:color="F0FF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F0FF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r>
      <w:tr>
        <w:trPr>
          <w:trHeight w:val="205"/>
        </w:trPr>
        <w:tc>
          <w:tcPr>
            <w:tcW w:w="6060" w:type="dxa"/>
            <w:vAlign w:val="bottom"/>
            <w:shd w:val="clear" w:color="auto" w:fill="F0FFFF"/>
          </w:tcPr>
          <w:p>
            <w:pPr>
              <w:spacing w:after="0"/>
              <w:rPr>
                <w:sz w:val="20"/>
                <w:szCs w:val="20"/>
                <w:color w:val="auto"/>
              </w:rPr>
            </w:pPr>
            <w:r>
              <w:rPr>
                <w:rFonts w:ascii="Arial" w:cs="Arial" w:eastAsia="Arial" w:hAnsi="Arial"/>
                <w:sz w:val="17"/>
                <w:szCs w:val="17"/>
                <w:color w:val="auto"/>
              </w:rPr>
              <w:t>State and political subdivisions:</w:t>
            </w:r>
          </w:p>
        </w:tc>
        <w:tc>
          <w:tcPr>
            <w:tcW w:w="28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6060" w:type="dxa"/>
            <w:vAlign w:val="bottom"/>
          </w:tcPr>
          <w:p>
            <w:pPr>
              <w:ind w:left="180"/>
              <w:spacing w:after="0"/>
              <w:rPr>
                <w:sz w:val="20"/>
                <w:szCs w:val="20"/>
                <w:color w:val="auto"/>
              </w:rPr>
            </w:pPr>
            <w:r>
              <w:rPr>
                <w:rFonts w:ascii="Arial" w:cs="Arial" w:eastAsia="Arial" w:hAnsi="Arial"/>
                <w:sz w:val="17"/>
                <w:szCs w:val="17"/>
                <w:color w:val="auto"/>
              </w:rPr>
              <w:t>Within 1 year</w:t>
            </w:r>
          </w:p>
        </w:tc>
        <w:tc>
          <w:tcPr>
            <w:tcW w:w="28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5,368</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5,442</w:t>
            </w:r>
          </w:p>
        </w:tc>
        <w:tc>
          <w:tcPr>
            <w:tcW w:w="34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1,007</w:t>
            </w:r>
          </w:p>
        </w:tc>
      </w:tr>
      <w:tr>
        <w:trPr>
          <w:trHeight w:val="205"/>
        </w:trPr>
        <w:tc>
          <w:tcPr>
            <w:tcW w:w="6060" w:type="dxa"/>
            <w:vAlign w:val="bottom"/>
            <w:shd w:val="clear" w:color="auto" w:fill="F0FFFF"/>
          </w:tcPr>
          <w:p>
            <w:pPr>
              <w:ind w:left="180"/>
              <w:spacing w:after="0"/>
              <w:rPr>
                <w:sz w:val="20"/>
                <w:szCs w:val="20"/>
                <w:color w:val="auto"/>
              </w:rPr>
            </w:pPr>
            <w:r>
              <w:rPr>
                <w:rFonts w:ascii="Arial" w:cs="Arial" w:eastAsia="Arial" w:hAnsi="Arial"/>
                <w:sz w:val="17"/>
                <w:szCs w:val="17"/>
                <w:color w:val="auto"/>
              </w:rPr>
              <w:t>1 to 5 years</w:t>
            </w:r>
          </w:p>
        </w:tc>
        <w:tc>
          <w:tcPr>
            <w:tcW w:w="28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7,550</w:t>
            </w: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7,821</w:t>
            </w:r>
          </w:p>
        </w:tc>
        <w:tc>
          <w:tcPr>
            <w:tcW w:w="34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18,689</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20,005</w:t>
            </w:r>
          </w:p>
        </w:tc>
      </w:tr>
      <w:tr>
        <w:trPr>
          <w:trHeight w:val="205"/>
        </w:trPr>
        <w:tc>
          <w:tcPr>
            <w:tcW w:w="6060" w:type="dxa"/>
            <w:vAlign w:val="bottom"/>
          </w:tcPr>
          <w:p>
            <w:pPr>
              <w:ind w:left="180"/>
              <w:spacing w:after="0"/>
              <w:rPr>
                <w:sz w:val="20"/>
                <w:szCs w:val="20"/>
                <w:color w:val="auto"/>
              </w:rPr>
            </w:pPr>
            <w:r>
              <w:rPr>
                <w:rFonts w:ascii="Arial" w:cs="Arial" w:eastAsia="Arial" w:hAnsi="Arial"/>
                <w:sz w:val="17"/>
                <w:szCs w:val="17"/>
                <w:color w:val="auto"/>
              </w:rPr>
              <w:t>5 to 10 years</w:t>
            </w:r>
          </w:p>
        </w:tc>
        <w:tc>
          <w:tcPr>
            <w:tcW w:w="28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2,098</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2,201</w:t>
            </w:r>
          </w:p>
        </w:tc>
        <w:tc>
          <w:tcPr>
            <w:tcW w:w="34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19,641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21,371</w:t>
            </w:r>
          </w:p>
        </w:tc>
      </w:tr>
      <w:tr>
        <w:trPr>
          <w:trHeight w:val="205"/>
        </w:trPr>
        <w:tc>
          <w:tcPr>
            <w:tcW w:w="6060" w:type="dxa"/>
            <w:vAlign w:val="bottom"/>
            <w:shd w:val="clear" w:color="auto" w:fill="F0FFFF"/>
          </w:tcPr>
          <w:p>
            <w:pPr>
              <w:ind w:left="180"/>
              <w:spacing w:after="0"/>
              <w:rPr>
                <w:sz w:val="20"/>
                <w:szCs w:val="20"/>
                <w:color w:val="auto"/>
              </w:rPr>
            </w:pPr>
            <w:r>
              <w:rPr>
                <w:rFonts w:ascii="Arial" w:cs="Arial" w:eastAsia="Arial" w:hAnsi="Arial"/>
                <w:sz w:val="17"/>
                <w:szCs w:val="17"/>
                <w:color w:val="auto"/>
              </w:rPr>
              <w:t>More than 10 years</w:t>
            </w:r>
          </w:p>
        </w:tc>
        <w:tc>
          <w:tcPr>
            <w:tcW w:w="28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848</w:t>
            </w: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888</w:t>
            </w:r>
          </w:p>
        </w:tc>
        <w:tc>
          <w:tcPr>
            <w:tcW w:w="34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8,806</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9,782</w:t>
            </w:r>
          </w:p>
        </w:tc>
      </w:tr>
      <w:tr>
        <w:trPr>
          <w:trHeight w:val="26"/>
        </w:trPr>
        <w:tc>
          <w:tcPr>
            <w:tcW w:w="6060" w:type="dxa"/>
            <w:vAlign w:val="bottom"/>
            <w:shd w:val="clear" w:color="auto" w:fill="F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11"/>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15,864</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16,352</w:t>
            </w:r>
          </w:p>
        </w:tc>
        <w:tc>
          <w:tcPr>
            <w:tcW w:w="3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48,136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52,165</w:t>
            </w:r>
          </w:p>
        </w:tc>
      </w:tr>
      <w:tr>
        <w:trPr>
          <w:trHeight w:val="205"/>
        </w:trPr>
        <w:tc>
          <w:tcPr>
            <w:tcW w:w="6060" w:type="dxa"/>
            <w:vAlign w:val="bottom"/>
            <w:shd w:val="clear" w:color="auto" w:fill="F0FFFF"/>
          </w:tcPr>
          <w:p>
            <w:pPr>
              <w:spacing w:after="0"/>
              <w:rPr>
                <w:sz w:val="17"/>
                <w:szCs w:val="17"/>
                <w:color w:val="auto"/>
              </w:rPr>
            </w:pPr>
          </w:p>
        </w:tc>
        <w:tc>
          <w:tcPr>
            <w:tcW w:w="280" w:type="dxa"/>
            <w:vAlign w:val="bottom"/>
            <w:tcBorders>
              <w:top w:val="single" w:sz="8" w:color="auto"/>
            </w:tcBorders>
            <w:shd w:val="clear" w:color="auto" w:fill="F0FFFF"/>
          </w:tcPr>
          <w:p>
            <w:pPr>
              <w:spacing w:after="0"/>
              <w:rPr>
                <w:sz w:val="17"/>
                <w:szCs w:val="17"/>
                <w:color w:val="auto"/>
              </w:rPr>
            </w:pPr>
          </w:p>
        </w:tc>
        <w:tc>
          <w:tcPr>
            <w:tcW w:w="880" w:type="dxa"/>
            <w:vAlign w:val="bottom"/>
            <w:tcBorders>
              <w:top w:val="single" w:sz="8" w:color="auto"/>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1000" w:type="dxa"/>
            <w:vAlign w:val="bottom"/>
            <w:tcBorders>
              <w:top w:val="single" w:sz="8" w:color="auto"/>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340" w:type="dxa"/>
            <w:vAlign w:val="bottom"/>
            <w:tcBorders>
              <w:top w:val="single" w:sz="8" w:color="auto"/>
            </w:tcBorders>
            <w:shd w:val="clear" w:color="auto" w:fill="F0FFFF"/>
          </w:tcPr>
          <w:p>
            <w:pPr>
              <w:spacing w:after="0"/>
              <w:rPr>
                <w:sz w:val="17"/>
                <w:szCs w:val="17"/>
                <w:color w:val="auto"/>
              </w:rPr>
            </w:pPr>
          </w:p>
        </w:tc>
        <w:tc>
          <w:tcPr>
            <w:tcW w:w="800" w:type="dxa"/>
            <w:vAlign w:val="bottom"/>
            <w:tcBorders>
              <w:top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100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Corporate bonds:</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F0FFFF"/>
          </w:tcPr>
          <w:p>
            <w:pPr>
              <w:ind w:left="180"/>
              <w:spacing w:after="0"/>
              <w:rPr>
                <w:sz w:val="20"/>
                <w:szCs w:val="20"/>
                <w:color w:val="auto"/>
              </w:rPr>
            </w:pPr>
            <w:r>
              <w:rPr>
                <w:rFonts w:ascii="Arial" w:cs="Arial" w:eastAsia="Arial" w:hAnsi="Arial"/>
                <w:sz w:val="17"/>
                <w:szCs w:val="17"/>
                <w:color w:val="auto"/>
              </w:rPr>
              <w:t>1 to 5 years</w:t>
            </w:r>
          </w:p>
        </w:tc>
        <w:tc>
          <w:tcPr>
            <w:tcW w:w="28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37,870</w:t>
            </w: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38,009</w:t>
            </w:r>
          </w:p>
        </w:tc>
        <w:tc>
          <w:tcPr>
            <w:tcW w:w="34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r>
      <w:tr>
        <w:trPr>
          <w:trHeight w:val="205"/>
        </w:trPr>
        <w:tc>
          <w:tcPr>
            <w:tcW w:w="6060" w:type="dxa"/>
            <w:vAlign w:val="bottom"/>
          </w:tcPr>
          <w:p>
            <w:pPr>
              <w:ind w:left="180"/>
              <w:spacing w:after="0"/>
              <w:rPr>
                <w:sz w:val="20"/>
                <w:szCs w:val="20"/>
                <w:color w:val="auto"/>
              </w:rPr>
            </w:pPr>
            <w:r>
              <w:rPr>
                <w:rFonts w:ascii="Arial" w:cs="Arial" w:eastAsia="Arial" w:hAnsi="Arial"/>
                <w:sz w:val="17"/>
                <w:szCs w:val="17"/>
                <w:color w:val="auto"/>
              </w:rPr>
              <w:t>5 to 10 years</w:t>
            </w:r>
          </w:p>
        </w:tc>
        <w:tc>
          <w:tcPr>
            <w:tcW w:w="28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115,749</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117,333</w:t>
            </w:r>
          </w:p>
        </w:tc>
        <w:tc>
          <w:tcPr>
            <w:tcW w:w="34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5"/>
        </w:trPr>
        <w:tc>
          <w:tcPr>
            <w:tcW w:w="6060" w:type="dxa"/>
            <w:vAlign w:val="bottom"/>
            <w:shd w:val="clear" w:color="auto" w:fill="F0FFFF"/>
          </w:tcPr>
          <w:p>
            <w:pPr>
              <w:ind w:left="180"/>
              <w:spacing w:after="0"/>
              <w:rPr>
                <w:sz w:val="20"/>
                <w:szCs w:val="20"/>
                <w:color w:val="auto"/>
              </w:rPr>
            </w:pPr>
            <w:r>
              <w:rPr>
                <w:rFonts w:ascii="Arial" w:cs="Arial" w:eastAsia="Arial" w:hAnsi="Arial"/>
                <w:sz w:val="17"/>
                <w:szCs w:val="17"/>
                <w:color w:val="auto"/>
              </w:rPr>
              <w:t>More than 10 years</w:t>
            </w:r>
          </w:p>
        </w:tc>
        <w:tc>
          <w:tcPr>
            <w:tcW w:w="28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32,507</w:t>
            </w: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32,365</w:t>
            </w:r>
          </w:p>
        </w:tc>
        <w:tc>
          <w:tcPr>
            <w:tcW w:w="34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r>
      <w:tr>
        <w:trPr>
          <w:trHeight w:val="26"/>
        </w:trPr>
        <w:tc>
          <w:tcPr>
            <w:tcW w:w="6060" w:type="dxa"/>
            <w:vAlign w:val="bottom"/>
            <w:shd w:val="clear" w:color="auto" w:fill="F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11"/>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186,126</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187,707</w:t>
            </w:r>
          </w:p>
        </w:tc>
        <w:tc>
          <w:tcPr>
            <w:tcW w:w="3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5"/>
        </w:trPr>
        <w:tc>
          <w:tcPr>
            <w:tcW w:w="6060" w:type="dxa"/>
            <w:vAlign w:val="bottom"/>
            <w:shd w:val="clear" w:color="auto" w:fill="F0FFFF"/>
          </w:tcPr>
          <w:p>
            <w:pPr>
              <w:spacing w:after="0"/>
              <w:rPr>
                <w:sz w:val="17"/>
                <w:szCs w:val="17"/>
                <w:color w:val="auto"/>
              </w:rPr>
            </w:pPr>
          </w:p>
        </w:tc>
        <w:tc>
          <w:tcPr>
            <w:tcW w:w="280" w:type="dxa"/>
            <w:vAlign w:val="bottom"/>
            <w:tcBorders>
              <w:top w:val="single" w:sz="8" w:color="auto"/>
            </w:tcBorders>
            <w:shd w:val="clear" w:color="auto" w:fill="F0FFFF"/>
          </w:tcPr>
          <w:p>
            <w:pPr>
              <w:spacing w:after="0"/>
              <w:rPr>
                <w:sz w:val="17"/>
                <w:szCs w:val="17"/>
                <w:color w:val="auto"/>
              </w:rPr>
            </w:pPr>
          </w:p>
        </w:tc>
        <w:tc>
          <w:tcPr>
            <w:tcW w:w="880" w:type="dxa"/>
            <w:vAlign w:val="bottom"/>
            <w:tcBorders>
              <w:top w:val="single" w:sz="8" w:color="auto"/>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1000" w:type="dxa"/>
            <w:vAlign w:val="bottom"/>
            <w:tcBorders>
              <w:top w:val="single" w:sz="8" w:color="auto"/>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340" w:type="dxa"/>
            <w:vAlign w:val="bottom"/>
            <w:tcBorders>
              <w:top w:val="single" w:sz="8" w:color="auto"/>
            </w:tcBorders>
            <w:shd w:val="clear" w:color="auto" w:fill="F0FFFF"/>
          </w:tcPr>
          <w:p>
            <w:pPr>
              <w:spacing w:after="0"/>
              <w:rPr>
                <w:sz w:val="17"/>
                <w:szCs w:val="17"/>
                <w:color w:val="auto"/>
              </w:rPr>
            </w:pPr>
          </w:p>
        </w:tc>
        <w:tc>
          <w:tcPr>
            <w:tcW w:w="800" w:type="dxa"/>
            <w:vAlign w:val="bottom"/>
            <w:tcBorders>
              <w:top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100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Asset-backed securities:</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F0FFFF"/>
          </w:tcPr>
          <w:p>
            <w:pPr>
              <w:ind w:left="180"/>
              <w:spacing w:after="0"/>
              <w:rPr>
                <w:sz w:val="20"/>
                <w:szCs w:val="20"/>
                <w:color w:val="auto"/>
              </w:rPr>
            </w:pPr>
            <w:r>
              <w:rPr>
                <w:rFonts w:ascii="Arial" w:cs="Arial" w:eastAsia="Arial" w:hAnsi="Arial"/>
                <w:sz w:val="17"/>
                <w:szCs w:val="17"/>
                <w:color w:val="auto"/>
              </w:rPr>
              <w:t>1 to 5 years</w:t>
            </w:r>
          </w:p>
        </w:tc>
        <w:tc>
          <w:tcPr>
            <w:tcW w:w="28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247,650</w:t>
            </w: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249,360</w:t>
            </w:r>
          </w:p>
        </w:tc>
        <w:tc>
          <w:tcPr>
            <w:tcW w:w="34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r>
      <w:tr>
        <w:trPr>
          <w:trHeight w:val="205"/>
        </w:trPr>
        <w:tc>
          <w:tcPr>
            <w:tcW w:w="6060" w:type="dxa"/>
            <w:vAlign w:val="bottom"/>
          </w:tcPr>
          <w:p>
            <w:pPr>
              <w:ind w:left="180"/>
              <w:spacing w:after="0"/>
              <w:rPr>
                <w:sz w:val="20"/>
                <w:szCs w:val="20"/>
                <w:color w:val="auto"/>
              </w:rPr>
            </w:pPr>
            <w:r>
              <w:rPr>
                <w:rFonts w:ascii="Arial" w:cs="Arial" w:eastAsia="Arial" w:hAnsi="Arial"/>
                <w:sz w:val="17"/>
                <w:szCs w:val="17"/>
                <w:color w:val="auto"/>
              </w:rPr>
              <w:t>5 to 10 years</w:t>
            </w:r>
          </w:p>
        </w:tc>
        <w:tc>
          <w:tcPr>
            <w:tcW w:w="28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58,575</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59,053</w:t>
            </w:r>
          </w:p>
        </w:tc>
        <w:tc>
          <w:tcPr>
            <w:tcW w:w="34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5"/>
        </w:trPr>
        <w:tc>
          <w:tcPr>
            <w:tcW w:w="6060" w:type="dxa"/>
            <w:vAlign w:val="bottom"/>
            <w:shd w:val="clear" w:color="auto" w:fill="F0FFFF"/>
          </w:tcPr>
          <w:p>
            <w:pPr>
              <w:ind w:left="180"/>
              <w:spacing w:after="0"/>
              <w:rPr>
                <w:sz w:val="20"/>
                <w:szCs w:val="20"/>
                <w:color w:val="auto"/>
              </w:rPr>
            </w:pPr>
            <w:r>
              <w:rPr>
                <w:rFonts w:ascii="Arial" w:cs="Arial" w:eastAsia="Arial" w:hAnsi="Arial"/>
                <w:sz w:val="17"/>
                <w:szCs w:val="17"/>
                <w:color w:val="auto"/>
              </w:rPr>
              <w:t>More than 10 years</w:t>
            </w:r>
          </w:p>
        </w:tc>
        <w:tc>
          <w:tcPr>
            <w:tcW w:w="28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160,438</w:t>
            </w: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160,315</w:t>
            </w:r>
          </w:p>
        </w:tc>
        <w:tc>
          <w:tcPr>
            <w:tcW w:w="34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r>
      <w:tr>
        <w:trPr>
          <w:trHeight w:val="26"/>
        </w:trPr>
        <w:tc>
          <w:tcPr>
            <w:tcW w:w="6060" w:type="dxa"/>
            <w:vAlign w:val="bottom"/>
            <w:shd w:val="clear" w:color="auto" w:fill="F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11"/>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466,663</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468,728</w:t>
            </w:r>
          </w:p>
        </w:tc>
        <w:tc>
          <w:tcPr>
            <w:tcW w:w="3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5"/>
        </w:trPr>
        <w:tc>
          <w:tcPr>
            <w:tcW w:w="6060" w:type="dxa"/>
            <w:vAlign w:val="bottom"/>
            <w:shd w:val="clear" w:color="auto" w:fill="F0FFFF"/>
          </w:tcPr>
          <w:p>
            <w:pPr>
              <w:spacing w:after="0"/>
              <w:rPr>
                <w:sz w:val="17"/>
                <w:szCs w:val="17"/>
                <w:color w:val="auto"/>
              </w:rPr>
            </w:pPr>
          </w:p>
        </w:tc>
        <w:tc>
          <w:tcPr>
            <w:tcW w:w="280" w:type="dxa"/>
            <w:vAlign w:val="bottom"/>
            <w:tcBorders>
              <w:top w:val="single" w:sz="8" w:color="auto"/>
            </w:tcBorders>
            <w:shd w:val="clear" w:color="auto" w:fill="F0FFFF"/>
          </w:tcPr>
          <w:p>
            <w:pPr>
              <w:spacing w:after="0"/>
              <w:rPr>
                <w:sz w:val="17"/>
                <w:szCs w:val="17"/>
                <w:color w:val="auto"/>
              </w:rPr>
            </w:pPr>
          </w:p>
        </w:tc>
        <w:tc>
          <w:tcPr>
            <w:tcW w:w="880" w:type="dxa"/>
            <w:vAlign w:val="bottom"/>
            <w:tcBorders>
              <w:top w:val="single" w:sz="8" w:color="auto"/>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1000" w:type="dxa"/>
            <w:vAlign w:val="bottom"/>
            <w:tcBorders>
              <w:top w:val="single" w:sz="8" w:color="auto"/>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340" w:type="dxa"/>
            <w:vAlign w:val="bottom"/>
            <w:tcBorders>
              <w:top w:val="single" w:sz="8" w:color="auto"/>
            </w:tcBorders>
            <w:shd w:val="clear" w:color="auto" w:fill="F0FFFF"/>
          </w:tcPr>
          <w:p>
            <w:pPr>
              <w:spacing w:after="0"/>
              <w:rPr>
                <w:sz w:val="17"/>
                <w:szCs w:val="17"/>
                <w:color w:val="auto"/>
              </w:rPr>
            </w:pPr>
          </w:p>
        </w:tc>
        <w:tc>
          <w:tcPr>
            <w:tcW w:w="800" w:type="dxa"/>
            <w:vAlign w:val="bottom"/>
            <w:tcBorders>
              <w:top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100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Other:</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F0FFFF"/>
          </w:tcPr>
          <w:p>
            <w:pPr>
              <w:ind w:left="180"/>
              <w:spacing w:after="0"/>
              <w:rPr>
                <w:sz w:val="20"/>
                <w:szCs w:val="20"/>
                <w:color w:val="auto"/>
              </w:rPr>
            </w:pPr>
            <w:r>
              <w:rPr>
                <w:rFonts w:ascii="Arial" w:cs="Arial" w:eastAsia="Arial" w:hAnsi="Arial"/>
                <w:sz w:val="17"/>
                <w:szCs w:val="17"/>
                <w:color w:val="auto"/>
              </w:rPr>
              <w:t>Within 1 year</w:t>
            </w:r>
          </w:p>
        </w:tc>
        <w:tc>
          <w:tcPr>
            <w:tcW w:w="28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442</w:t>
            </w: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442</w:t>
            </w:r>
          </w:p>
        </w:tc>
        <w:tc>
          <w:tcPr>
            <w:tcW w:w="34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r>
      <w:tr>
        <w:trPr>
          <w:trHeight w:val="205"/>
        </w:trPr>
        <w:tc>
          <w:tcPr>
            <w:tcW w:w="6060" w:type="dxa"/>
            <w:vAlign w:val="bottom"/>
          </w:tcPr>
          <w:p>
            <w:pPr>
              <w:ind w:left="180"/>
              <w:spacing w:after="0"/>
              <w:rPr>
                <w:sz w:val="20"/>
                <w:szCs w:val="20"/>
                <w:color w:val="auto"/>
              </w:rPr>
            </w:pPr>
            <w:r>
              <w:rPr>
                <w:rFonts w:ascii="Arial" w:cs="Arial" w:eastAsia="Arial" w:hAnsi="Arial"/>
                <w:sz w:val="17"/>
                <w:szCs w:val="17"/>
                <w:color w:val="auto"/>
              </w:rPr>
              <w:t>More than 10 years</w:t>
            </w:r>
          </w:p>
        </w:tc>
        <w:tc>
          <w:tcPr>
            <w:tcW w:w="28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1,948</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1,948</w:t>
            </w:r>
          </w:p>
        </w:tc>
        <w:tc>
          <w:tcPr>
            <w:tcW w:w="34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6"/>
        </w:trPr>
        <w:tc>
          <w:tcPr>
            <w:tcW w:w="60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60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2,390</w:t>
            </w:r>
          </w:p>
        </w:tc>
        <w:tc>
          <w:tcPr>
            <w:tcW w:w="1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2,390</w:t>
            </w:r>
          </w:p>
        </w:tc>
        <w:tc>
          <w:tcPr>
            <w:tcW w:w="3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8"/>
                <w:szCs w:val="18"/>
                <w:color w:val="auto"/>
              </w:rPr>
            </w:pPr>
          </w:p>
        </w:tc>
      </w:tr>
      <w:tr>
        <w:trPr>
          <w:trHeight w:val="205"/>
        </w:trPr>
        <w:tc>
          <w:tcPr>
            <w:tcW w:w="6060" w:type="dxa"/>
            <w:vAlign w:val="bottom"/>
            <w:tcBorders>
              <w:top w:val="single" w:sz="8" w:color="F0FF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F0FF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r>
      <w:tr>
        <w:trPr>
          <w:trHeight w:val="205"/>
        </w:trPr>
        <w:tc>
          <w:tcPr>
            <w:tcW w:w="6060" w:type="dxa"/>
            <w:vAlign w:val="bottom"/>
            <w:shd w:val="clear" w:color="auto" w:fill="F0FFFF"/>
          </w:tcPr>
          <w:p>
            <w:pPr>
              <w:spacing w:after="0"/>
              <w:rPr>
                <w:sz w:val="20"/>
                <w:szCs w:val="20"/>
                <w:color w:val="auto"/>
              </w:rPr>
            </w:pPr>
            <w:r>
              <w:rPr>
                <w:rFonts w:ascii="Arial" w:cs="Arial" w:eastAsia="Arial" w:hAnsi="Arial"/>
                <w:sz w:val="17"/>
                <w:szCs w:val="17"/>
                <w:color w:val="auto"/>
              </w:rPr>
              <w:t>Total securities other than mortgage-backed securities:</w:t>
            </w:r>
          </w:p>
        </w:tc>
        <w:tc>
          <w:tcPr>
            <w:tcW w:w="28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6060" w:type="dxa"/>
            <w:vAlign w:val="bottom"/>
          </w:tcPr>
          <w:p>
            <w:pPr>
              <w:ind w:left="180"/>
              <w:spacing w:after="0"/>
              <w:rPr>
                <w:sz w:val="20"/>
                <w:szCs w:val="20"/>
                <w:color w:val="auto"/>
              </w:rPr>
            </w:pPr>
            <w:r>
              <w:rPr>
                <w:rFonts w:ascii="Arial" w:cs="Arial" w:eastAsia="Arial" w:hAnsi="Arial"/>
                <w:sz w:val="17"/>
                <w:szCs w:val="17"/>
                <w:color w:val="auto"/>
              </w:rPr>
              <w:t>Within 1 year</w:t>
            </w:r>
          </w:p>
        </w:tc>
        <w:tc>
          <w:tcPr>
            <w:tcW w:w="28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5,810</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5,884</w:t>
            </w:r>
          </w:p>
        </w:tc>
        <w:tc>
          <w:tcPr>
            <w:tcW w:w="34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1,007</w:t>
            </w:r>
          </w:p>
        </w:tc>
      </w:tr>
      <w:tr>
        <w:trPr>
          <w:trHeight w:val="205"/>
        </w:trPr>
        <w:tc>
          <w:tcPr>
            <w:tcW w:w="6060" w:type="dxa"/>
            <w:vAlign w:val="bottom"/>
            <w:shd w:val="clear" w:color="auto" w:fill="F0FFFF"/>
          </w:tcPr>
          <w:p>
            <w:pPr>
              <w:ind w:left="180"/>
              <w:spacing w:after="0"/>
              <w:rPr>
                <w:sz w:val="20"/>
                <w:szCs w:val="20"/>
                <w:color w:val="auto"/>
              </w:rPr>
            </w:pPr>
            <w:r>
              <w:rPr>
                <w:rFonts w:ascii="Arial" w:cs="Arial" w:eastAsia="Arial" w:hAnsi="Arial"/>
                <w:sz w:val="17"/>
                <w:szCs w:val="17"/>
                <w:color w:val="auto"/>
              </w:rPr>
              <w:t>1 to 5 years</w:t>
            </w:r>
          </w:p>
        </w:tc>
        <w:tc>
          <w:tcPr>
            <w:tcW w:w="28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340,731</w:t>
            </w: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343,604</w:t>
            </w:r>
          </w:p>
        </w:tc>
        <w:tc>
          <w:tcPr>
            <w:tcW w:w="34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18,689</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20,005</w:t>
            </w:r>
          </w:p>
        </w:tc>
      </w:tr>
      <w:tr>
        <w:trPr>
          <w:trHeight w:val="205"/>
        </w:trPr>
        <w:tc>
          <w:tcPr>
            <w:tcW w:w="6060" w:type="dxa"/>
            <w:vAlign w:val="bottom"/>
          </w:tcPr>
          <w:p>
            <w:pPr>
              <w:ind w:left="180"/>
              <w:spacing w:after="0"/>
              <w:rPr>
                <w:sz w:val="20"/>
                <w:szCs w:val="20"/>
                <w:color w:val="auto"/>
              </w:rPr>
            </w:pPr>
            <w:r>
              <w:rPr>
                <w:rFonts w:ascii="Arial" w:cs="Arial" w:eastAsia="Arial" w:hAnsi="Arial"/>
                <w:sz w:val="17"/>
                <w:szCs w:val="17"/>
                <w:color w:val="auto"/>
              </w:rPr>
              <w:t>5 to 10 years</w:t>
            </w:r>
          </w:p>
        </w:tc>
        <w:tc>
          <w:tcPr>
            <w:tcW w:w="28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212,930</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215,855</w:t>
            </w:r>
          </w:p>
        </w:tc>
        <w:tc>
          <w:tcPr>
            <w:tcW w:w="34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19,641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21,371</w:t>
            </w:r>
          </w:p>
        </w:tc>
      </w:tr>
      <w:tr>
        <w:trPr>
          <w:trHeight w:val="205"/>
        </w:trPr>
        <w:tc>
          <w:tcPr>
            <w:tcW w:w="6060" w:type="dxa"/>
            <w:vAlign w:val="bottom"/>
            <w:shd w:val="clear" w:color="auto" w:fill="F0FFFF"/>
          </w:tcPr>
          <w:p>
            <w:pPr>
              <w:ind w:left="180"/>
              <w:spacing w:after="0"/>
              <w:rPr>
                <w:sz w:val="20"/>
                <w:szCs w:val="20"/>
                <w:color w:val="auto"/>
              </w:rPr>
            </w:pPr>
            <w:r>
              <w:rPr>
                <w:rFonts w:ascii="Arial" w:cs="Arial" w:eastAsia="Arial" w:hAnsi="Arial"/>
                <w:sz w:val="17"/>
                <w:szCs w:val="17"/>
                <w:color w:val="auto"/>
              </w:rPr>
              <w:t>More than 10 years</w:t>
            </w:r>
          </w:p>
        </w:tc>
        <w:tc>
          <w:tcPr>
            <w:tcW w:w="28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195,741</w:t>
            </w: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195,516</w:t>
            </w:r>
          </w:p>
        </w:tc>
        <w:tc>
          <w:tcPr>
            <w:tcW w:w="34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8,806</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9,782</w:t>
            </w:r>
          </w:p>
        </w:tc>
      </w:tr>
      <w:tr>
        <w:trPr>
          <w:trHeight w:val="205"/>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6060" w:type="dxa"/>
            <w:vAlign w:val="bottom"/>
            <w:shd w:val="clear" w:color="auto" w:fill="F0FFFF"/>
          </w:tcPr>
          <w:p>
            <w:pPr>
              <w:spacing w:after="0"/>
              <w:rPr>
                <w:sz w:val="20"/>
                <w:szCs w:val="20"/>
                <w:color w:val="auto"/>
              </w:rPr>
            </w:pPr>
            <w:r>
              <w:rPr>
                <w:rFonts w:ascii="Arial" w:cs="Arial" w:eastAsia="Arial" w:hAnsi="Arial"/>
                <w:sz w:val="17"/>
                <w:szCs w:val="17"/>
                <w:color w:val="auto"/>
              </w:rPr>
              <w:t>Mortgage-backed securities</w:t>
            </w:r>
          </w:p>
        </w:tc>
        <w:tc>
          <w:tcPr>
            <w:tcW w:w="2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1,023,809</w:t>
            </w:r>
          </w:p>
        </w:tc>
        <w:tc>
          <w:tcPr>
            <w:tcW w:w="1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1,041,114</w:t>
            </w:r>
          </w:p>
        </w:tc>
        <w:tc>
          <w:tcPr>
            <w:tcW w:w="3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351,092</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361,385</w:t>
            </w:r>
          </w:p>
        </w:tc>
      </w:tr>
      <w:tr>
        <w:trPr>
          <w:trHeight w:val="205"/>
        </w:trPr>
        <w:tc>
          <w:tcPr>
            <w:tcW w:w="6060" w:type="dxa"/>
            <w:vAlign w:val="bottom"/>
            <w:tcBorders>
              <w:top w:val="single" w:sz="8" w:color="F0FF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F0FF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r>
      <w:tr>
        <w:trPr>
          <w:trHeight w:val="225"/>
        </w:trPr>
        <w:tc>
          <w:tcPr>
            <w:tcW w:w="606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1,779,021</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1,801,973</w:t>
            </w:r>
          </w:p>
        </w:tc>
        <w:tc>
          <w:tcPr>
            <w:tcW w:w="340" w:type="dxa"/>
            <w:vAlign w:val="bottom"/>
            <w:shd w:val="clear" w:color="auto" w:fill="F0FFFF"/>
          </w:tcPr>
          <w:p>
            <w:pPr>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399,228</w:t>
            </w:r>
          </w:p>
        </w:tc>
        <w:tc>
          <w:tcPr>
            <w:tcW w:w="22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413,550</w:t>
            </w:r>
          </w:p>
        </w:tc>
      </w:tr>
      <w:tr>
        <w:trPr>
          <w:trHeight w:val="20"/>
        </w:trPr>
        <w:tc>
          <w:tcPr>
            <w:tcW w:w="6060" w:type="dxa"/>
            <w:vAlign w:val="bottom"/>
            <w:tcBorders>
              <w:top w:val="single" w:sz="8" w:color="F0FFFF"/>
            </w:tcBorders>
            <w:shd w:val="clear" w:color="auto" w:fill="F0FF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r>
    </w:tbl>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Expected maturities may differ from contractual maturities because issuers and borrowers may have the right to call or prepay obligations with or without call or prepayment penalties.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7"/>
          <w:szCs w:val="17"/>
          <w:b w:val="1"/>
          <w:bCs w:val="1"/>
          <w:color w:val="auto"/>
        </w:rPr>
        <w:t>UNITED COMMUNITY BANKS,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Loans and Allowance for Loan Losses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Major classifications of loans as of March 31, 2015, December 31, 2014 and March 31, 2014, are summarized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w w:val="99"/>
              </w:rPr>
              <w:t>March 31,</w:t>
            </w:r>
          </w:p>
        </w:tc>
        <w:tc>
          <w:tcPr>
            <w:tcW w:w="138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88"/>
              </w:rPr>
              <w:t>December 31,</w:t>
            </w:r>
          </w:p>
        </w:tc>
        <w:tc>
          <w:tcPr>
            <w:tcW w:w="14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9"/>
              </w:rPr>
              <w:t>March 31,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2015</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2014</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240" w:type="dxa"/>
            <w:vAlign w:val="bottom"/>
            <w:shd w:val="clear" w:color="auto" w:fill="F0FFFF"/>
          </w:tcPr>
          <w:p>
            <w:pPr>
              <w:spacing w:after="0"/>
              <w:rPr>
                <w:sz w:val="20"/>
                <w:szCs w:val="20"/>
                <w:color w:val="auto"/>
              </w:rPr>
            </w:pPr>
            <w:r>
              <w:rPr>
                <w:rFonts w:ascii="Arial" w:cs="Arial" w:eastAsia="Arial" w:hAnsi="Arial"/>
                <w:sz w:val="17"/>
                <w:szCs w:val="17"/>
                <w:color w:val="auto"/>
              </w:rPr>
              <w:t>Owner occupied commercial real estate</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1,166,916</w:t>
            </w:r>
          </w:p>
        </w:tc>
        <w:tc>
          <w:tcPr>
            <w:tcW w:w="240" w:type="dxa"/>
            <w:vAlign w:val="bottom"/>
            <w:shd w:val="clear" w:color="auto" w:fill="F0FFFF"/>
          </w:tcPr>
          <w:p>
            <w:pPr>
              <w:spacing w:after="0"/>
              <w:rPr>
                <w:sz w:val="17"/>
                <w:szCs w:val="17"/>
                <w:color w:val="auto"/>
              </w:rPr>
            </w:pPr>
          </w:p>
        </w:tc>
        <w:tc>
          <w:tcPr>
            <w:tcW w:w="240" w:type="dxa"/>
            <w:vAlign w:val="bottom"/>
            <w:shd w:val="clear" w:color="auto" w:fill="F0FFFF"/>
          </w:tcPr>
          <w:p>
            <w:pPr>
              <w:jc w:val="right"/>
              <w:ind w:right="82"/>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1,163,480</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1,141,791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Arial" w:cs="Arial" w:eastAsia="Arial" w:hAnsi="Arial"/>
                <w:sz w:val="17"/>
                <w:szCs w:val="17"/>
                <w:color w:val="auto"/>
              </w:rPr>
              <w:t>Income producing commercial real estate</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636,107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598,537</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623,830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40" w:type="dxa"/>
            <w:vAlign w:val="bottom"/>
            <w:shd w:val="clear" w:color="auto" w:fill="F0FFFF"/>
          </w:tcPr>
          <w:p>
            <w:pPr>
              <w:spacing w:after="0"/>
              <w:rPr>
                <w:sz w:val="20"/>
                <w:szCs w:val="20"/>
                <w:color w:val="auto"/>
              </w:rPr>
            </w:pPr>
            <w:r>
              <w:rPr>
                <w:rFonts w:ascii="Arial" w:cs="Arial" w:eastAsia="Arial" w:hAnsi="Arial"/>
                <w:sz w:val="17"/>
                <w:szCs w:val="17"/>
                <w:color w:val="auto"/>
              </w:rPr>
              <w:t>Commercial &amp; industrial</w:t>
            </w: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716,281</w:t>
            </w:r>
          </w:p>
        </w:tc>
        <w:tc>
          <w:tcPr>
            <w:tcW w:w="2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710,256</w:t>
            </w:r>
          </w:p>
        </w:tc>
        <w:tc>
          <w:tcPr>
            <w:tcW w:w="14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495,178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Arial" w:cs="Arial" w:eastAsia="Arial" w:hAnsi="Arial"/>
                <w:sz w:val="17"/>
                <w:szCs w:val="17"/>
                <w:color w:val="auto"/>
              </w:rPr>
              <w:t>Commercial construction</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229,920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196,030</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148,454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240" w:type="dxa"/>
            <w:vAlign w:val="bottom"/>
            <w:shd w:val="clear" w:color="auto" w:fill="F0FFFF"/>
          </w:tcPr>
          <w:p>
            <w:pPr>
              <w:ind w:left="280"/>
              <w:spacing w:after="0"/>
              <w:rPr>
                <w:sz w:val="20"/>
                <w:szCs w:val="20"/>
                <w:color w:val="auto"/>
              </w:rPr>
            </w:pPr>
            <w:r>
              <w:rPr>
                <w:rFonts w:ascii="Arial" w:cs="Arial" w:eastAsia="Arial" w:hAnsi="Arial"/>
                <w:sz w:val="17"/>
                <w:szCs w:val="17"/>
                <w:color w:val="auto"/>
              </w:rPr>
              <w:t>Total commercial</w:t>
            </w: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2,749,224</w:t>
            </w:r>
          </w:p>
        </w:tc>
        <w:tc>
          <w:tcPr>
            <w:tcW w:w="2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2,668,303</w:t>
            </w:r>
          </w:p>
        </w:tc>
        <w:tc>
          <w:tcPr>
            <w:tcW w:w="14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2,409,253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Arial" w:cs="Arial" w:eastAsia="Arial" w:hAnsi="Arial"/>
                <w:sz w:val="17"/>
                <w:szCs w:val="17"/>
                <w:color w:val="auto"/>
              </w:rPr>
              <w:t>Residential mortgage</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863,311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865,789</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866,615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40" w:type="dxa"/>
            <w:vAlign w:val="bottom"/>
            <w:shd w:val="clear" w:color="auto" w:fill="F0FFFF"/>
          </w:tcPr>
          <w:p>
            <w:pPr>
              <w:spacing w:after="0"/>
              <w:rPr>
                <w:sz w:val="20"/>
                <w:szCs w:val="20"/>
                <w:color w:val="auto"/>
              </w:rPr>
            </w:pPr>
            <w:r>
              <w:rPr>
                <w:rFonts w:ascii="Arial" w:cs="Arial" w:eastAsia="Arial" w:hAnsi="Arial"/>
                <w:sz w:val="17"/>
                <w:szCs w:val="17"/>
                <w:color w:val="auto"/>
              </w:rPr>
              <w:t>Home equity lines of credit</w:t>
            </w: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465,474</w:t>
            </w:r>
          </w:p>
        </w:tc>
        <w:tc>
          <w:tcPr>
            <w:tcW w:w="2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465,872</w:t>
            </w:r>
          </w:p>
        </w:tc>
        <w:tc>
          <w:tcPr>
            <w:tcW w:w="14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446,705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Arial" w:cs="Arial" w:eastAsia="Arial" w:hAnsi="Arial"/>
                <w:sz w:val="17"/>
                <w:szCs w:val="17"/>
                <w:color w:val="auto"/>
              </w:rPr>
              <w:t>Residential construction</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291,259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298,627</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317,749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40" w:type="dxa"/>
            <w:vAlign w:val="bottom"/>
            <w:shd w:val="clear" w:color="auto" w:fill="F0FFFF"/>
          </w:tcPr>
          <w:p>
            <w:pPr>
              <w:spacing w:after="0"/>
              <w:rPr>
                <w:sz w:val="20"/>
                <w:szCs w:val="20"/>
                <w:color w:val="auto"/>
              </w:rPr>
            </w:pPr>
            <w:r>
              <w:rPr>
                <w:rFonts w:ascii="Arial" w:cs="Arial" w:eastAsia="Arial" w:hAnsi="Arial"/>
                <w:sz w:val="17"/>
                <w:szCs w:val="17"/>
                <w:color w:val="auto"/>
              </w:rPr>
              <w:t>Consumer installment</w:t>
            </w: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102,585</w:t>
            </w:r>
          </w:p>
        </w:tc>
        <w:tc>
          <w:tcPr>
            <w:tcW w:w="2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104,899</w:t>
            </w:r>
          </w:p>
        </w:tc>
        <w:tc>
          <w:tcPr>
            <w:tcW w:w="14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106,991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7"/>
                <w:szCs w:val="17"/>
                <w:color w:val="auto"/>
              </w:rPr>
              <w:t>Indirect auto</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315,836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268,629</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208,395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40" w:type="dxa"/>
            <w:vAlign w:val="bottom"/>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980" w:type="dxa"/>
            <w:vAlign w:val="bottom"/>
            <w:tcBorders>
              <w:top w:val="single" w:sz="8" w:color="auto"/>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40" w:type="dxa"/>
            <w:vAlign w:val="bottom"/>
            <w:tcBorders>
              <w:top w:val="single" w:sz="8" w:color="auto"/>
            </w:tcBorders>
            <w:shd w:val="clear" w:color="auto" w:fill="F0FFFF"/>
          </w:tcPr>
          <w:p>
            <w:pPr>
              <w:spacing w:after="0"/>
              <w:rPr>
                <w:sz w:val="17"/>
                <w:szCs w:val="17"/>
                <w:color w:val="auto"/>
              </w:rPr>
            </w:pPr>
          </w:p>
        </w:tc>
        <w:tc>
          <w:tcPr>
            <w:tcW w:w="900" w:type="dxa"/>
            <w:vAlign w:val="bottom"/>
            <w:tcBorders>
              <w:top w:val="single" w:sz="8" w:color="auto"/>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102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40" w:type="dxa"/>
            <w:vAlign w:val="bottom"/>
          </w:tcPr>
          <w:p>
            <w:pPr>
              <w:ind w:left="140"/>
              <w:spacing w:after="0"/>
              <w:rPr>
                <w:sz w:val="20"/>
                <w:szCs w:val="20"/>
                <w:color w:val="auto"/>
              </w:rPr>
            </w:pPr>
            <w:r>
              <w:rPr>
                <w:rFonts w:ascii="Arial" w:cs="Arial" w:eastAsia="Arial" w:hAnsi="Arial"/>
                <w:sz w:val="17"/>
                <w:szCs w:val="17"/>
                <w:color w:val="auto"/>
              </w:rPr>
              <w:t>Total loans</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4,787,689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4,672,119</w:t>
            </w: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4,355,708</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7"/>
                <w:szCs w:val="17"/>
                <w:color w:val="auto"/>
              </w:rPr>
              <w:t>Less allowance for loan losses</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(70,007)</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(71,619)</w:t>
            </w: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(75,223)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40" w:type="dxa"/>
            <w:vAlign w:val="bottom"/>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980" w:type="dxa"/>
            <w:vAlign w:val="bottom"/>
            <w:tcBorders>
              <w:top w:val="single" w:sz="8" w:color="auto"/>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40" w:type="dxa"/>
            <w:vAlign w:val="bottom"/>
            <w:tcBorders>
              <w:top w:val="single" w:sz="8" w:color="auto"/>
            </w:tcBorders>
            <w:shd w:val="clear" w:color="auto" w:fill="F0FFFF"/>
          </w:tcPr>
          <w:p>
            <w:pPr>
              <w:spacing w:after="0"/>
              <w:rPr>
                <w:sz w:val="17"/>
                <w:szCs w:val="17"/>
                <w:color w:val="auto"/>
              </w:rPr>
            </w:pPr>
          </w:p>
        </w:tc>
        <w:tc>
          <w:tcPr>
            <w:tcW w:w="900" w:type="dxa"/>
            <w:vAlign w:val="bottom"/>
            <w:tcBorders>
              <w:top w:val="single" w:sz="8" w:color="auto"/>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102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40" w:type="dxa"/>
            <w:vAlign w:val="bottom"/>
          </w:tcPr>
          <w:p>
            <w:pPr>
              <w:ind w:left="140"/>
              <w:spacing w:after="0"/>
              <w:rPr>
                <w:sz w:val="20"/>
                <w:szCs w:val="20"/>
                <w:color w:val="auto"/>
              </w:rPr>
            </w:pPr>
            <w:r>
              <w:rPr>
                <w:rFonts w:ascii="Arial" w:cs="Arial" w:eastAsia="Arial" w:hAnsi="Arial"/>
                <w:sz w:val="17"/>
                <w:szCs w:val="17"/>
                <w:color w:val="auto"/>
              </w:rPr>
              <w:t>Loans, net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4,717,682</w:t>
            </w:r>
          </w:p>
        </w:tc>
        <w:tc>
          <w:tcPr>
            <w:tcW w:w="240" w:type="dxa"/>
            <w:vAlign w:val="bottom"/>
          </w:tcPr>
          <w:p>
            <w:pPr>
              <w:spacing w:after="0"/>
              <w:rPr>
                <w:sz w:val="17"/>
                <w:szCs w:val="17"/>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4,600,500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4,280,485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At March 31, 2015, December 31, 2014 and March 31, 2014, loans totaling $2.28 billion, $2.35 billion and $2.07 billion, respectively, were pledged as collateral to secure FHLB advances and other contingent funding sources.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allowance for loan losses represents management’s estimate of probable incurred losses in the loan portfolio as of the end of the period. The allowance for unfunded commitments is included in other liabilities in the consolidated balance sheet. Combined, the allowance for loan losses and allowance for unfunded commitments are referred to as the allowance for credit losses.</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The following table presents the balance and activity in the allowance for credit losses by portfolio segment for the three months ended March 31, 2015 and 2014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thousands)</w:t>
      </w:r>
      <w:r>
        <w:rPr>
          <w:rFonts w:ascii="Arial" w:cs="Arial" w:eastAsia="Arial" w:hAnsi="Arial"/>
          <w:sz w:val="17"/>
          <w:szCs w:val="17"/>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w w:val="89"/>
              </w:rPr>
              <w:t>Allocation</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Beginning</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Charge-</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w w:val="86"/>
              </w:rPr>
              <w:t>of</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ind w:left="100"/>
              <w:spacing w:after="0"/>
              <w:rPr>
                <w:sz w:val="20"/>
                <w:szCs w:val="20"/>
                <w:color w:val="auto"/>
              </w:rPr>
            </w:pPr>
            <w:r>
              <w:rPr>
                <w:rFonts w:ascii="Arial" w:cs="Arial" w:eastAsia="Arial" w:hAnsi="Arial"/>
                <w:sz w:val="17"/>
                <w:szCs w:val="17"/>
                <w:b w:val="1"/>
                <w:bCs w:val="1"/>
                <w:color w:val="auto"/>
              </w:rPr>
              <w:t>Ending</w:t>
            </w:r>
          </w:p>
        </w:tc>
      </w:tr>
      <w:tr>
        <w:trPr>
          <w:trHeight w:val="227"/>
        </w:trPr>
        <w:tc>
          <w:tcPr>
            <w:tcW w:w="3200" w:type="dxa"/>
            <w:vAlign w:val="bottom"/>
          </w:tcPr>
          <w:p>
            <w:pPr>
              <w:spacing w:after="0"/>
              <w:rPr>
                <w:sz w:val="20"/>
                <w:szCs w:val="20"/>
                <w:color w:val="auto"/>
              </w:rPr>
            </w:pPr>
            <w:r>
              <w:rPr>
                <w:rFonts w:ascii="Arial" w:cs="Arial" w:eastAsia="Arial" w:hAnsi="Arial"/>
                <w:sz w:val="17"/>
                <w:szCs w:val="17"/>
                <w:b w:val="1"/>
                <w:bCs w:val="1"/>
                <w:color w:val="auto"/>
              </w:rPr>
              <w:t>Three Months Ended March 31, 2015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Balance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7"/>
                <w:szCs w:val="17"/>
                <w:b w:val="1"/>
                <w:bCs w:val="1"/>
                <w:color w:val="auto"/>
              </w:rPr>
              <w:t>Offs</w:t>
            </w:r>
          </w:p>
        </w:tc>
        <w:tc>
          <w:tcPr>
            <w:tcW w:w="12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w w:val="90"/>
              </w:rPr>
              <w:t>Recoveries</w:t>
            </w:r>
          </w:p>
        </w:tc>
        <w:tc>
          <w:tcPr>
            <w:tcW w:w="1060" w:type="dxa"/>
            <w:vAlign w:val="bottom"/>
          </w:tcPr>
          <w:p>
            <w:pPr>
              <w:jc w:val="center"/>
              <w:ind w:left="19"/>
              <w:spacing w:after="0"/>
              <w:rPr>
                <w:sz w:val="20"/>
                <w:szCs w:val="20"/>
                <w:color w:val="auto"/>
              </w:rPr>
            </w:pPr>
            <w:r>
              <w:rPr>
                <w:rFonts w:ascii="Arial" w:cs="Arial" w:eastAsia="Arial" w:hAnsi="Arial"/>
                <w:sz w:val="17"/>
                <w:szCs w:val="17"/>
                <w:b w:val="1"/>
                <w:bCs w:val="1"/>
                <w:color w:val="auto"/>
                <w:w w:val="91"/>
              </w:rPr>
              <w:t>Unallocated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5"/>
              </w:rPr>
              <w:t>Provision</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Arial" w:cs="Arial" w:eastAsia="Arial" w:hAnsi="Arial"/>
                <w:sz w:val="17"/>
                <w:szCs w:val="17"/>
                <w:b w:val="1"/>
                <w:bCs w:val="1"/>
                <w:color w:val="auto"/>
              </w:rPr>
              <w:t>Balance</w:t>
            </w:r>
          </w:p>
        </w:tc>
      </w:tr>
      <w:tr>
        <w:trPr>
          <w:trHeight w:val="205"/>
        </w:trPr>
        <w:tc>
          <w:tcPr>
            <w:tcW w:w="3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200" w:type="dxa"/>
            <w:vAlign w:val="bottom"/>
            <w:shd w:val="clear" w:color="auto" w:fill="F0FFFF"/>
          </w:tcPr>
          <w:p>
            <w:pPr>
              <w:spacing w:after="0"/>
              <w:rPr>
                <w:sz w:val="20"/>
                <w:szCs w:val="20"/>
                <w:color w:val="auto"/>
              </w:rPr>
            </w:pPr>
            <w:r>
              <w:rPr>
                <w:rFonts w:ascii="Arial" w:cs="Arial" w:eastAsia="Arial" w:hAnsi="Arial"/>
                <w:sz w:val="17"/>
                <w:szCs w:val="17"/>
                <w:color w:val="auto"/>
              </w:rPr>
              <w:t>Owner occupied commercial real estate</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16,041</w:t>
            </w:r>
          </w:p>
        </w:tc>
        <w:tc>
          <w:tcPr>
            <w:tcW w:w="28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(368)</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11</w:t>
            </w:r>
          </w:p>
        </w:tc>
        <w:tc>
          <w:tcPr>
            <w:tcW w:w="1060" w:type="dxa"/>
            <w:vAlign w:val="bottom"/>
            <w:shd w:val="clear" w:color="auto" w:fill="F0FFFF"/>
          </w:tcPr>
          <w:p>
            <w:pPr>
              <w:jc w:val="right"/>
              <w:ind w:right="899"/>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(732)</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14,952</w:t>
            </w:r>
          </w:p>
        </w:tc>
      </w:tr>
      <w:tr>
        <w:trPr>
          <w:trHeight w:val="205"/>
        </w:trPr>
        <w:tc>
          <w:tcPr>
            <w:tcW w:w="3200" w:type="dxa"/>
            <w:vAlign w:val="bottom"/>
          </w:tcPr>
          <w:p>
            <w:pPr>
              <w:spacing w:after="0"/>
              <w:rPr>
                <w:sz w:val="20"/>
                <w:szCs w:val="20"/>
                <w:color w:val="auto"/>
              </w:rPr>
            </w:pPr>
            <w:r>
              <w:rPr>
                <w:rFonts w:ascii="Arial" w:cs="Arial" w:eastAsia="Arial" w:hAnsi="Arial"/>
                <w:sz w:val="17"/>
                <w:szCs w:val="17"/>
                <w:color w:val="auto"/>
              </w:rPr>
              <w:t>Income producing commercial real estate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10,296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(248)</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7</w:t>
            </w:r>
          </w:p>
        </w:tc>
        <w:tc>
          <w:tcPr>
            <w:tcW w:w="10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(400)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9,655</w:t>
            </w:r>
          </w:p>
        </w:tc>
      </w:tr>
      <w:tr>
        <w:trPr>
          <w:trHeight w:val="205"/>
        </w:trPr>
        <w:tc>
          <w:tcPr>
            <w:tcW w:w="3200" w:type="dxa"/>
            <w:vAlign w:val="bottom"/>
            <w:shd w:val="clear" w:color="auto" w:fill="F0FFFF"/>
          </w:tcPr>
          <w:p>
            <w:pPr>
              <w:spacing w:after="0"/>
              <w:rPr>
                <w:sz w:val="20"/>
                <w:szCs w:val="20"/>
                <w:color w:val="auto"/>
              </w:rPr>
            </w:pPr>
            <w:r>
              <w:rPr>
                <w:rFonts w:ascii="Arial" w:cs="Arial" w:eastAsia="Arial" w:hAnsi="Arial"/>
                <w:sz w:val="17"/>
                <w:szCs w:val="17"/>
                <w:color w:val="auto"/>
              </w:rPr>
              <w:t>Commercial &amp; industrial</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3,255</w:t>
            </w: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22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(469)</w:t>
            </w: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128</w:t>
            </w:r>
          </w:p>
        </w:tc>
        <w:tc>
          <w:tcPr>
            <w:tcW w:w="1060" w:type="dxa"/>
            <w:vAlign w:val="bottom"/>
            <w:shd w:val="clear" w:color="auto" w:fill="F0FFFF"/>
          </w:tcPr>
          <w:p>
            <w:pPr>
              <w:spacing w:after="0"/>
              <w:rPr>
                <w:sz w:val="17"/>
                <w:szCs w:val="17"/>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528</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3,442</w:t>
            </w:r>
          </w:p>
        </w:tc>
      </w:tr>
      <w:tr>
        <w:trPr>
          <w:trHeight w:val="205"/>
        </w:trPr>
        <w:tc>
          <w:tcPr>
            <w:tcW w:w="3200" w:type="dxa"/>
            <w:vAlign w:val="bottom"/>
          </w:tcPr>
          <w:p>
            <w:pPr>
              <w:spacing w:after="0"/>
              <w:rPr>
                <w:sz w:val="20"/>
                <w:szCs w:val="20"/>
                <w:color w:val="auto"/>
              </w:rPr>
            </w:pPr>
            <w:r>
              <w:rPr>
                <w:rFonts w:ascii="Arial" w:cs="Arial" w:eastAsia="Arial" w:hAnsi="Arial"/>
                <w:sz w:val="17"/>
                <w:szCs w:val="17"/>
                <w:color w:val="auto"/>
              </w:rPr>
              <w:t>Commercial construction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4,747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610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5,335</w:t>
            </w:r>
          </w:p>
        </w:tc>
      </w:tr>
      <w:tr>
        <w:trPr>
          <w:trHeight w:val="205"/>
        </w:trPr>
        <w:tc>
          <w:tcPr>
            <w:tcW w:w="3200" w:type="dxa"/>
            <w:vAlign w:val="bottom"/>
            <w:shd w:val="clear" w:color="auto" w:fill="F0FFFF"/>
          </w:tcPr>
          <w:p>
            <w:pPr>
              <w:spacing w:after="0"/>
              <w:rPr>
                <w:sz w:val="20"/>
                <w:szCs w:val="20"/>
                <w:color w:val="auto"/>
              </w:rPr>
            </w:pPr>
            <w:r>
              <w:rPr>
                <w:rFonts w:ascii="Arial" w:cs="Arial" w:eastAsia="Arial" w:hAnsi="Arial"/>
                <w:sz w:val="17"/>
                <w:szCs w:val="17"/>
                <w:color w:val="auto"/>
              </w:rPr>
              <w:t>Residential mortgage</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20,311</w:t>
            </w: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22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(578)</w:t>
            </w: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162</w:t>
            </w:r>
          </w:p>
        </w:tc>
        <w:tc>
          <w:tcPr>
            <w:tcW w:w="1060" w:type="dxa"/>
            <w:vAlign w:val="bottom"/>
            <w:shd w:val="clear" w:color="auto" w:fill="F0FFFF"/>
          </w:tcPr>
          <w:p>
            <w:pPr>
              <w:spacing w:after="0"/>
              <w:rPr>
                <w:sz w:val="17"/>
                <w:szCs w:val="17"/>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243</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20,138</w:t>
            </w:r>
          </w:p>
        </w:tc>
      </w:tr>
      <w:tr>
        <w:trPr>
          <w:trHeight w:val="205"/>
        </w:trPr>
        <w:tc>
          <w:tcPr>
            <w:tcW w:w="3200" w:type="dxa"/>
            <w:vAlign w:val="bottom"/>
          </w:tcPr>
          <w:p>
            <w:pPr>
              <w:spacing w:after="0"/>
              <w:rPr>
                <w:sz w:val="20"/>
                <w:szCs w:val="20"/>
                <w:color w:val="auto"/>
              </w:rPr>
            </w:pPr>
            <w:r>
              <w:rPr>
                <w:rFonts w:ascii="Arial" w:cs="Arial" w:eastAsia="Arial" w:hAnsi="Arial"/>
                <w:sz w:val="17"/>
                <w:szCs w:val="17"/>
                <w:color w:val="auto"/>
              </w:rPr>
              <w:t>Home equity lines of credit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4,574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(194)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4,321</w:t>
            </w:r>
          </w:p>
        </w:tc>
      </w:tr>
      <w:tr>
        <w:trPr>
          <w:trHeight w:val="205"/>
        </w:trPr>
        <w:tc>
          <w:tcPr>
            <w:tcW w:w="3200" w:type="dxa"/>
            <w:vAlign w:val="bottom"/>
            <w:shd w:val="clear" w:color="auto" w:fill="F0FFFF"/>
          </w:tcPr>
          <w:p>
            <w:pPr>
              <w:spacing w:after="0"/>
              <w:rPr>
                <w:sz w:val="20"/>
                <w:szCs w:val="20"/>
                <w:color w:val="auto"/>
              </w:rPr>
            </w:pPr>
            <w:r>
              <w:rPr>
                <w:rFonts w:ascii="Arial" w:cs="Arial" w:eastAsia="Arial" w:hAnsi="Arial"/>
                <w:sz w:val="17"/>
                <w:szCs w:val="17"/>
                <w:color w:val="auto"/>
              </w:rPr>
              <w:t>Residential construction</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10,603</w:t>
            </w: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22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(1,140)</w:t>
            </w: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79</w:t>
            </w:r>
          </w:p>
        </w:tc>
        <w:tc>
          <w:tcPr>
            <w:tcW w:w="24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668</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10,210</w:t>
            </w:r>
          </w:p>
        </w:tc>
      </w:tr>
      <w:tr>
        <w:trPr>
          <w:trHeight w:val="205"/>
        </w:trPr>
        <w:tc>
          <w:tcPr>
            <w:tcW w:w="3200" w:type="dxa"/>
            <w:vAlign w:val="bottom"/>
          </w:tcPr>
          <w:p>
            <w:pPr>
              <w:spacing w:after="0"/>
              <w:rPr>
                <w:sz w:val="20"/>
                <w:szCs w:val="20"/>
                <w:color w:val="auto"/>
              </w:rPr>
            </w:pPr>
            <w:r>
              <w:rPr>
                <w:rFonts w:ascii="Arial" w:cs="Arial" w:eastAsia="Arial" w:hAnsi="Arial"/>
                <w:sz w:val="17"/>
                <w:szCs w:val="17"/>
                <w:color w:val="auto"/>
              </w:rPr>
              <w:t>Consumer installment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731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(326)</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376</w:t>
            </w:r>
          </w:p>
        </w:tc>
        <w:tc>
          <w:tcPr>
            <w:tcW w:w="10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(68)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713</w:t>
            </w:r>
          </w:p>
        </w:tc>
      </w:tr>
      <w:tr>
        <w:trPr>
          <w:trHeight w:val="205"/>
        </w:trPr>
        <w:tc>
          <w:tcPr>
            <w:tcW w:w="3200" w:type="dxa"/>
            <w:vAlign w:val="bottom"/>
            <w:shd w:val="clear" w:color="auto" w:fill="F0FFFF"/>
          </w:tcPr>
          <w:p>
            <w:pPr>
              <w:spacing w:after="0"/>
              <w:rPr>
                <w:sz w:val="20"/>
                <w:szCs w:val="20"/>
                <w:color w:val="auto"/>
              </w:rPr>
            </w:pPr>
            <w:r>
              <w:rPr>
                <w:rFonts w:ascii="Arial" w:cs="Arial" w:eastAsia="Arial" w:hAnsi="Arial"/>
                <w:sz w:val="17"/>
                <w:szCs w:val="17"/>
                <w:color w:val="auto"/>
              </w:rPr>
              <w:t>Indirect auto</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1,061</w:t>
            </w: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22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(128)</w:t>
            </w: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13</w:t>
            </w:r>
          </w:p>
        </w:tc>
        <w:tc>
          <w:tcPr>
            <w:tcW w:w="24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295</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1,241</w:t>
            </w:r>
          </w:p>
        </w:tc>
      </w:tr>
      <w:tr>
        <w:trPr>
          <w:trHeight w:val="26"/>
        </w:trPr>
        <w:tc>
          <w:tcPr>
            <w:tcW w:w="32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05"/>
        </w:trPr>
        <w:tc>
          <w:tcPr>
            <w:tcW w:w="3200" w:type="dxa"/>
            <w:vAlign w:val="bottom"/>
          </w:tcPr>
          <w:p>
            <w:pPr>
              <w:ind w:left="160"/>
              <w:spacing w:after="0"/>
              <w:rPr>
                <w:sz w:val="20"/>
                <w:szCs w:val="20"/>
                <w:color w:val="auto"/>
              </w:rPr>
            </w:pPr>
            <w:r>
              <w:rPr>
                <w:rFonts w:ascii="Arial" w:cs="Arial" w:eastAsia="Arial" w:hAnsi="Arial"/>
                <w:sz w:val="17"/>
                <w:szCs w:val="17"/>
                <w:color w:val="auto"/>
              </w:rPr>
              <w:t>Total allowance for loan losses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71,619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(3,352)</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790</w:t>
            </w:r>
          </w:p>
        </w:tc>
        <w:tc>
          <w:tcPr>
            <w:tcW w:w="10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950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70,007</w:t>
            </w:r>
          </w:p>
        </w:tc>
      </w:tr>
      <w:tr>
        <w:trPr>
          <w:trHeight w:val="205"/>
        </w:trPr>
        <w:tc>
          <w:tcPr>
            <w:tcW w:w="3200" w:type="dxa"/>
            <w:vAlign w:val="bottom"/>
            <w:shd w:val="clear" w:color="auto" w:fill="F0FFFF"/>
          </w:tcPr>
          <w:p>
            <w:pPr>
              <w:spacing w:after="0"/>
              <w:rPr>
                <w:sz w:val="20"/>
                <w:szCs w:val="20"/>
                <w:color w:val="auto"/>
              </w:rPr>
            </w:pPr>
            <w:r>
              <w:rPr>
                <w:rFonts w:ascii="Arial" w:cs="Arial" w:eastAsia="Arial" w:hAnsi="Arial"/>
                <w:sz w:val="17"/>
                <w:szCs w:val="17"/>
                <w:color w:val="auto"/>
              </w:rPr>
              <w:t>Allowance for unfunded commitments</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1,930</w:t>
            </w: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850</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2,780</w:t>
            </w:r>
          </w:p>
        </w:tc>
      </w:tr>
      <w:tr>
        <w:trPr>
          <w:trHeight w:val="26"/>
        </w:trPr>
        <w:tc>
          <w:tcPr>
            <w:tcW w:w="32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05"/>
        </w:trPr>
        <w:tc>
          <w:tcPr>
            <w:tcW w:w="3200" w:type="dxa"/>
            <w:vAlign w:val="bottom"/>
          </w:tcPr>
          <w:p>
            <w:pPr>
              <w:ind w:left="160"/>
              <w:spacing w:after="0"/>
              <w:rPr>
                <w:sz w:val="20"/>
                <w:szCs w:val="20"/>
                <w:color w:val="auto"/>
              </w:rPr>
            </w:pPr>
            <w:r>
              <w:rPr>
                <w:rFonts w:ascii="Arial" w:cs="Arial" w:eastAsia="Arial" w:hAnsi="Arial"/>
                <w:sz w:val="17"/>
                <w:szCs w:val="17"/>
                <w:color w:val="auto"/>
              </w:rPr>
              <w:t>Total allowance for credit losses</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73,549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(3,352)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790</w:t>
            </w:r>
          </w:p>
        </w:tc>
        <w:tc>
          <w:tcPr>
            <w:tcW w:w="1060" w:type="dxa"/>
            <w:vAlign w:val="bottom"/>
          </w:tcPr>
          <w:p>
            <w:pPr>
              <w:jc w:val="right"/>
              <w:ind w:right="899"/>
              <w:spacing w:after="0"/>
              <w:rPr>
                <w:sz w:val="20"/>
                <w:szCs w:val="20"/>
                <w:color w:val="auto"/>
              </w:rPr>
            </w:pPr>
            <w:r>
              <w:rPr>
                <w:rFonts w:ascii="Arial" w:cs="Arial" w:eastAsia="Arial" w:hAnsi="Arial"/>
                <w:sz w:val="15"/>
                <w:szCs w:val="15"/>
                <w:color w:val="auto"/>
                <w:w w:val="71"/>
              </w:rPr>
              <w:t>$</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1,800</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72,787</w:t>
            </w: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2"/>
        </w:trPr>
        <w:tc>
          <w:tcPr>
            <w:tcW w:w="32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jc w:val="right"/>
              <w:spacing w:after="0"/>
              <w:rPr>
                <w:sz w:val="20"/>
                <w:szCs w:val="20"/>
                <w:color w:val="auto"/>
              </w:rPr>
            </w:pPr>
            <w:r>
              <w:rPr>
                <w:rFonts w:ascii="Arial" w:cs="Arial" w:eastAsia="Arial" w:hAnsi="Arial"/>
                <w:sz w:val="17"/>
                <w:szCs w:val="17"/>
                <w:color w:val="auto"/>
              </w:rPr>
              <w:t>14</w:t>
            </w:r>
          </w:p>
        </w:tc>
        <w:tc>
          <w:tcPr>
            <w:tcW w:w="2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79"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b w:val="1"/>
          <w:bCs w:val="1"/>
          <w:color w:val="auto"/>
        </w:rPr>
        <w:t>UNITED COMMUNITY BANKS,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Allocation</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Beginning</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Charge-</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6"/>
              </w:rPr>
              <w:t>of</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ind w:left="100"/>
              <w:spacing w:after="0"/>
              <w:rPr>
                <w:sz w:val="20"/>
                <w:szCs w:val="20"/>
                <w:color w:val="auto"/>
              </w:rPr>
            </w:pPr>
            <w:r>
              <w:rPr>
                <w:rFonts w:ascii="Arial" w:cs="Arial" w:eastAsia="Arial" w:hAnsi="Arial"/>
                <w:sz w:val="17"/>
                <w:szCs w:val="17"/>
                <w:b w:val="1"/>
                <w:bCs w:val="1"/>
                <w:color w:val="auto"/>
              </w:rPr>
              <w:t>Ending</w:t>
            </w:r>
          </w:p>
        </w:tc>
      </w:tr>
      <w:tr>
        <w:trPr>
          <w:trHeight w:val="227"/>
        </w:trPr>
        <w:tc>
          <w:tcPr>
            <w:tcW w:w="3080" w:type="dxa"/>
            <w:vAlign w:val="bottom"/>
          </w:tcPr>
          <w:p>
            <w:pPr>
              <w:spacing w:after="0"/>
              <w:rPr>
                <w:sz w:val="20"/>
                <w:szCs w:val="20"/>
                <w:color w:val="auto"/>
              </w:rPr>
            </w:pPr>
            <w:r>
              <w:rPr>
                <w:rFonts w:ascii="Arial" w:cs="Arial" w:eastAsia="Arial" w:hAnsi="Arial"/>
                <w:sz w:val="17"/>
                <w:szCs w:val="17"/>
                <w:b w:val="1"/>
                <w:bCs w:val="1"/>
                <w:color w:val="auto"/>
              </w:rPr>
              <w:t>Three Months Ended March 31, 2014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Balance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7"/>
                <w:szCs w:val="17"/>
                <w:b w:val="1"/>
                <w:bCs w:val="1"/>
                <w:color w:val="auto"/>
              </w:rPr>
              <w:t>Offs</w:t>
            </w:r>
          </w:p>
        </w:tc>
        <w:tc>
          <w:tcPr>
            <w:tcW w:w="12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w w:val="90"/>
              </w:rPr>
              <w:t>Recoveries</w:t>
            </w:r>
          </w:p>
        </w:tc>
        <w:tc>
          <w:tcPr>
            <w:tcW w:w="1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1"/>
              </w:rPr>
              <w:t>Unallocated</w:t>
            </w:r>
          </w:p>
        </w:tc>
        <w:tc>
          <w:tcPr>
            <w:tcW w:w="16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5"/>
              </w:rPr>
              <w:t>Provision</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Arial" w:cs="Arial" w:eastAsia="Arial" w:hAnsi="Arial"/>
                <w:sz w:val="17"/>
                <w:szCs w:val="17"/>
                <w:b w:val="1"/>
                <w:bCs w:val="1"/>
                <w:color w:val="auto"/>
              </w:rPr>
              <w:t>Balance</w:t>
            </w:r>
          </w:p>
        </w:tc>
      </w:tr>
      <w:tr>
        <w:trPr>
          <w:trHeight w:val="205"/>
        </w:trPr>
        <w:tc>
          <w:tcPr>
            <w:tcW w:w="30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080" w:type="dxa"/>
            <w:vAlign w:val="bottom"/>
            <w:shd w:val="clear" w:color="auto" w:fill="F0FFFF"/>
          </w:tcPr>
          <w:p>
            <w:pPr>
              <w:spacing w:after="0"/>
              <w:rPr>
                <w:sz w:val="20"/>
                <w:szCs w:val="20"/>
                <w:color w:val="auto"/>
              </w:rPr>
            </w:pPr>
            <w:r>
              <w:rPr>
                <w:rFonts w:ascii="Arial" w:cs="Arial" w:eastAsia="Arial" w:hAnsi="Arial"/>
                <w:sz w:val="17"/>
                <w:szCs w:val="17"/>
                <w:color w:val="auto"/>
              </w:rPr>
              <w:t>Owner occupied commercial real estate</w:t>
            </w:r>
          </w:p>
        </w:tc>
        <w:tc>
          <w:tcPr>
            <w:tcW w:w="38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17,164</w:t>
            </w:r>
          </w:p>
        </w:tc>
        <w:tc>
          <w:tcPr>
            <w:tcW w:w="28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(341)</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89</w:t>
            </w:r>
          </w:p>
        </w:tc>
        <w:tc>
          <w:tcPr>
            <w:tcW w:w="240" w:type="dxa"/>
            <w:vAlign w:val="bottom"/>
            <w:shd w:val="clear" w:color="auto" w:fill="F0FFFF"/>
          </w:tcPr>
          <w:p>
            <w:pPr>
              <w:spacing w:after="0"/>
              <w:rPr>
                <w:sz w:val="17"/>
                <w:szCs w:val="17"/>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1,278</w:t>
            </w: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5,166</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23,356</w:t>
            </w:r>
          </w:p>
        </w:tc>
      </w:tr>
      <w:tr>
        <w:trPr>
          <w:trHeight w:val="205"/>
        </w:trPr>
        <w:tc>
          <w:tcPr>
            <w:tcW w:w="3080" w:type="dxa"/>
            <w:vAlign w:val="bottom"/>
          </w:tcPr>
          <w:p>
            <w:pPr>
              <w:spacing w:after="0"/>
              <w:rPr>
                <w:sz w:val="20"/>
                <w:szCs w:val="20"/>
                <w:color w:val="auto"/>
              </w:rPr>
            </w:pPr>
            <w:r>
              <w:rPr>
                <w:rFonts w:ascii="Arial" w:cs="Arial" w:eastAsia="Arial" w:hAnsi="Arial"/>
                <w:sz w:val="17"/>
                <w:szCs w:val="17"/>
                <w:color w:val="auto"/>
                <w:w w:val="98"/>
              </w:rPr>
              <w:t>Income producing commercial real estate</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7,174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(231)</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688</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7,862</w:t>
            </w:r>
          </w:p>
        </w:tc>
      </w:tr>
      <w:tr>
        <w:trPr>
          <w:trHeight w:val="205"/>
        </w:trPr>
        <w:tc>
          <w:tcPr>
            <w:tcW w:w="3080" w:type="dxa"/>
            <w:vAlign w:val="bottom"/>
            <w:shd w:val="clear" w:color="auto" w:fill="F0FFFF"/>
          </w:tcPr>
          <w:p>
            <w:pPr>
              <w:spacing w:after="0"/>
              <w:rPr>
                <w:sz w:val="20"/>
                <w:szCs w:val="20"/>
                <w:color w:val="auto"/>
              </w:rPr>
            </w:pPr>
            <w:r>
              <w:rPr>
                <w:rFonts w:ascii="Arial" w:cs="Arial" w:eastAsia="Arial" w:hAnsi="Arial"/>
                <w:sz w:val="17"/>
                <w:szCs w:val="17"/>
                <w:color w:val="auto"/>
              </w:rPr>
              <w:t>Commercial &amp; industrial</w:t>
            </w: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6,527</w:t>
            </w: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22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(963)</w:t>
            </w: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541</w:t>
            </w:r>
          </w:p>
        </w:tc>
        <w:tc>
          <w:tcPr>
            <w:tcW w:w="100" w:type="dxa"/>
            <w:vAlign w:val="bottom"/>
            <w:shd w:val="clear" w:color="auto" w:fill="F0FFFF"/>
          </w:tcPr>
          <w:p>
            <w:pPr>
              <w:spacing w:after="0"/>
              <w:rPr>
                <w:sz w:val="17"/>
                <w:szCs w:val="17"/>
                <w:color w:val="auto"/>
              </w:rPr>
            </w:pP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318</w:t>
            </w:r>
          </w:p>
        </w:tc>
        <w:tc>
          <w:tcPr>
            <w:tcW w:w="16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(2,176)</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4,247</w:t>
            </w:r>
          </w:p>
        </w:tc>
      </w:tr>
      <w:tr>
        <w:trPr>
          <w:trHeight w:val="205"/>
        </w:trPr>
        <w:tc>
          <w:tcPr>
            <w:tcW w:w="3080" w:type="dxa"/>
            <w:vAlign w:val="bottom"/>
          </w:tcPr>
          <w:p>
            <w:pPr>
              <w:spacing w:after="0"/>
              <w:rPr>
                <w:sz w:val="20"/>
                <w:szCs w:val="20"/>
                <w:color w:val="auto"/>
              </w:rPr>
            </w:pPr>
            <w:r>
              <w:rPr>
                <w:rFonts w:ascii="Arial" w:cs="Arial" w:eastAsia="Arial" w:hAnsi="Arial"/>
                <w:sz w:val="17"/>
                <w:szCs w:val="17"/>
                <w:color w:val="auto"/>
              </w:rPr>
              <w:t>Commercial construction</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3,669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388</w:t>
            </w:r>
          </w:p>
        </w:tc>
        <w:tc>
          <w:tcPr>
            <w:tcW w:w="16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(80)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3,977</w:t>
            </w:r>
          </w:p>
        </w:tc>
      </w:tr>
      <w:tr>
        <w:trPr>
          <w:trHeight w:val="205"/>
        </w:trPr>
        <w:tc>
          <w:tcPr>
            <w:tcW w:w="3080" w:type="dxa"/>
            <w:vAlign w:val="bottom"/>
            <w:shd w:val="clear" w:color="auto" w:fill="F0FFFF"/>
          </w:tcPr>
          <w:p>
            <w:pPr>
              <w:spacing w:after="0"/>
              <w:rPr>
                <w:sz w:val="20"/>
                <w:szCs w:val="20"/>
                <w:color w:val="auto"/>
              </w:rPr>
            </w:pPr>
            <w:r>
              <w:rPr>
                <w:rFonts w:ascii="Arial" w:cs="Arial" w:eastAsia="Arial" w:hAnsi="Arial"/>
                <w:sz w:val="17"/>
                <w:szCs w:val="17"/>
                <w:color w:val="auto"/>
              </w:rPr>
              <w:t>Residential mortgage</w:t>
            </w: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15,446</w:t>
            </w: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22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(1,581)</w:t>
            </w: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66</w:t>
            </w:r>
          </w:p>
        </w:tc>
        <w:tc>
          <w:tcPr>
            <w:tcW w:w="2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1,452</w:t>
            </w: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584</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15,967</w:t>
            </w:r>
          </w:p>
        </w:tc>
      </w:tr>
      <w:tr>
        <w:trPr>
          <w:trHeight w:val="205"/>
        </w:trPr>
        <w:tc>
          <w:tcPr>
            <w:tcW w:w="3080" w:type="dxa"/>
            <w:vAlign w:val="bottom"/>
          </w:tcPr>
          <w:p>
            <w:pPr>
              <w:spacing w:after="0"/>
              <w:rPr>
                <w:sz w:val="20"/>
                <w:szCs w:val="20"/>
                <w:color w:val="auto"/>
              </w:rPr>
            </w:pPr>
            <w:r>
              <w:rPr>
                <w:rFonts w:ascii="Arial" w:cs="Arial" w:eastAsia="Arial" w:hAnsi="Arial"/>
                <w:sz w:val="17"/>
                <w:szCs w:val="17"/>
                <w:color w:val="auto"/>
              </w:rPr>
              <w:t>Home equity lines of credit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5,528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(1,003)</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391</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1,194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6,120</w:t>
            </w:r>
          </w:p>
        </w:tc>
      </w:tr>
      <w:tr>
        <w:trPr>
          <w:trHeight w:val="205"/>
        </w:trPr>
        <w:tc>
          <w:tcPr>
            <w:tcW w:w="3080" w:type="dxa"/>
            <w:vAlign w:val="bottom"/>
            <w:shd w:val="clear" w:color="auto" w:fill="F0FFFF"/>
          </w:tcPr>
          <w:p>
            <w:pPr>
              <w:spacing w:after="0"/>
              <w:rPr>
                <w:sz w:val="20"/>
                <w:szCs w:val="20"/>
                <w:color w:val="auto"/>
              </w:rPr>
            </w:pPr>
            <w:r>
              <w:rPr>
                <w:rFonts w:ascii="Arial" w:cs="Arial" w:eastAsia="Arial" w:hAnsi="Arial"/>
                <w:sz w:val="17"/>
                <w:szCs w:val="17"/>
                <w:color w:val="auto"/>
              </w:rPr>
              <w:t>Residential construction</w:t>
            </w: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12,532</w:t>
            </w: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22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(304)</w:t>
            </w: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93</w:t>
            </w:r>
          </w:p>
        </w:tc>
        <w:tc>
          <w:tcPr>
            <w:tcW w:w="2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1,728</w:t>
            </w: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(1,868)</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12,181</w:t>
            </w:r>
          </w:p>
        </w:tc>
      </w:tr>
      <w:tr>
        <w:trPr>
          <w:trHeight w:val="205"/>
        </w:trPr>
        <w:tc>
          <w:tcPr>
            <w:tcW w:w="3080" w:type="dxa"/>
            <w:vAlign w:val="bottom"/>
          </w:tcPr>
          <w:p>
            <w:pPr>
              <w:spacing w:after="0"/>
              <w:rPr>
                <w:sz w:val="20"/>
                <w:szCs w:val="20"/>
                <w:color w:val="auto"/>
              </w:rPr>
            </w:pPr>
            <w:r>
              <w:rPr>
                <w:rFonts w:ascii="Arial" w:cs="Arial" w:eastAsia="Arial" w:hAnsi="Arial"/>
                <w:sz w:val="17"/>
                <w:szCs w:val="17"/>
                <w:color w:val="auto"/>
              </w:rPr>
              <w:t>Consumer installment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1,353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(676)</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327</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(287)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717</w:t>
            </w:r>
          </w:p>
        </w:tc>
      </w:tr>
      <w:tr>
        <w:trPr>
          <w:trHeight w:val="205"/>
        </w:trPr>
        <w:tc>
          <w:tcPr>
            <w:tcW w:w="3080" w:type="dxa"/>
            <w:vAlign w:val="bottom"/>
            <w:shd w:val="clear" w:color="auto" w:fill="F0FFFF"/>
          </w:tcPr>
          <w:p>
            <w:pPr>
              <w:spacing w:after="0"/>
              <w:rPr>
                <w:sz w:val="20"/>
                <w:szCs w:val="20"/>
                <w:color w:val="auto"/>
              </w:rPr>
            </w:pPr>
            <w:r>
              <w:rPr>
                <w:rFonts w:ascii="Arial" w:cs="Arial" w:eastAsia="Arial" w:hAnsi="Arial"/>
                <w:sz w:val="17"/>
                <w:szCs w:val="17"/>
                <w:color w:val="auto"/>
              </w:rPr>
              <w:t>Indirect auto</w:t>
            </w: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1,126</w:t>
            </w: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22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(77)</w:t>
            </w: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F0FFFF"/>
          </w:tcPr>
          <w:p>
            <w:pPr>
              <w:spacing w:after="0"/>
              <w:rPr>
                <w:sz w:val="17"/>
                <w:szCs w:val="17"/>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(264)</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796</w:t>
            </w:r>
          </w:p>
        </w:tc>
      </w:tr>
      <w:tr>
        <w:trPr>
          <w:trHeight w:val="205"/>
        </w:trPr>
        <w:tc>
          <w:tcPr>
            <w:tcW w:w="3080" w:type="dxa"/>
            <w:vAlign w:val="bottom"/>
          </w:tcPr>
          <w:p>
            <w:pPr>
              <w:spacing w:after="0"/>
              <w:rPr>
                <w:sz w:val="20"/>
                <w:szCs w:val="20"/>
                <w:color w:val="auto"/>
              </w:rPr>
            </w:pPr>
            <w:r>
              <w:rPr>
                <w:rFonts w:ascii="Arial" w:cs="Arial" w:eastAsia="Arial" w:hAnsi="Arial"/>
                <w:sz w:val="17"/>
                <w:szCs w:val="17"/>
                <w:color w:val="auto"/>
              </w:rPr>
              <w:t>Unallocated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6,243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(6,243)</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6"/>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3080" w:type="dxa"/>
            <w:vAlign w:val="bottom"/>
            <w:shd w:val="clear" w:color="auto" w:fill="F0FFFF"/>
          </w:tcPr>
          <w:p>
            <w:pPr>
              <w:ind w:left="320"/>
              <w:spacing w:after="0"/>
              <w:rPr>
                <w:sz w:val="20"/>
                <w:szCs w:val="20"/>
                <w:color w:val="auto"/>
              </w:rPr>
            </w:pPr>
            <w:r>
              <w:rPr>
                <w:rFonts w:ascii="Arial" w:cs="Arial" w:eastAsia="Arial" w:hAnsi="Arial"/>
                <w:sz w:val="17"/>
                <w:szCs w:val="17"/>
                <w:color w:val="auto"/>
              </w:rPr>
              <w:t>Total allowance for loan losses</w:t>
            </w: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76,762</w:t>
            </w: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22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(5,176)</w:t>
            </w: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1,137</w:t>
            </w:r>
          </w:p>
        </w:tc>
        <w:tc>
          <w:tcPr>
            <w:tcW w:w="2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2,500</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75,223</w:t>
            </w:r>
          </w:p>
        </w:tc>
      </w:tr>
      <w:tr>
        <w:trPr>
          <w:trHeight w:val="205"/>
        </w:trPr>
        <w:tc>
          <w:tcPr>
            <w:tcW w:w="3080" w:type="dxa"/>
            <w:vAlign w:val="bottom"/>
          </w:tcPr>
          <w:p>
            <w:pPr>
              <w:spacing w:after="0"/>
              <w:rPr>
                <w:sz w:val="20"/>
                <w:szCs w:val="20"/>
                <w:color w:val="auto"/>
              </w:rPr>
            </w:pPr>
            <w:r>
              <w:rPr>
                <w:rFonts w:ascii="Arial" w:cs="Arial" w:eastAsia="Arial" w:hAnsi="Arial"/>
                <w:sz w:val="17"/>
                <w:szCs w:val="17"/>
                <w:color w:val="auto"/>
              </w:rPr>
              <w:t>Allowance for unfunded commitments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2,165</w:t>
            </w:r>
          </w:p>
        </w:tc>
      </w:tr>
      <w:tr>
        <w:trPr>
          <w:trHeight w:val="26"/>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3080" w:type="dxa"/>
            <w:vAlign w:val="bottom"/>
            <w:shd w:val="clear" w:color="auto" w:fill="F0FFFF"/>
          </w:tcPr>
          <w:p>
            <w:pPr>
              <w:ind w:left="320"/>
              <w:spacing w:after="0"/>
              <w:rPr>
                <w:sz w:val="20"/>
                <w:szCs w:val="20"/>
                <w:color w:val="auto"/>
              </w:rPr>
            </w:pPr>
            <w:r>
              <w:rPr>
                <w:rFonts w:ascii="Arial" w:cs="Arial" w:eastAsia="Arial" w:hAnsi="Arial"/>
                <w:sz w:val="17"/>
                <w:szCs w:val="17"/>
                <w:color w:val="auto"/>
              </w:rPr>
              <w:t>Total allowance for credit losses</w:t>
            </w:r>
          </w:p>
        </w:tc>
        <w:tc>
          <w:tcPr>
            <w:tcW w:w="240" w:type="dxa"/>
            <w:vAlign w:val="bottom"/>
            <w:shd w:val="clear" w:color="auto" w:fill="F0FFFF"/>
          </w:tcPr>
          <w:p>
            <w:pPr>
              <w:spacing w:after="0"/>
              <w:rPr>
                <w:sz w:val="19"/>
                <w:szCs w:val="19"/>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78,927</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(5,176)</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1,137</w:t>
            </w:r>
          </w:p>
        </w:tc>
        <w:tc>
          <w:tcPr>
            <w:tcW w:w="240" w:type="dxa"/>
            <w:vAlign w:val="bottom"/>
            <w:shd w:val="clear" w:color="auto" w:fill="F0FFFF"/>
          </w:tcPr>
          <w:p>
            <w:pPr>
              <w:spacing w:after="0"/>
              <w:rPr>
                <w:sz w:val="19"/>
                <w:szCs w:val="19"/>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F0FFFF"/>
          </w:tcPr>
          <w:p>
            <w:pPr>
              <w:spacing w:after="0"/>
              <w:rPr>
                <w:sz w:val="19"/>
                <w:szCs w:val="19"/>
                <w:color w:val="auto"/>
              </w:rPr>
            </w:pP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2,500</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77,388</w:t>
            </w:r>
          </w:p>
        </w:tc>
      </w:tr>
      <w:tr>
        <w:trPr>
          <w:trHeight w:val="20"/>
        </w:trPr>
        <w:tc>
          <w:tcPr>
            <w:tcW w:w="308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r>
    </w:tbl>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the first quarter of 2014, United modified its allowance for loan losses methodology to incorporate a loss emergence period. The increase in precision resulting from the use of the loss emergence period led to the full allocation of the portion of the allowance that had previously been unallocated.</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The following table represents the recorded investment in loans by portfolio segment and the balance of the allowance for loan losses assigned to each segment based on the method of evaluating the loans for impairment as of March 31, 2015, December 31, 2014 and March 31, 2014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8"/>
              </w:rPr>
              <w:t>March 31, 2015</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7"/>
              </w:rPr>
              <w:t>December 31, 2014</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8"/>
              </w:rPr>
              <w:t>March 31, 2014</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2"/>
              <w:spacing w:after="0" w:line="121" w:lineRule="exact"/>
              <w:rPr>
                <w:sz w:val="20"/>
                <w:szCs w:val="20"/>
                <w:color w:val="auto"/>
              </w:rPr>
            </w:pPr>
            <w:r>
              <w:rPr>
                <w:rFonts w:ascii="Arial" w:cs="Arial" w:eastAsia="Arial" w:hAnsi="Arial"/>
                <w:sz w:val="13"/>
                <w:szCs w:val="13"/>
                <w:b w:val="1"/>
                <w:bCs w:val="1"/>
                <w:color w:val="auto"/>
              </w:rPr>
              <w:t>Individually</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80"/>
              <w:spacing w:after="0" w:line="121" w:lineRule="exact"/>
              <w:rPr>
                <w:sz w:val="20"/>
                <w:szCs w:val="20"/>
                <w:color w:val="auto"/>
              </w:rPr>
            </w:pPr>
            <w:r>
              <w:rPr>
                <w:rFonts w:ascii="Arial" w:cs="Arial" w:eastAsia="Arial" w:hAnsi="Arial"/>
                <w:sz w:val="13"/>
                <w:szCs w:val="13"/>
                <w:b w:val="1"/>
                <w:bCs w:val="1"/>
                <w:color w:val="auto"/>
                <w:w w:val="94"/>
              </w:rPr>
              <w:t>Collectively</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72"/>
              <w:spacing w:after="0" w:line="121" w:lineRule="exact"/>
              <w:rPr>
                <w:sz w:val="20"/>
                <w:szCs w:val="20"/>
                <w:color w:val="auto"/>
              </w:rPr>
            </w:pPr>
            <w:r>
              <w:rPr>
                <w:rFonts w:ascii="Arial" w:cs="Arial" w:eastAsia="Arial" w:hAnsi="Arial"/>
                <w:sz w:val="13"/>
                <w:szCs w:val="13"/>
                <w:b w:val="1"/>
                <w:bCs w:val="1"/>
                <w:color w:val="auto"/>
              </w:rPr>
              <w:t>Individually</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300"/>
              <w:spacing w:after="0" w:line="121" w:lineRule="exact"/>
              <w:rPr>
                <w:sz w:val="20"/>
                <w:szCs w:val="20"/>
                <w:color w:val="auto"/>
              </w:rPr>
            </w:pPr>
            <w:r>
              <w:rPr>
                <w:rFonts w:ascii="Arial" w:cs="Arial" w:eastAsia="Arial" w:hAnsi="Arial"/>
                <w:sz w:val="13"/>
                <w:szCs w:val="13"/>
                <w:b w:val="1"/>
                <w:bCs w:val="1"/>
                <w:color w:val="auto"/>
                <w:w w:val="94"/>
              </w:rPr>
              <w:t>Collectively</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180"/>
              <w:spacing w:after="0" w:line="121" w:lineRule="exact"/>
              <w:rPr>
                <w:sz w:val="20"/>
                <w:szCs w:val="20"/>
                <w:color w:val="auto"/>
              </w:rPr>
            </w:pPr>
            <w:r>
              <w:rPr>
                <w:rFonts w:ascii="Arial" w:cs="Arial" w:eastAsia="Arial" w:hAnsi="Arial"/>
                <w:sz w:val="13"/>
                <w:szCs w:val="13"/>
                <w:b w:val="1"/>
                <w:bCs w:val="1"/>
                <w:color w:val="auto"/>
                <w:w w:val="97"/>
              </w:rPr>
              <w:t>Individually</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200"/>
              <w:spacing w:after="0" w:line="121" w:lineRule="exact"/>
              <w:rPr>
                <w:sz w:val="20"/>
                <w:szCs w:val="20"/>
                <w:color w:val="auto"/>
              </w:rPr>
            </w:pPr>
            <w:r>
              <w:rPr>
                <w:rFonts w:ascii="Arial" w:cs="Arial" w:eastAsia="Arial" w:hAnsi="Arial"/>
                <w:sz w:val="13"/>
                <w:szCs w:val="13"/>
                <w:b w:val="1"/>
                <w:bCs w:val="1"/>
                <w:color w:val="auto"/>
                <w:w w:val="96"/>
              </w:rPr>
              <w:t>Collectively</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w w:val="86"/>
              </w:rPr>
              <w:t>Allowance for Loan Losses</w:t>
            </w:r>
          </w:p>
        </w:tc>
        <w:tc>
          <w:tcPr>
            <w:tcW w:w="80" w:type="dxa"/>
            <w:vAlign w:val="bottom"/>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7"/>
              </w:rPr>
              <w:t>evaluated for</w:t>
            </w:r>
          </w:p>
        </w:tc>
        <w:tc>
          <w:tcPr>
            <w:tcW w:w="200" w:type="dxa"/>
            <w:vAlign w:val="bottom"/>
          </w:tcPr>
          <w:p>
            <w:pPr>
              <w:spacing w:after="0"/>
              <w:rPr>
                <w:sz w:val="12"/>
                <w:szCs w:val="12"/>
                <w:color w:val="auto"/>
              </w:rPr>
            </w:pPr>
          </w:p>
        </w:tc>
        <w:tc>
          <w:tcPr>
            <w:tcW w:w="98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7"/>
              </w:rPr>
              <w:t>evaluated for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40"/>
              <w:spacing w:after="0" w:line="141" w:lineRule="exact"/>
              <w:rPr>
                <w:sz w:val="20"/>
                <w:szCs w:val="20"/>
                <w:color w:val="auto"/>
              </w:rPr>
            </w:pPr>
            <w:r>
              <w:rPr>
                <w:rFonts w:ascii="Arial" w:cs="Arial" w:eastAsia="Arial" w:hAnsi="Arial"/>
                <w:sz w:val="14"/>
                <w:szCs w:val="14"/>
                <w:b w:val="1"/>
                <w:bCs w:val="1"/>
                <w:color w:val="auto"/>
              </w:rPr>
              <w:t>Ending</w:t>
            </w:r>
          </w:p>
        </w:tc>
        <w:tc>
          <w:tcPr>
            <w:tcW w:w="94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7"/>
              </w:rPr>
              <w:t>evaluated for</w:t>
            </w:r>
          </w:p>
        </w:tc>
        <w:tc>
          <w:tcPr>
            <w:tcW w:w="160" w:type="dxa"/>
            <w:vAlign w:val="bottom"/>
          </w:tcPr>
          <w:p>
            <w:pPr>
              <w:spacing w:after="0"/>
              <w:rPr>
                <w:sz w:val="12"/>
                <w:szCs w:val="12"/>
                <w:color w:val="auto"/>
              </w:rPr>
            </w:pPr>
          </w:p>
        </w:tc>
        <w:tc>
          <w:tcPr>
            <w:tcW w:w="1100" w:type="dxa"/>
            <w:vAlign w:val="bottom"/>
            <w:gridSpan w:val="3"/>
          </w:tcPr>
          <w:p>
            <w:pPr>
              <w:jc w:val="center"/>
              <w:ind w:right="220"/>
              <w:spacing w:after="0" w:line="141" w:lineRule="exact"/>
              <w:rPr>
                <w:sz w:val="20"/>
                <w:szCs w:val="20"/>
                <w:color w:val="auto"/>
              </w:rPr>
            </w:pPr>
            <w:r>
              <w:rPr>
                <w:rFonts w:ascii="Arial" w:cs="Arial" w:eastAsia="Arial" w:hAnsi="Arial"/>
                <w:sz w:val="14"/>
                <w:szCs w:val="14"/>
                <w:b w:val="1"/>
                <w:bCs w:val="1"/>
                <w:color w:val="auto"/>
                <w:w w:val="87"/>
              </w:rPr>
              <w:t>evaluated for</w:t>
            </w:r>
          </w:p>
        </w:tc>
        <w:tc>
          <w:tcPr>
            <w:tcW w:w="140" w:type="dxa"/>
            <w:vAlign w:val="bottom"/>
          </w:tcPr>
          <w:p>
            <w:pPr>
              <w:spacing w:after="0"/>
              <w:rPr>
                <w:sz w:val="12"/>
                <w:szCs w:val="12"/>
                <w:color w:val="auto"/>
              </w:rPr>
            </w:pPr>
          </w:p>
        </w:tc>
        <w:tc>
          <w:tcPr>
            <w:tcW w:w="96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88"/>
              </w:rPr>
              <w:t>Ending</w:t>
            </w:r>
          </w:p>
        </w:tc>
        <w:tc>
          <w:tcPr>
            <w:tcW w:w="100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9"/>
              </w:rPr>
              <w:t>evaluated for</w:t>
            </w:r>
          </w:p>
        </w:tc>
        <w:tc>
          <w:tcPr>
            <w:tcW w:w="100" w:type="dxa"/>
            <w:vAlign w:val="bottom"/>
          </w:tcPr>
          <w:p>
            <w:pPr>
              <w:spacing w:after="0"/>
              <w:rPr>
                <w:sz w:val="12"/>
                <w:szCs w:val="12"/>
                <w:color w:val="auto"/>
              </w:rPr>
            </w:pPr>
          </w:p>
        </w:tc>
        <w:tc>
          <w:tcPr>
            <w:tcW w:w="1000" w:type="dxa"/>
            <w:vAlign w:val="bottom"/>
            <w:gridSpan w:val="3"/>
          </w:tcPr>
          <w:p>
            <w:pPr>
              <w:jc w:val="right"/>
              <w:ind w:right="160"/>
              <w:spacing w:after="0" w:line="141" w:lineRule="exact"/>
              <w:rPr>
                <w:sz w:val="20"/>
                <w:szCs w:val="20"/>
                <w:color w:val="auto"/>
              </w:rPr>
            </w:pPr>
            <w:r>
              <w:rPr>
                <w:rFonts w:ascii="Arial" w:cs="Arial" w:eastAsia="Arial" w:hAnsi="Arial"/>
                <w:sz w:val="14"/>
                <w:szCs w:val="14"/>
                <w:b w:val="1"/>
                <w:bCs w:val="1"/>
                <w:color w:val="auto"/>
                <w:w w:val="94"/>
              </w:rPr>
              <w:t>evaluated for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40"/>
              <w:spacing w:after="0" w:line="141"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7"/>
        </w:trPr>
        <w:tc>
          <w:tcPr>
            <w:tcW w:w="1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2"/>
              <w:spacing w:after="0"/>
              <w:rPr>
                <w:sz w:val="20"/>
                <w:szCs w:val="20"/>
                <w:color w:val="auto"/>
              </w:rPr>
            </w:pPr>
            <w:r>
              <w:rPr>
                <w:rFonts w:ascii="Arial" w:cs="Arial" w:eastAsia="Arial" w:hAnsi="Arial"/>
                <w:sz w:val="14"/>
                <w:szCs w:val="14"/>
                <w:b w:val="1"/>
                <w:bCs w:val="1"/>
                <w:color w:val="auto"/>
                <w:w w:val="90"/>
              </w:rPr>
              <w:t>impairment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impairment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Balance</w:t>
            </w:r>
          </w:p>
        </w:tc>
        <w:tc>
          <w:tcPr>
            <w:tcW w:w="80" w:type="dxa"/>
            <w:vAlign w:val="bottom"/>
          </w:tcPr>
          <w:p>
            <w:pPr>
              <w:spacing w:after="0"/>
              <w:rPr>
                <w:sz w:val="14"/>
                <w:szCs w:val="14"/>
                <w:color w:val="auto"/>
              </w:rPr>
            </w:pPr>
          </w:p>
        </w:tc>
        <w:tc>
          <w:tcPr>
            <w:tcW w:w="860" w:type="dxa"/>
            <w:vAlign w:val="bottom"/>
          </w:tcPr>
          <w:p>
            <w:pPr>
              <w:jc w:val="center"/>
              <w:ind w:right="72"/>
              <w:spacing w:after="0"/>
              <w:rPr>
                <w:sz w:val="20"/>
                <w:szCs w:val="20"/>
                <w:color w:val="auto"/>
              </w:rPr>
            </w:pPr>
            <w:r>
              <w:rPr>
                <w:rFonts w:ascii="Arial" w:cs="Arial" w:eastAsia="Arial" w:hAnsi="Arial"/>
                <w:sz w:val="14"/>
                <w:szCs w:val="14"/>
                <w:b w:val="1"/>
                <w:bCs w:val="1"/>
                <w:color w:val="auto"/>
                <w:w w:val="90"/>
              </w:rPr>
              <w:t>impairment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impairment</w:t>
            </w:r>
          </w:p>
        </w:tc>
        <w:tc>
          <w:tcPr>
            <w:tcW w:w="14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Balance</w:t>
            </w:r>
          </w:p>
        </w:tc>
        <w:tc>
          <w:tcPr>
            <w:tcW w:w="8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impairment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impairment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Balance</w:t>
            </w:r>
          </w:p>
        </w:tc>
        <w:tc>
          <w:tcPr>
            <w:tcW w:w="0" w:type="dxa"/>
            <w:vAlign w:val="bottom"/>
          </w:tcPr>
          <w:p>
            <w:pPr>
              <w:spacing w:after="0"/>
              <w:rPr>
                <w:sz w:val="1"/>
                <w:szCs w:val="1"/>
                <w:color w:val="auto"/>
              </w:rPr>
            </w:pPr>
          </w:p>
        </w:tc>
      </w:tr>
      <w:tr>
        <w:trPr>
          <w:trHeight w:val="141"/>
        </w:trPr>
        <w:tc>
          <w:tcPr>
            <w:tcW w:w="1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580" w:type="dxa"/>
            <w:vAlign w:val="bottom"/>
            <w:shd w:val="clear" w:color="auto" w:fill="F0FFFF"/>
          </w:tcPr>
          <w:p>
            <w:pPr>
              <w:spacing w:after="0" w:line="123" w:lineRule="exact"/>
              <w:rPr>
                <w:sz w:val="20"/>
                <w:szCs w:val="20"/>
                <w:color w:val="auto"/>
              </w:rPr>
            </w:pPr>
            <w:r>
              <w:rPr>
                <w:rFonts w:ascii="Arial" w:cs="Arial" w:eastAsia="Arial" w:hAnsi="Arial"/>
                <w:sz w:val="14"/>
                <w:szCs w:val="14"/>
                <w:color w:val="auto"/>
              </w:rPr>
              <w:t>Owner occupied</w:t>
            </w:r>
          </w:p>
        </w:tc>
        <w:tc>
          <w:tcPr>
            <w:tcW w:w="8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80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80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40" w:type="dxa"/>
            <w:vAlign w:val="bottom"/>
            <w:shd w:val="clear" w:color="auto" w:fill="F0FFFF"/>
          </w:tcPr>
          <w:p>
            <w:pPr>
              <w:spacing w:after="0"/>
              <w:rPr>
                <w:sz w:val="10"/>
                <w:szCs w:val="10"/>
                <w:color w:val="auto"/>
              </w:rPr>
            </w:pPr>
          </w:p>
        </w:tc>
        <w:tc>
          <w:tcPr>
            <w:tcW w:w="740" w:type="dxa"/>
            <w:vAlign w:val="bottom"/>
            <w:shd w:val="clear" w:color="auto" w:fill="F0FFFF"/>
          </w:tcPr>
          <w:p>
            <w:pPr>
              <w:spacing w:after="0"/>
              <w:rPr>
                <w:sz w:val="10"/>
                <w:szCs w:val="10"/>
                <w:color w:val="auto"/>
              </w:rPr>
            </w:pPr>
          </w:p>
        </w:tc>
        <w:tc>
          <w:tcPr>
            <w:tcW w:w="22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860" w:type="dxa"/>
            <w:vAlign w:val="bottom"/>
            <w:tcBorders>
              <w:right w:val="single" w:sz="8" w:color="F0FFFF"/>
            </w:tcBorders>
            <w:shd w:val="clear" w:color="auto" w:fill="F0FFFF"/>
          </w:tcPr>
          <w:p>
            <w:pPr>
              <w:spacing w:after="0"/>
              <w:rPr>
                <w:sz w:val="10"/>
                <w:szCs w:val="10"/>
                <w:color w:val="auto"/>
              </w:rPr>
            </w:pPr>
          </w:p>
        </w:tc>
        <w:tc>
          <w:tcPr>
            <w:tcW w:w="16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820" w:type="dxa"/>
            <w:vAlign w:val="bottom"/>
            <w:shd w:val="clear" w:color="auto" w:fill="F0FFFF"/>
          </w:tcPr>
          <w:p>
            <w:pPr>
              <w:spacing w:after="0"/>
              <w:rPr>
                <w:sz w:val="10"/>
                <w:szCs w:val="10"/>
                <w:color w:val="auto"/>
              </w:rPr>
            </w:pPr>
          </w:p>
        </w:tc>
        <w:tc>
          <w:tcPr>
            <w:tcW w:w="200" w:type="dxa"/>
            <w:vAlign w:val="bottom"/>
            <w:tcBorders>
              <w:right w:val="single" w:sz="8" w:color="F0FFFF"/>
            </w:tcBorders>
            <w:shd w:val="clear" w:color="auto" w:fill="F0FFFF"/>
          </w:tcPr>
          <w:p>
            <w:pPr>
              <w:spacing w:after="0"/>
              <w:rPr>
                <w:sz w:val="10"/>
                <w:szCs w:val="10"/>
                <w:color w:val="auto"/>
              </w:rPr>
            </w:pPr>
          </w:p>
        </w:tc>
        <w:tc>
          <w:tcPr>
            <w:tcW w:w="140" w:type="dxa"/>
            <w:vAlign w:val="bottom"/>
            <w:shd w:val="clear" w:color="auto" w:fill="F0FFFF"/>
          </w:tcPr>
          <w:p>
            <w:pPr>
              <w:spacing w:after="0"/>
              <w:rPr>
                <w:sz w:val="10"/>
                <w:szCs w:val="10"/>
                <w:color w:val="auto"/>
              </w:rPr>
            </w:pPr>
          </w:p>
        </w:tc>
        <w:tc>
          <w:tcPr>
            <w:tcW w:w="76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82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82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40" w:type="dxa"/>
            <w:vAlign w:val="bottom"/>
            <w:shd w:val="clear" w:color="auto" w:fill="F0FFFF"/>
          </w:tcPr>
          <w:p>
            <w:pPr>
              <w:spacing w:after="0"/>
              <w:rPr>
                <w:sz w:val="10"/>
                <w:szCs w:val="10"/>
                <w:color w:val="auto"/>
              </w:rPr>
            </w:pPr>
          </w:p>
        </w:tc>
        <w:tc>
          <w:tcPr>
            <w:tcW w:w="76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580" w:type="dxa"/>
            <w:vAlign w:val="bottom"/>
            <w:shd w:val="clear" w:color="auto" w:fill="F0FFFF"/>
          </w:tcPr>
          <w:p>
            <w:pPr>
              <w:ind w:left="160"/>
              <w:spacing w:after="0" w:line="159" w:lineRule="exact"/>
              <w:rPr>
                <w:sz w:val="20"/>
                <w:szCs w:val="20"/>
                <w:color w:val="auto"/>
              </w:rPr>
            </w:pPr>
            <w:r>
              <w:rPr>
                <w:rFonts w:ascii="Arial" w:cs="Arial" w:eastAsia="Arial" w:hAnsi="Arial"/>
                <w:sz w:val="14"/>
                <w:szCs w:val="14"/>
                <w:color w:val="auto"/>
                <w:w w:val="99"/>
              </w:rPr>
              <w:t>commercial real estate</w:t>
            </w:r>
          </w:p>
        </w:tc>
        <w:tc>
          <w:tcPr>
            <w:tcW w:w="160" w:type="dxa"/>
            <w:vAlign w:val="bottom"/>
            <w:gridSpan w:val="2"/>
            <w:shd w:val="clear" w:color="auto" w:fill="F0FFFF"/>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F0FFFF"/>
          </w:tcPr>
          <w:p>
            <w:pPr>
              <w:jc w:val="right"/>
              <w:spacing w:after="0" w:line="159" w:lineRule="exact"/>
              <w:rPr>
                <w:sz w:val="20"/>
                <w:szCs w:val="20"/>
                <w:color w:val="auto"/>
              </w:rPr>
            </w:pPr>
            <w:r>
              <w:rPr>
                <w:rFonts w:ascii="Arial" w:cs="Arial" w:eastAsia="Arial" w:hAnsi="Arial"/>
                <w:sz w:val="14"/>
                <w:szCs w:val="14"/>
                <w:color w:val="auto"/>
              </w:rPr>
              <w:t>1,758</w:t>
            </w:r>
          </w:p>
        </w:tc>
        <w:tc>
          <w:tcPr>
            <w:tcW w:w="280" w:type="dxa"/>
            <w:vAlign w:val="bottom"/>
            <w:gridSpan w:val="2"/>
            <w:shd w:val="clear" w:color="auto" w:fill="F0FFFF"/>
          </w:tcPr>
          <w:p>
            <w:pPr>
              <w:ind w:left="200"/>
              <w:spacing w:after="0" w:line="15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F0FFFF"/>
          </w:tcPr>
          <w:p>
            <w:pPr>
              <w:jc w:val="right"/>
              <w:ind w:right="100"/>
              <w:spacing w:after="0" w:line="159" w:lineRule="exact"/>
              <w:rPr>
                <w:sz w:val="20"/>
                <w:szCs w:val="20"/>
                <w:color w:val="auto"/>
              </w:rPr>
            </w:pPr>
            <w:r>
              <w:rPr>
                <w:rFonts w:ascii="Arial" w:cs="Arial" w:eastAsia="Arial" w:hAnsi="Arial"/>
                <w:sz w:val="14"/>
                <w:szCs w:val="14"/>
                <w:color w:val="auto"/>
              </w:rPr>
              <w:t>13,194</w:t>
            </w:r>
          </w:p>
        </w:tc>
        <w:tc>
          <w:tcPr>
            <w:tcW w:w="240" w:type="dxa"/>
            <w:vAlign w:val="bottom"/>
            <w:gridSpan w:val="2"/>
            <w:shd w:val="clear" w:color="auto" w:fill="F0FF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F0FFFF"/>
          </w:tcPr>
          <w:p>
            <w:pPr>
              <w:jc w:val="right"/>
              <w:ind w:right="220"/>
              <w:spacing w:after="0" w:line="159" w:lineRule="exact"/>
              <w:rPr>
                <w:sz w:val="20"/>
                <w:szCs w:val="20"/>
                <w:color w:val="auto"/>
              </w:rPr>
            </w:pPr>
            <w:r>
              <w:rPr>
                <w:rFonts w:ascii="Arial" w:cs="Arial" w:eastAsia="Arial" w:hAnsi="Arial"/>
                <w:sz w:val="14"/>
                <w:szCs w:val="14"/>
                <w:color w:val="auto"/>
              </w:rPr>
              <w:t>14,952</w:t>
            </w:r>
          </w:p>
        </w:tc>
        <w:tc>
          <w:tcPr>
            <w:tcW w:w="8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F0FFFF"/>
            </w:tcBorders>
            <w:shd w:val="clear" w:color="auto" w:fill="F0FFFF"/>
          </w:tcPr>
          <w:p>
            <w:pPr>
              <w:jc w:val="right"/>
              <w:spacing w:after="0" w:line="159" w:lineRule="exact"/>
              <w:rPr>
                <w:sz w:val="20"/>
                <w:szCs w:val="20"/>
                <w:color w:val="auto"/>
              </w:rPr>
            </w:pPr>
            <w:r>
              <w:rPr>
                <w:rFonts w:ascii="Arial" w:cs="Arial" w:eastAsia="Arial" w:hAnsi="Arial"/>
                <w:sz w:val="14"/>
                <w:szCs w:val="14"/>
                <w:color w:val="auto"/>
              </w:rPr>
              <w:t>2,737</w:t>
            </w:r>
          </w:p>
        </w:tc>
        <w:tc>
          <w:tcPr>
            <w:tcW w:w="240" w:type="dxa"/>
            <w:vAlign w:val="bottom"/>
            <w:gridSpan w:val="2"/>
            <w:shd w:val="clear" w:color="auto" w:fill="F0FFFF"/>
          </w:tcPr>
          <w:p>
            <w:pPr>
              <w:jc w:val="right"/>
              <w:spacing w:after="0" w:line="159" w:lineRule="exact"/>
              <w:rPr>
                <w:sz w:val="20"/>
                <w:szCs w:val="20"/>
                <w:color w:val="auto"/>
              </w:rPr>
            </w:pPr>
            <w:r>
              <w:rPr>
                <w:rFonts w:ascii="Arial" w:cs="Arial" w:eastAsia="Arial" w:hAnsi="Arial"/>
                <w:sz w:val="14"/>
                <w:szCs w:val="14"/>
                <w:color w:val="auto"/>
              </w:rPr>
              <w:t>$</w:t>
            </w:r>
          </w:p>
        </w:tc>
        <w:tc>
          <w:tcPr>
            <w:tcW w:w="1020" w:type="dxa"/>
            <w:vAlign w:val="bottom"/>
            <w:tcBorders>
              <w:right w:val="single" w:sz="8" w:color="F0FFFF"/>
            </w:tcBorders>
            <w:gridSpan w:val="2"/>
            <w:shd w:val="clear" w:color="auto" w:fill="F0FFFF"/>
          </w:tcPr>
          <w:p>
            <w:pPr>
              <w:jc w:val="right"/>
              <w:ind w:right="200"/>
              <w:spacing w:after="0" w:line="159" w:lineRule="exact"/>
              <w:rPr>
                <w:sz w:val="20"/>
                <w:szCs w:val="20"/>
                <w:color w:val="auto"/>
              </w:rPr>
            </w:pPr>
            <w:r>
              <w:rPr>
                <w:rFonts w:ascii="Arial" w:cs="Arial" w:eastAsia="Arial" w:hAnsi="Arial"/>
                <w:sz w:val="14"/>
                <w:szCs w:val="14"/>
                <w:color w:val="auto"/>
              </w:rPr>
              <w:t>13,304</w:t>
            </w:r>
          </w:p>
        </w:tc>
        <w:tc>
          <w:tcPr>
            <w:tcW w:w="140" w:type="dxa"/>
            <w:vAlign w:val="bottom"/>
            <w:shd w:val="clear" w:color="auto" w:fill="F0FF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F0FFFF"/>
          </w:tcPr>
          <w:p>
            <w:pPr>
              <w:jc w:val="right"/>
              <w:ind w:right="200"/>
              <w:spacing w:after="0" w:line="159" w:lineRule="exact"/>
              <w:rPr>
                <w:sz w:val="20"/>
                <w:szCs w:val="20"/>
                <w:color w:val="auto"/>
              </w:rPr>
            </w:pPr>
            <w:r>
              <w:rPr>
                <w:rFonts w:ascii="Arial" w:cs="Arial" w:eastAsia="Arial" w:hAnsi="Arial"/>
                <w:sz w:val="14"/>
                <w:szCs w:val="14"/>
                <w:color w:val="auto"/>
              </w:rPr>
              <w:t>16,041</w:t>
            </w:r>
          </w:p>
        </w:tc>
        <w:tc>
          <w:tcPr>
            <w:tcW w:w="8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F0FFFF"/>
          </w:tcPr>
          <w:p>
            <w:pPr>
              <w:jc w:val="right"/>
              <w:ind w:right="100"/>
              <w:spacing w:after="0" w:line="159" w:lineRule="exact"/>
              <w:rPr>
                <w:sz w:val="20"/>
                <w:szCs w:val="20"/>
                <w:color w:val="auto"/>
              </w:rPr>
            </w:pPr>
            <w:r>
              <w:rPr>
                <w:rFonts w:ascii="Arial" w:cs="Arial" w:eastAsia="Arial" w:hAnsi="Arial"/>
                <w:sz w:val="14"/>
                <w:szCs w:val="14"/>
                <w:color w:val="auto"/>
              </w:rPr>
              <w:t>855</w:t>
            </w:r>
          </w:p>
        </w:tc>
        <w:tc>
          <w:tcPr>
            <w:tcW w:w="180" w:type="dxa"/>
            <w:vAlign w:val="bottom"/>
            <w:gridSpan w:val="2"/>
            <w:shd w:val="clear" w:color="auto" w:fill="F0FFFF"/>
          </w:tcPr>
          <w:p>
            <w:pPr>
              <w:ind w:left="100"/>
              <w:spacing w:after="0" w:line="15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F0FFFF"/>
          </w:tcPr>
          <w:p>
            <w:pPr>
              <w:jc w:val="right"/>
              <w:ind w:right="100"/>
              <w:spacing w:after="0" w:line="159" w:lineRule="exact"/>
              <w:rPr>
                <w:sz w:val="20"/>
                <w:szCs w:val="20"/>
                <w:color w:val="auto"/>
              </w:rPr>
            </w:pPr>
            <w:r>
              <w:rPr>
                <w:rFonts w:ascii="Arial" w:cs="Arial" w:eastAsia="Arial" w:hAnsi="Arial"/>
                <w:sz w:val="14"/>
                <w:szCs w:val="14"/>
                <w:color w:val="auto"/>
              </w:rPr>
              <w:t>22,501</w:t>
            </w:r>
          </w:p>
        </w:tc>
        <w:tc>
          <w:tcPr>
            <w:tcW w:w="240" w:type="dxa"/>
            <w:vAlign w:val="bottom"/>
            <w:gridSpan w:val="2"/>
            <w:shd w:val="clear" w:color="auto" w:fill="F0FF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F0FFFF"/>
          </w:tcPr>
          <w:p>
            <w:pPr>
              <w:jc w:val="right"/>
              <w:ind w:right="100"/>
              <w:spacing w:after="0" w:line="159" w:lineRule="exact"/>
              <w:rPr>
                <w:sz w:val="20"/>
                <w:szCs w:val="20"/>
                <w:color w:val="auto"/>
              </w:rPr>
            </w:pPr>
            <w:r>
              <w:rPr>
                <w:rFonts w:ascii="Arial" w:cs="Arial" w:eastAsia="Arial" w:hAnsi="Arial"/>
                <w:sz w:val="14"/>
                <w:szCs w:val="14"/>
                <w:color w:val="auto"/>
              </w:rPr>
              <w:t>23,356</w:t>
            </w:r>
          </w:p>
        </w:tc>
        <w:tc>
          <w:tcPr>
            <w:tcW w:w="0" w:type="dxa"/>
            <w:vAlign w:val="bottom"/>
          </w:tcPr>
          <w:p>
            <w:pPr>
              <w:spacing w:after="0"/>
              <w:rPr>
                <w:sz w:val="1"/>
                <w:szCs w:val="1"/>
                <w:color w:val="auto"/>
              </w:rPr>
            </w:pPr>
          </w:p>
        </w:tc>
      </w:tr>
      <w:tr>
        <w:trPr>
          <w:trHeight w:val="123"/>
        </w:trPr>
        <w:tc>
          <w:tcPr>
            <w:tcW w:w="1580" w:type="dxa"/>
            <w:vAlign w:val="bottom"/>
          </w:tcPr>
          <w:p>
            <w:pPr>
              <w:spacing w:after="0" w:line="123" w:lineRule="exact"/>
              <w:rPr>
                <w:sz w:val="20"/>
                <w:szCs w:val="20"/>
                <w:color w:val="auto"/>
              </w:rPr>
            </w:pPr>
            <w:r>
              <w:rPr>
                <w:rFonts w:ascii="Arial" w:cs="Arial" w:eastAsia="Arial" w:hAnsi="Arial"/>
                <w:sz w:val="14"/>
                <w:szCs w:val="14"/>
                <w:color w:val="auto"/>
              </w:rPr>
              <w:t>Income producing</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580" w:type="dxa"/>
            <w:vAlign w:val="bottom"/>
          </w:tcPr>
          <w:p>
            <w:pPr>
              <w:ind w:left="160"/>
              <w:spacing w:after="0" w:line="159" w:lineRule="exact"/>
              <w:rPr>
                <w:sz w:val="20"/>
                <w:szCs w:val="20"/>
                <w:color w:val="auto"/>
              </w:rPr>
            </w:pPr>
            <w:r>
              <w:rPr>
                <w:rFonts w:ascii="Arial" w:cs="Arial" w:eastAsia="Arial" w:hAnsi="Arial"/>
                <w:sz w:val="14"/>
                <w:szCs w:val="14"/>
                <w:color w:val="auto"/>
                <w:w w:val="99"/>
              </w:rPr>
              <w:t>commercial real estate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866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8,789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9,655</w:t>
            </w:r>
          </w:p>
        </w:tc>
        <w:tc>
          <w:tcPr>
            <w:tcW w:w="8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1,917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8,379</w:t>
            </w:r>
          </w:p>
        </w:tc>
        <w:tc>
          <w:tcPr>
            <w:tcW w:w="140" w:type="dxa"/>
            <w:vAlign w:val="bottom"/>
          </w:tcPr>
          <w:p>
            <w:pPr>
              <w:spacing w:after="0"/>
              <w:rPr>
                <w:sz w:val="13"/>
                <w:szCs w:val="13"/>
                <w:color w:val="auto"/>
              </w:rPr>
            </w:pPr>
          </w:p>
        </w:tc>
        <w:tc>
          <w:tcPr>
            <w:tcW w:w="9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10,296</w:t>
            </w:r>
          </w:p>
        </w:tc>
        <w:tc>
          <w:tcPr>
            <w:tcW w:w="80" w:type="dxa"/>
            <w:vAlign w:val="bottom"/>
          </w:tcPr>
          <w:p>
            <w:pPr>
              <w:spacing w:after="0"/>
              <w:rPr>
                <w:sz w:val="13"/>
                <w:szCs w:val="13"/>
                <w:color w:val="auto"/>
              </w:rPr>
            </w:pPr>
          </w:p>
        </w:tc>
        <w:tc>
          <w:tcPr>
            <w:tcW w:w="9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2,404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5,458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7,862</w:t>
            </w:r>
          </w:p>
        </w:tc>
        <w:tc>
          <w:tcPr>
            <w:tcW w:w="0" w:type="dxa"/>
            <w:vAlign w:val="bottom"/>
          </w:tcPr>
          <w:p>
            <w:pPr>
              <w:spacing w:after="0"/>
              <w:rPr>
                <w:sz w:val="1"/>
                <w:szCs w:val="1"/>
                <w:color w:val="auto"/>
              </w:rPr>
            </w:pPr>
          </w:p>
        </w:tc>
      </w:tr>
      <w:tr>
        <w:trPr>
          <w:trHeight w:val="141"/>
        </w:trPr>
        <w:tc>
          <w:tcPr>
            <w:tcW w:w="1580" w:type="dxa"/>
            <w:vAlign w:val="bottom"/>
            <w:shd w:val="clear" w:color="auto" w:fill="F0FFFF"/>
          </w:tcPr>
          <w:p>
            <w:pPr>
              <w:spacing w:after="0" w:line="141" w:lineRule="exact"/>
              <w:rPr>
                <w:sz w:val="20"/>
                <w:szCs w:val="20"/>
                <w:color w:val="auto"/>
              </w:rPr>
            </w:pPr>
            <w:r>
              <w:rPr>
                <w:rFonts w:ascii="Arial" w:cs="Arial" w:eastAsia="Arial" w:hAnsi="Arial"/>
                <w:sz w:val="14"/>
                <w:szCs w:val="14"/>
                <w:color w:val="auto"/>
              </w:rPr>
              <w:t>Commercial &amp; industrial</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0" w:type="dxa"/>
            <w:vAlign w:val="bottom"/>
            <w:shd w:val="clear" w:color="auto" w:fill="F0FFFF"/>
          </w:tcPr>
          <w:p>
            <w:pPr>
              <w:jc w:val="right"/>
              <w:spacing w:after="0" w:line="141" w:lineRule="exact"/>
              <w:rPr>
                <w:sz w:val="20"/>
                <w:szCs w:val="20"/>
                <w:color w:val="auto"/>
              </w:rPr>
            </w:pPr>
            <w:r>
              <w:rPr>
                <w:rFonts w:ascii="Arial" w:cs="Arial" w:eastAsia="Arial" w:hAnsi="Arial"/>
                <w:sz w:val="14"/>
                <w:szCs w:val="14"/>
                <w:color w:val="auto"/>
              </w:rPr>
              <w:t>8</w:t>
            </w:r>
          </w:p>
        </w:tc>
        <w:tc>
          <w:tcPr>
            <w:tcW w:w="2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100"/>
              <w:spacing w:after="0" w:line="141" w:lineRule="exact"/>
              <w:rPr>
                <w:sz w:val="20"/>
                <w:szCs w:val="20"/>
                <w:color w:val="auto"/>
              </w:rPr>
            </w:pPr>
            <w:r>
              <w:rPr>
                <w:rFonts w:ascii="Arial" w:cs="Arial" w:eastAsia="Arial" w:hAnsi="Arial"/>
                <w:sz w:val="14"/>
                <w:szCs w:val="14"/>
                <w:color w:val="auto"/>
              </w:rPr>
              <w:t>3,434</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20"/>
              <w:spacing w:after="0" w:line="141" w:lineRule="exact"/>
              <w:rPr>
                <w:sz w:val="20"/>
                <w:szCs w:val="20"/>
                <w:color w:val="auto"/>
              </w:rPr>
            </w:pPr>
            <w:r>
              <w:rPr>
                <w:rFonts w:ascii="Arial" w:cs="Arial" w:eastAsia="Arial" w:hAnsi="Arial"/>
                <w:sz w:val="14"/>
                <w:szCs w:val="14"/>
                <w:color w:val="auto"/>
              </w:rPr>
              <w:t>3,442</w:t>
            </w:r>
          </w:p>
        </w:tc>
        <w:tc>
          <w:tcPr>
            <w:tcW w:w="80" w:type="dxa"/>
            <w:vAlign w:val="bottom"/>
            <w:shd w:val="clear" w:color="auto" w:fill="F0FFFF"/>
          </w:tcPr>
          <w:p>
            <w:pPr>
              <w:spacing w:after="0"/>
              <w:rPr>
                <w:sz w:val="12"/>
                <w:szCs w:val="12"/>
                <w:color w:val="auto"/>
              </w:rPr>
            </w:pPr>
          </w:p>
        </w:tc>
        <w:tc>
          <w:tcPr>
            <w:tcW w:w="860" w:type="dxa"/>
            <w:vAlign w:val="bottom"/>
            <w:tcBorders>
              <w:right w:val="single" w:sz="8" w:color="F0FFFF"/>
            </w:tcBorders>
            <w:shd w:val="clear" w:color="auto" w:fill="F0FFFF"/>
          </w:tcPr>
          <w:p>
            <w:pPr>
              <w:jc w:val="right"/>
              <w:spacing w:after="0" w:line="141" w:lineRule="exact"/>
              <w:rPr>
                <w:sz w:val="20"/>
                <w:szCs w:val="20"/>
                <w:color w:val="auto"/>
              </w:rPr>
            </w:pPr>
            <w:r>
              <w:rPr>
                <w:rFonts w:ascii="Arial" w:cs="Arial" w:eastAsia="Arial" w:hAnsi="Arial"/>
                <w:sz w:val="14"/>
                <w:szCs w:val="14"/>
                <w:color w:val="auto"/>
              </w:rPr>
              <w:t>15</w:t>
            </w:r>
          </w:p>
        </w:tc>
        <w:tc>
          <w:tcPr>
            <w:tcW w:w="1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20" w:type="dxa"/>
            <w:vAlign w:val="bottom"/>
            <w:tcBorders>
              <w:right w:val="single" w:sz="8" w:color="F0FFFF"/>
            </w:tcBorders>
            <w:gridSpan w:val="2"/>
            <w:shd w:val="clear" w:color="auto" w:fill="F0FFFF"/>
          </w:tcPr>
          <w:p>
            <w:pPr>
              <w:jc w:val="right"/>
              <w:ind w:right="200"/>
              <w:spacing w:after="0" w:line="141" w:lineRule="exact"/>
              <w:rPr>
                <w:sz w:val="20"/>
                <w:szCs w:val="20"/>
                <w:color w:val="auto"/>
              </w:rPr>
            </w:pPr>
            <w:r>
              <w:rPr>
                <w:rFonts w:ascii="Arial" w:cs="Arial" w:eastAsia="Arial" w:hAnsi="Arial"/>
                <w:sz w:val="14"/>
                <w:szCs w:val="14"/>
                <w:color w:val="auto"/>
              </w:rPr>
              <w:t>3,240</w:t>
            </w:r>
          </w:p>
        </w:tc>
        <w:tc>
          <w:tcPr>
            <w:tcW w:w="14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00"/>
              <w:spacing w:after="0" w:line="141" w:lineRule="exact"/>
              <w:rPr>
                <w:sz w:val="20"/>
                <w:szCs w:val="20"/>
                <w:color w:val="auto"/>
              </w:rPr>
            </w:pPr>
            <w:r>
              <w:rPr>
                <w:rFonts w:ascii="Arial" w:cs="Arial" w:eastAsia="Arial" w:hAnsi="Arial"/>
                <w:sz w:val="14"/>
                <w:szCs w:val="14"/>
                <w:color w:val="auto"/>
              </w:rPr>
              <w:t>3,255</w:t>
            </w: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1" w:lineRule="exact"/>
              <w:rPr>
                <w:sz w:val="20"/>
                <w:szCs w:val="20"/>
                <w:color w:val="auto"/>
              </w:rPr>
            </w:pPr>
            <w:r>
              <w:rPr>
                <w:rFonts w:ascii="Arial" w:cs="Arial" w:eastAsia="Arial" w:hAnsi="Arial"/>
                <w:sz w:val="14"/>
                <w:szCs w:val="14"/>
                <w:color w:val="auto"/>
              </w:rPr>
              <w:t>253</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1" w:lineRule="exact"/>
              <w:rPr>
                <w:sz w:val="20"/>
                <w:szCs w:val="20"/>
                <w:color w:val="auto"/>
              </w:rPr>
            </w:pPr>
            <w:r>
              <w:rPr>
                <w:rFonts w:ascii="Arial" w:cs="Arial" w:eastAsia="Arial" w:hAnsi="Arial"/>
                <w:sz w:val="14"/>
                <w:szCs w:val="14"/>
                <w:color w:val="auto"/>
              </w:rPr>
              <w:t>3,994</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00"/>
              <w:spacing w:after="0" w:line="141" w:lineRule="exact"/>
              <w:rPr>
                <w:sz w:val="20"/>
                <w:szCs w:val="20"/>
                <w:color w:val="auto"/>
              </w:rPr>
            </w:pPr>
            <w:r>
              <w:rPr>
                <w:rFonts w:ascii="Arial" w:cs="Arial" w:eastAsia="Arial" w:hAnsi="Arial"/>
                <w:sz w:val="14"/>
                <w:szCs w:val="14"/>
                <w:color w:val="auto"/>
              </w:rPr>
              <w:t>4,247</w:t>
            </w:r>
          </w:p>
        </w:tc>
        <w:tc>
          <w:tcPr>
            <w:tcW w:w="0" w:type="dxa"/>
            <w:vAlign w:val="bottom"/>
          </w:tcPr>
          <w:p>
            <w:pPr>
              <w:spacing w:after="0"/>
              <w:rPr>
                <w:sz w:val="1"/>
                <w:szCs w:val="1"/>
                <w:color w:val="auto"/>
              </w:rPr>
            </w:pPr>
          </w:p>
        </w:tc>
      </w:tr>
      <w:tr>
        <w:trPr>
          <w:trHeight w:val="141"/>
        </w:trPr>
        <w:tc>
          <w:tcPr>
            <w:tcW w:w="1580" w:type="dxa"/>
            <w:vAlign w:val="bottom"/>
          </w:tcPr>
          <w:p>
            <w:pPr>
              <w:spacing w:after="0" w:line="141" w:lineRule="exact"/>
              <w:rPr>
                <w:sz w:val="20"/>
                <w:szCs w:val="20"/>
                <w:color w:val="auto"/>
              </w:rPr>
            </w:pPr>
            <w:r>
              <w:rPr>
                <w:rFonts w:ascii="Arial" w:cs="Arial" w:eastAsia="Arial" w:hAnsi="Arial"/>
                <w:sz w:val="14"/>
                <w:szCs w:val="14"/>
                <w:color w:val="auto"/>
              </w:rPr>
              <w:t>Commercial construction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1" w:lineRule="exact"/>
              <w:rPr>
                <w:sz w:val="20"/>
                <w:szCs w:val="20"/>
                <w:color w:val="auto"/>
              </w:rPr>
            </w:pPr>
            <w:r>
              <w:rPr>
                <w:rFonts w:ascii="Arial" w:cs="Arial" w:eastAsia="Arial" w:hAnsi="Arial"/>
                <w:sz w:val="14"/>
                <w:szCs w:val="14"/>
                <w:color w:val="auto"/>
              </w:rPr>
              <w:t>598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4,737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1" w:lineRule="exact"/>
              <w:rPr>
                <w:sz w:val="20"/>
                <w:szCs w:val="20"/>
                <w:color w:val="auto"/>
              </w:rPr>
            </w:pPr>
            <w:r>
              <w:rPr>
                <w:rFonts w:ascii="Arial" w:cs="Arial" w:eastAsia="Arial" w:hAnsi="Arial"/>
                <w:sz w:val="14"/>
                <w:szCs w:val="14"/>
                <w:color w:val="auto"/>
              </w:rPr>
              <w:t>5,335</w:t>
            </w:r>
          </w:p>
        </w:tc>
        <w:tc>
          <w:tcPr>
            <w:tcW w:w="80" w:type="dxa"/>
            <w:vAlign w:val="bottom"/>
          </w:tcPr>
          <w:p>
            <w:pPr>
              <w:spacing w:after="0"/>
              <w:rPr>
                <w:sz w:val="12"/>
                <w:szCs w:val="12"/>
                <w:color w:val="auto"/>
              </w:rPr>
            </w:pPr>
          </w:p>
        </w:tc>
        <w:tc>
          <w:tcPr>
            <w:tcW w:w="860" w:type="dxa"/>
            <w:vAlign w:val="bottom"/>
          </w:tcPr>
          <w:p>
            <w:pPr>
              <w:jc w:val="right"/>
              <w:spacing w:after="0" w:line="141" w:lineRule="exact"/>
              <w:rPr>
                <w:sz w:val="20"/>
                <w:szCs w:val="20"/>
                <w:color w:val="auto"/>
              </w:rPr>
            </w:pPr>
            <w:r>
              <w:rPr>
                <w:rFonts w:ascii="Arial" w:cs="Arial" w:eastAsia="Arial" w:hAnsi="Arial"/>
                <w:sz w:val="14"/>
                <w:szCs w:val="14"/>
                <w:color w:val="auto"/>
              </w:rPr>
              <w:t>729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00"/>
              <w:spacing w:after="0" w:line="141" w:lineRule="exact"/>
              <w:rPr>
                <w:sz w:val="20"/>
                <w:szCs w:val="20"/>
                <w:color w:val="auto"/>
              </w:rPr>
            </w:pPr>
            <w:r>
              <w:rPr>
                <w:rFonts w:ascii="Arial" w:cs="Arial" w:eastAsia="Arial" w:hAnsi="Arial"/>
                <w:sz w:val="14"/>
                <w:szCs w:val="14"/>
                <w:color w:val="auto"/>
              </w:rPr>
              <w:t>4,018</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1" w:lineRule="exact"/>
              <w:rPr>
                <w:sz w:val="20"/>
                <w:szCs w:val="20"/>
                <w:color w:val="auto"/>
              </w:rPr>
            </w:pPr>
            <w:r>
              <w:rPr>
                <w:rFonts w:ascii="Arial" w:cs="Arial" w:eastAsia="Arial" w:hAnsi="Arial"/>
                <w:sz w:val="14"/>
                <w:szCs w:val="14"/>
                <w:color w:val="auto"/>
              </w:rPr>
              <w:t>4,747</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469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3,508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3,977</w:t>
            </w:r>
          </w:p>
        </w:tc>
        <w:tc>
          <w:tcPr>
            <w:tcW w:w="0" w:type="dxa"/>
            <w:vAlign w:val="bottom"/>
          </w:tcPr>
          <w:p>
            <w:pPr>
              <w:spacing w:after="0"/>
              <w:rPr>
                <w:sz w:val="1"/>
                <w:szCs w:val="1"/>
                <w:color w:val="auto"/>
              </w:rPr>
            </w:pPr>
          </w:p>
        </w:tc>
      </w:tr>
      <w:tr>
        <w:trPr>
          <w:trHeight w:val="141"/>
        </w:trPr>
        <w:tc>
          <w:tcPr>
            <w:tcW w:w="1580" w:type="dxa"/>
            <w:vAlign w:val="bottom"/>
            <w:shd w:val="clear" w:color="auto" w:fill="F0FFFF"/>
          </w:tcPr>
          <w:p>
            <w:pPr>
              <w:spacing w:after="0" w:line="141" w:lineRule="exact"/>
              <w:rPr>
                <w:sz w:val="20"/>
                <w:szCs w:val="20"/>
                <w:color w:val="auto"/>
              </w:rPr>
            </w:pPr>
            <w:r>
              <w:rPr>
                <w:rFonts w:ascii="Arial" w:cs="Arial" w:eastAsia="Arial" w:hAnsi="Arial"/>
                <w:sz w:val="14"/>
                <w:szCs w:val="14"/>
                <w:color w:val="auto"/>
              </w:rPr>
              <w:t>Residential mortgage</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0" w:type="dxa"/>
            <w:vAlign w:val="bottom"/>
            <w:shd w:val="clear" w:color="auto" w:fill="F0FFFF"/>
          </w:tcPr>
          <w:p>
            <w:pPr>
              <w:jc w:val="right"/>
              <w:spacing w:after="0" w:line="141" w:lineRule="exact"/>
              <w:rPr>
                <w:sz w:val="20"/>
                <w:szCs w:val="20"/>
                <w:color w:val="auto"/>
              </w:rPr>
            </w:pPr>
            <w:r>
              <w:rPr>
                <w:rFonts w:ascii="Arial" w:cs="Arial" w:eastAsia="Arial" w:hAnsi="Arial"/>
                <w:sz w:val="14"/>
                <w:szCs w:val="14"/>
                <w:color w:val="auto"/>
              </w:rPr>
              <w:t>3,174</w:t>
            </w:r>
          </w:p>
        </w:tc>
        <w:tc>
          <w:tcPr>
            <w:tcW w:w="2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100"/>
              <w:spacing w:after="0" w:line="141" w:lineRule="exact"/>
              <w:rPr>
                <w:sz w:val="20"/>
                <w:szCs w:val="20"/>
                <w:color w:val="auto"/>
              </w:rPr>
            </w:pPr>
            <w:r>
              <w:rPr>
                <w:rFonts w:ascii="Arial" w:cs="Arial" w:eastAsia="Arial" w:hAnsi="Arial"/>
                <w:sz w:val="14"/>
                <w:szCs w:val="14"/>
                <w:color w:val="auto"/>
              </w:rPr>
              <w:t>16,964</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20"/>
              <w:spacing w:after="0" w:line="141" w:lineRule="exact"/>
              <w:rPr>
                <w:sz w:val="20"/>
                <w:szCs w:val="20"/>
                <w:color w:val="auto"/>
              </w:rPr>
            </w:pPr>
            <w:r>
              <w:rPr>
                <w:rFonts w:ascii="Arial" w:cs="Arial" w:eastAsia="Arial" w:hAnsi="Arial"/>
                <w:sz w:val="14"/>
                <w:szCs w:val="14"/>
                <w:color w:val="auto"/>
              </w:rPr>
              <w:t>20,138</w:t>
            </w:r>
          </w:p>
        </w:tc>
        <w:tc>
          <w:tcPr>
            <w:tcW w:w="80" w:type="dxa"/>
            <w:vAlign w:val="bottom"/>
            <w:shd w:val="clear" w:color="auto" w:fill="F0FFFF"/>
          </w:tcPr>
          <w:p>
            <w:pPr>
              <w:spacing w:after="0"/>
              <w:rPr>
                <w:sz w:val="12"/>
                <w:szCs w:val="12"/>
                <w:color w:val="auto"/>
              </w:rPr>
            </w:pPr>
          </w:p>
        </w:tc>
        <w:tc>
          <w:tcPr>
            <w:tcW w:w="860" w:type="dxa"/>
            <w:vAlign w:val="bottom"/>
            <w:tcBorders>
              <w:right w:val="single" w:sz="8" w:color="F0FFFF"/>
            </w:tcBorders>
            <w:shd w:val="clear" w:color="auto" w:fill="F0FFFF"/>
          </w:tcPr>
          <w:p>
            <w:pPr>
              <w:jc w:val="right"/>
              <w:spacing w:after="0" w:line="141" w:lineRule="exact"/>
              <w:rPr>
                <w:sz w:val="20"/>
                <w:szCs w:val="20"/>
                <w:color w:val="auto"/>
              </w:rPr>
            </w:pPr>
            <w:r>
              <w:rPr>
                <w:rFonts w:ascii="Arial" w:cs="Arial" w:eastAsia="Arial" w:hAnsi="Arial"/>
                <w:sz w:val="14"/>
                <w:szCs w:val="14"/>
                <w:color w:val="auto"/>
              </w:rPr>
              <w:t>3,227</w:t>
            </w:r>
          </w:p>
        </w:tc>
        <w:tc>
          <w:tcPr>
            <w:tcW w:w="1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20" w:type="dxa"/>
            <w:vAlign w:val="bottom"/>
            <w:tcBorders>
              <w:right w:val="single" w:sz="8" w:color="F0FFFF"/>
            </w:tcBorders>
            <w:gridSpan w:val="2"/>
            <w:shd w:val="clear" w:color="auto" w:fill="F0FFFF"/>
          </w:tcPr>
          <w:p>
            <w:pPr>
              <w:jc w:val="right"/>
              <w:ind w:right="200"/>
              <w:spacing w:after="0" w:line="141" w:lineRule="exact"/>
              <w:rPr>
                <w:sz w:val="20"/>
                <w:szCs w:val="20"/>
                <w:color w:val="auto"/>
              </w:rPr>
            </w:pPr>
            <w:r>
              <w:rPr>
                <w:rFonts w:ascii="Arial" w:cs="Arial" w:eastAsia="Arial" w:hAnsi="Arial"/>
                <w:sz w:val="14"/>
                <w:szCs w:val="14"/>
                <w:color w:val="auto"/>
              </w:rPr>
              <w:t>17,084</w:t>
            </w:r>
          </w:p>
        </w:tc>
        <w:tc>
          <w:tcPr>
            <w:tcW w:w="14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00"/>
              <w:spacing w:after="0" w:line="141" w:lineRule="exact"/>
              <w:rPr>
                <w:sz w:val="20"/>
                <w:szCs w:val="20"/>
                <w:color w:val="auto"/>
              </w:rPr>
            </w:pPr>
            <w:r>
              <w:rPr>
                <w:rFonts w:ascii="Arial" w:cs="Arial" w:eastAsia="Arial" w:hAnsi="Arial"/>
                <w:sz w:val="14"/>
                <w:szCs w:val="14"/>
                <w:color w:val="auto"/>
              </w:rPr>
              <w:t>20,311</w:t>
            </w: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1" w:lineRule="exact"/>
              <w:rPr>
                <w:sz w:val="20"/>
                <w:szCs w:val="20"/>
                <w:color w:val="auto"/>
              </w:rPr>
            </w:pPr>
            <w:r>
              <w:rPr>
                <w:rFonts w:ascii="Arial" w:cs="Arial" w:eastAsia="Arial" w:hAnsi="Arial"/>
                <w:sz w:val="14"/>
                <w:szCs w:val="14"/>
                <w:color w:val="auto"/>
              </w:rPr>
              <w:t>3,079</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1" w:lineRule="exact"/>
              <w:rPr>
                <w:sz w:val="20"/>
                <w:szCs w:val="20"/>
                <w:color w:val="auto"/>
              </w:rPr>
            </w:pPr>
            <w:r>
              <w:rPr>
                <w:rFonts w:ascii="Arial" w:cs="Arial" w:eastAsia="Arial" w:hAnsi="Arial"/>
                <w:sz w:val="14"/>
                <w:szCs w:val="14"/>
                <w:color w:val="auto"/>
              </w:rPr>
              <w:t>12,888</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00"/>
              <w:spacing w:after="0" w:line="141" w:lineRule="exact"/>
              <w:rPr>
                <w:sz w:val="20"/>
                <w:szCs w:val="20"/>
                <w:color w:val="auto"/>
              </w:rPr>
            </w:pPr>
            <w:r>
              <w:rPr>
                <w:rFonts w:ascii="Arial" w:cs="Arial" w:eastAsia="Arial" w:hAnsi="Arial"/>
                <w:sz w:val="14"/>
                <w:szCs w:val="14"/>
                <w:color w:val="auto"/>
              </w:rPr>
              <w:t>15,967</w:t>
            </w:r>
          </w:p>
        </w:tc>
        <w:tc>
          <w:tcPr>
            <w:tcW w:w="0" w:type="dxa"/>
            <w:vAlign w:val="bottom"/>
          </w:tcPr>
          <w:p>
            <w:pPr>
              <w:spacing w:after="0"/>
              <w:rPr>
                <w:sz w:val="1"/>
                <w:szCs w:val="1"/>
                <w:color w:val="auto"/>
              </w:rPr>
            </w:pPr>
          </w:p>
        </w:tc>
      </w:tr>
      <w:tr>
        <w:trPr>
          <w:trHeight w:val="141"/>
        </w:trPr>
        <w:tc>
          <w:tcPr>
            <w:tcW w:w="1580" w:type="dxa"/>
            <w:vAlign w:val="bottom"/>
          </w:tcPr>
          <w:p>
            <w:pPr>
              <w:spacing w:after="0" w:line="141" w:lineRule="exact"/>
              <w:rPr>
                <w:sz w:val="20"/>
                <w:szCs w:val="20"/>
                <w:color w:val="auto"/>
              </w:rPr>
            </w:pPr>
            <w:r>
              <w:rPr>
                <w:rFonts w:ascii="Arial" w:cs="Arial" w:eastAsia="Arial" w:hAnsi="Arial"/>
                <w:sz w:val="14"/>
                <w:szCs w:val="14"/>
                <w:color w:val="auto"/>
                <w:w w:val="94"/>
              </w:rPr>
              <w:t>Home equity lines of credit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1" w:lineRule="exact"/>
              <w:rPr>
                <w:sz w:val="20"/>
                <w:szCs w:val="20"/>
                <w:color w:val="auto"/>
              </w:rPr>
            </w:pPr>
            <w:r>
              <w:rPr>
                <w:rFonts w:ascii="Arial" w:cs="Arial" w:eastAsia="Arial" w:hAnsi="Arial"/>
                <w:sz w:val="14"/>
                <w:szCs w:val="14"/>
                <w:color w:val="auto"/>
              </w:rPr>
              <w:t>29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4,292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1" w:lineRule="exact"/>
              <w:rPr>
                <w:sz w:val="20"/>
                <w:szCs w:val="20"/>
                <w:color w:val="auto"/>
              </w:rPr>
            </w:pPr>
            <w:r>
              <w:rPr>
                <w:rFonts w:ascii="Arial" w:cs="Arial" w:eastAsia="Arial" w:hAnsi="Arial"/>
                <w:sz w:val="14"/>
                <w:szCs w:val="14"/>
                <w:color w:val="auto"/>
              </w:rPr>
              <w:t>4,321</w:t>
            </w:r>
          </w:p>
        </w:tc>
        <w:tc>
          <w:tcPr>
            <w:tcW w:w="80" w:type="dxa"/>
            <w:vAlign w:val="bottom"/>
          </w:tcPr>
          <w:p>
            <w:pPr>
              <w:spacing w:after="0"/>
              <w:rPr>
                <w:sz w:val="12"/>
                <w:szCs w:val="12"/>
                <w:color w:val="auto"/>
              </w:rPr>
            </w:pPr>
          </w:p>
        </w:tc>
        <w:tc>
          <w:tcPr>
            <w:tcW w:w="860" w:type="dxa"/>
            <w:vAlign w:val="bottom"/>
          </w:tcPr>
          <w:p>
            <w:pPr>
              <w:jc w:val="right"/>
              <w:spacing w:after="0" w:line="141" w:lineRule="exact"/>
              <w:rPr>
                <w:sz w:val="20"/>
                <w:szCs w:val="20"/>
                <w:color w:val="auto"/>
              </w:rPr>
            </w:pPr>
            <w:r>
              <w:rPr>
                <w:rFonts w:ascii="Arial" w:cs="Arial" w:eastAsia="Arial" w:hAnsi="Arial"/>
                <w:sz w:val="14"/>
                <w:szCs w:val="14"/>
                <w:color w:val="auto"/>
              </w:rPr>
              <w:t>47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00"/>
              <w:spacing w:after="0" w:line="141" w:lineRule="exact"/>
              <w:rPr>
                <w:sz w:val="20"/>
                <w:szCs w:val="20"/>
                <w:color w:val="auto"/>
              </w:rPr>
            </w:pPr>
            <w:r>
              <w:rPr>
                <w:rFonts w:ascii="Arial" w:cs="Arial" w:eastAsia="Arial" w:hAnsi="Arial"/>
                <w:sz w:val="14"/>
                <w:szCs w:val="14"/>
                <w:color w:val="auto"/>
              </w:rPr>
              <w:t>4,527</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1" w:lineRule="exact"/>
              <w:rPr>
                <w:sz w:val="20"/>
                <w:szCs w:val="20"/>
                <w:color w:val="auto"/>
              </w:rPr>
            </w:pPr>
            <w:r>
              <w:rPr>
                <w:rFonts w:ascii="Arial" w:cs="Arial" w:eastAsia="Arial" w:hAnsi="Arial"/>
                <w:sz w:val="14"/>
                <w:szCs w:val="14"/>
                <w:color w:val="auto"/>
              </w:rPr>
              <w:t>4,574</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67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6,053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6,120</w:t>
            </w:r>
          </w:p>
        </w:tc>
        <w:tc>
          <w:tcPr>
            <w:tcW w:w="0" w:type="dxa"/>
            <w:vAlign w:val="bottom"/>
          </w:tcPr>
          <w:p>
            <w:pPr>
              <w:spacing w:after="0"/>
              <w:rPr>
                <w:sz w:val="1"/>
                <w:szCs w:val="1"/>
                <w:color w:val="auto"/>
              </w:rPr>
            </w:pPr>
          </w:p>
        </w:tc>
      </w:tr>
      <w:tr>
        <w:trPr>
          <w:trHeight w:val="141"/>
        </w:trPr>
        <w:tc>
          <w:tcPr>
            <w:tcW w:w="1580" w:type="dxa"/>
            <w:vAlign w:val="bottom"/>
            <w:shd w:val="clear" w:color="auto" w:fill="F0FFFF"/>
          </w:tcPr>
          <w:p>
            <w:pPr>
              <w:spacing w:after="0" w:line="141" w:lineRule="exact"/>
              <w:rPr>
                <w:sz w:val="20"/>
                <w:szCs w:val="20"/>
                <w:color w:val="auto"/>
              </w:rPr>
            </w:pPr>
            <w:r>
              <w:rPr>
                <w:rFonts w:ascii="Arial" w:cs="Arial" w:eastAsia="Arial" w:hAnsi="Arial"/>
                <w:sz w:val="14"/>
                <w:szCs w:val="14"/>
                <w:color w:val="auto"/>
              </w:rPr>
              <w:t>Residential construction</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0" w:type="dxa"/>
            <w:vAlign w:val="bottom"/>
            <w:shd w:val="clear" w:color="auto" w:fill="F0FFFF"/>
          </w:tcPr>
          <w:p>
            <w:pPr>
              <w:jc w:val="right"/>
              <w:spacing w:after="0" w:line="141" w:lineRule="exact"/>
              <w:rPr>
                <w:sz w:val="20"/>
                <w:szCs w:val="20"/>
                <w:color w:val="auto"/>
              </w:rPr>
            </w:pPr>
            <w:r>
              <w:rPr>
                <w:rFonts w:ascii="Arial" w:cs="Arial" w:eastAsia="Arial" w:hAnsi="Arial"/>
                <w:sz w:val="14"/>
                <w:szCs w:val="14"/>
                <w:color w:val="auto"/>
              </w:rPr>
              <w:t>1,152</w:t>
            </w:r>
          </w:p>
        </w:tc>
        <w:tc>
          <w:tcPr>
            <w:tcW w:w="2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100"/>
              <w:spacing w:after="0" w:line="141" w:lineRule="exact"/>
              <w:rPr>
                <w:sz w:val="20"/>
                <w:szCs w:val="20"/>
                <w:color w:val="auto"/>
              </w:rPr>
            </w:pPr>
            <w:r>
              <w:rPr>
                <w:rFonts w:ascii="Arial" w:cs="Arial" w:eastAsia="Arial" w:hAnsi="Arial"/>
                <w:sz w:val="14"/>
                <w:szCs w:val="14"/>
                <w:color w:val="auto"/>
              </w:rPr>
              <w:t>9,058</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20"/>
              <w:spacing w:after="0" w:line="141" w:lineRule="exact"/>
              <w:rPr>
                <w:sz w:val="20"/>
                <w:szCs w:val="20"/>
                <w:color w:val="auto"/>
              </w:rPr>
            </w:pPr>
            <w:r>
              <w:rPr>
                <w:rFonts w:ascii="Arial" w:cs="Arial" w:eastAsia="Arial" w:hAnsi="Arial"/>
                <w:sz w:val="14"/>
                <w:szCs w:val="14"/>
                <w:color w:val="auto"/>
              </w:rPr>
              <w:t>10,210</w:t>
            </w:r>
          </w:p>
        </w:tc>
        <w:tc>
          <w:tcPr>
            <w:tcW w:w="80" w:type="dxa"/>
            <w:vAlign w:val="bottom"/>
            <w:shd w:val="clear" w:color="auto" w:fill="F0FFFF"/>
          </w:tcPr>
          <w:p>
            <w:pPr>
              <w:spacing w:after="0"/>
              <w:rPr>
                <w:sz w:val="12"/>
                <w:szCs w:val="12"/>
                <w:color w:val="auto"/>
              </w:rPr>
            </w:pPr>
          </w:p>
        </w:tc>
        <w:tc>
          <w:tcPr>
            <w:tcW w:w="860" w:type="dxa"/>
            <w:vAlign w:val="bottom"/>
            <w:tcBorders>
              <w:right w:val="single" w:sz="8" w:color="F0FFFF"/>
            </w:tcBorders>
            <w:shd w:val="clear" w:color="auto" w:fill="F0FFFF"/>
          </w:tcPr>
          <w:p>
            <w:pPr>
              <w:jc w:val="right"/>
              <w:spacing w:after="0" w:line="141" w:lineRule="exact"/>
              <w:rPr>
                <w:sz w:val="20"/>
                <w:szCs w:val="20"/>
                <w:color w:val="auto"/>
              </w:rPr>
            </w:pPr>
            <w:r>
              <w:rPr>
                <w:rFonts w:ascii="Arial" w:cs="Arial" w:eastAsia="Arial" w:hAnsi="Arial"/>
                <w:sz w:val="14"/>
                <w:szCs w:val="14"/>
                <w:color w:val="auto"/>
              </w:rPr>
              <w:t>1,192</w:t>
            </w:r>
          </w:p>
        </w:tc>
        <w:tc>
          <w:tcPr>
            <w:tcW w:w="1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20" w:type="dxa"/>
            <w:vAlign w:val="bottom"/>
            <w:tcBorders>
              <w:right w:val="single" w:sz="8" w:color="F0FFFF"/>
            </w:tcBorders>
            <w:gridSpan w:val="2"/>
            <w:shd w:val="clear" w:color="auto" w:fill="F0FFFF"/>
          </w:tcPr>
          <w:p>
            <w:pPr>
              <w:jc w:val="right"/>
              <w:ind w:right="200"/>
              <w:spacing w:after="0" w:line="141" w:lineRule="exact"/>
              <w:rPr>
                <w:sz w:val="20"/>
                <w:szCs w:val="20"/>
                <w:color w:val="auto"/>
              </w:rPr>
            </w:pPr>
            <w:r>
              <w:rPr>
                <w:rFonts w:ascii="Arial" w:cs="Arial" w:eastAsia="Arial" w:hAnsi="Arial"/>
                <w:sz w:val="14"/>
                <w:szCs w:val="14"/>
                <w:color w:val="auto"/>
              </w:rPr>
              <w:t>9,411</w:t>
            </w:r>
          </w:p>
        </w:tc>
        <w:tc>
          <w:tcPr>
            <w:tcW w:w="14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00"/>
              <w:spacing w:after="0" w:line="141" w:lineRule="exact"/>
              <w:rPr>
                <w:sz w:val="20"/>
                <w:szCs w:val="20"/>
                <w:color w:val="auto"/>
              </w:rPr>
            </w:pPr>
            <w:r>
              <w:rPr>
                <w:rFonts w:ascii="Arial" w:cs="Arial" w:eastAsia="Arial" w:hAnsi="Arial"/>
                <w:sz w:val="14"/>
                <w:szCs w:val="14"/>
                <w:color w:val="auto"/>
              </w:rPr>
              <w:t>10,603</w:t>
            </w: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1" w:lineRule="exact"/>
              <w:rPr>
                <w:sz w:val="20"/>
                <w:szCs w:val="20"/>
                <w:color w:val="auto"/>
              </w:rPr>
            </w:pPr>
            <w:r>
              <w:rPr>
                <w:rFonts w:ascii="Arial" w:cs="Arial" w:eastAsia="Arial" w:hAnsi="Arial"/>
                <w:sz w:val="14"/>
                <w:szCs w:val="14"/>
                <w:color w:val="auto"/>
              </w:rPr>
              <w:t>1,253</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1" w:lineRule="exact"/>
              <w:rPr>
                <w:sz w:val="20"/>
                <w:szCs w:val="20"/>
                <w:color w:val="auto"/>
              </w:rPr>
            </w:pPr>
            <w:r>
              <w:rPr>
                <w:rFonts w:ascii="Arial" w:cs="Arial" w:eastAsia="Arial" w:hAnsi="Arial"/>
                <w:sz w:val="14"/>
                <w:szCs w:val="14"/>
                <w:color w:val="auto"/>
              </w:rPr>
              <w:t>10,928</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00"/>
              <w:spacing w:after="0" w:line="141" w:lineRule="exact"/>
              <w:rPr>
                <w:sz w:val="20"/>
                <w:szCs w:val="20"/>
                <w:color w:val="auto"/>
              </w:rPr>
            </w:pPr>
            <w:r>
              <w:rPr>
                <w:rFonts w:ascii="Arial" w:cs="Arial" w:eastAsia="Arial" w:hAnsi="Arial"/>
                <w:sz w:val="14"/>
                <w:szCs w:val="14"/>
                <w:color w:val="auto"/>
              </w:rPr>
              <w:t>12,181</w:t>
            </w:r>
          </w:p>
        </w:tc>
        <w:tc>
          <w:tcPr>
            <w:tcW w:w="0" w:type="dxa"/>
            <w:vAlign w:val="bottom"/>
          </w:tcPr>
          <w:p>
            <w:pPr>
              <w:spacing w:after="0"/>
              <w:rPr>
                <w:sz w:val="1"/>
                <w:szCs w:val="1"/>
                <w:color w:val="auto"/>
              </w:rPr>
            </w:pPr>
          </w:p>
        </w:tc>
      </w:tr>
      <w:tr>
        <w:trPr>
          <w:trHeight w:val="141"/>
        </w:trPr>
        <w:tc>
          <w:tcPr>
            <w:tcW w:w="1580" w:type="dxa"/>
            <w:vAlign w:val="bottom"/>
          </w:tcPr>
          <w:p>
            <w:pPr>
              <w:spacing w:after="0" w:line="141" w:lineRule="exact"/>
              <w:rPr>
                <w:sz w:val="20"/>
                <w:szCs w:val="20"/>
                <w:color w:val="auto"/>
              </w:rPr>
            </w:pPr>
            <w:r>
              <w:rPr>
                <w:rFonts w:ascii="Arial" w:cs="Arial" w:eastAsia="Arial" w:hAnsi="Arial"/>
                <w:sz w:val="14"/>
                <w:szCs w:val="14"/>
                <w:color w:val="auto"/>
              </w:rPr>
              <w:t>Consumer installment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1" w:lineRule="exact"/>
              <w:rPr>
                <w:sz w:val="20"/>
                <w:szCs w:val="20"/>
                <w:color w:val="auto"/>
              </w:rPr>
            </w:pPr>
            <w:r>
              <w:rPr>
                <w:rFonts w:ascii="Arial" w:cs="Arial" w:eastAsia="Arial" w:hAnsi="Arial"/>
                <w:sz w:val="14"/>
                <w:szCs w:val="14"/>
                <w:color w:val="auto"/>
              </w:rPr>
              <w:t>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704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4"/>
                <w:szCs w:val="14"/>
                <w:color w:val="auto"/>
              </w:rPr>
              <w:t>713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1" w:lineRule="exact"/>
              <w:rPr>
                <w:sz w:val="20"/>
                <w:szCs w:val="20"/>
                <w:color w:val="auto"/>
              </w:rPr>
            </w:pPr>
            <w:r>
              <w:rPr>
                <w:rFonts w:ascii="Arial" w:cs="Arial" w:eastAsia="Arial" w:hAnsi="Arial"/>
                <w:sz w:val="14"/>
                <w:szCs w:val="14"/>
                <w:color w:val="auto"/>
              </w:rPr>
              <w:t>18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00"/>
              <w:spacing w:after="0" w:line="141" w:lineRule="exact"/>
              <w:rPr>
                <w:sz w:val="20"/>
                <w:szCs w:val="20"/>
                <w:color w:val="auto"/>
              </w:rPr>
            </w:pPr>
            <w:r>
              <w:rPr>
                <w:rFonts w:ascii="Arial" w:cs="Arial" w:eastAsia="Arial" w:hAnsi="Arial"/>
                <w:sz w:val="14"/>
                <w:szCs w:val="14"/>
                <w:color w:val="auto"/>
              </w:rPr>
              <w:t>713</w:t>
            </w:r>
          </w:p>
        </w:tc>
        <w:tc>
          <w:tcPr>
            <w:tcW w:w="14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731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698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717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580" w:type="dxa"/>
            <w:vAlign w:val="bottom"/>
            <w:shd w:val="clear" w:color="auto" w:fill="F0FFFF"/>
          </w:tcPr>
          <w:p>
            <w:pPr>
              <w:spacing w:after="0" w:line="141" w:lineRule="exact"/>
              <w:rPr>
                <w:sz w:val="20"/>
                <w:szCs w:val="20"/>
                <w:color w:val="auto"/>
              </w:rPr>
            </w:pPr>
            <w:r>
              <w:rPr>
                <w:rFonts w:ascii="Arial" w:cs="Arial" w:eastAsia="Arial" w:hAnsi="Arial"/>
                <w:sz w:val="14"/>
                <w:szCs w:val="14"/>
                <w:color w:val="auto"/>
              </w:rPr>
              <w:t>Indirect auto</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0" w:type="dxa"/>
            <w:vAlign w:val="bottom"/>
            <w:shd w:val="clear" w:color="auto" w:fill="F0FFFF"/>
          </w:tcPr>
          <w:p>
            <w:pPr>
              <w:jc w:val="right"/>
              <w:spacing w:after="0" w:line="141" w:lineRule="exact"/>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100"/>
              <w:spacing w:after="0" w:line="141" w:lineRule="exact"/>
              <w:rPr>
                <w:sz w:val="20"/>
                <w:szCs w:val="20"/>
                <w:color w:val="auto"/>
              </w:rPr>
            </w:pPr>
            <w:r>
              <w:rPr>
                <w:rFonts w:ascii="Arial" w:cs="Arial" w:eastAsia="Arial" w:hAnsi="Arial"/>
                <w:sz w:val="14"/>
                <w:szCs w:val="14"/>
                <w:color w:val="auto"/>
              </w:rPr>
              <w:t>1,241</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20"/>
              <w:spacing w:after="0" w:line="141" w:lineRule="exact"/>
              <w:rPr>
                <w:sz w:val="20"/>
                <w:szCs w:val="20"/>
                <w:color w:val="auto"/>
              </w:rPr>
            </w:pPr>
            <w:r>
              <w:rPr>
                <w:rFonts w:ascii="Arial" w:cs="Arial" w:eastAsia="Arial" w:hAnsi="Arial"/>
                <w:sz w:val="14"/>
                <w:szCs w:val="14"/>
                <w:color w:val="auto"/>
              </w:rPr>
              <w:t>1,241</w:t>
            </w:r>
          </w:p>
        </w:tc>
        <w:tc>
          <w:tcPr>
            <w:tcW w:w="80" w:type="dxa"/>
            <w:vAlign w:val="bottom"/>
            <w:shd w:val="clear" w:color="auto" w:fill="F0FFFF"/>
          </w:tcPr>
          <w:p>
            <w:pPr>
              <w:spacing w:after="0"/>
              <w:rPr>
                <w:sz w:val="12"/>
                <w:szCs w:val="12"/>
                <w:color w:val="auto"/>
              </w:rPr>
            </w:pPr>
          </w:p>
        </w:tc>
        <w:tc>
          <w:tcPr>
            <w:tcW w:w="860" w:type="dxa"/>
            <w:vAlign w:val="bottom"/>
            <w:tcBorders>
              <w:right w:val="single" w:sz="8" w:color="F0FFFF"/>
            </w:tcBorders>
            <w:shd w:val="clear" w:color="auto" w:fill="F0FFFF"/>
          </w:tcPr>
          <w:p>
            <w:pPr>
              <w:jc w:val="right"/>
              <w:spacing w:after="0" w:line="141" w:lineRule="exact"/>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20" w:type="dxa"/>
            <w:vAlign w:val="bottom"/>
            <w:tcBorders>
              <w:right w:val="single" w:sz="8" w:color="F0FFFF"/>
            </w:tcBorders>
            <w:gridSpan w:val="2"/>
            <w:shd w:val="clear" w:color="auto" w:fill="F0FFFF"/>
          </w:tcPr>
          <w:p>
            <w:pPr>
              <w:jc w:val="right"/>
              <w:ind w:right="200"/>
              <w:spacing w:after="0" w:line="141" w:lineRule="exact"/>
              <w:rPr>
                <w:sz w:val="20"/>
                <w:szCs w:val="20"/>
                <w:color w:val="auto"/>
              </w:rPr>
            </w:pPr>
            <w:r>
              <w:rPr>
                <w:rFonts w:ascii="Arial" w:cs="Arial" w:eastAsia="Arial" w:hAnsi="Arial"/>
                <w:sz w:val="14"/>
                <w:szCs w:val="14"/>
                <w:color w:val="auto"/>
              </w:rPr>
              <w:t>1,061</w:t>
            </w:r>
          </w:p>
        </w:tc>
        <w:tc>
          <w:tcPr>
            <w:tcW w:w="14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00"/>
              <w:spacing w:after="0" w:line="141" w:lineRule="exact"/>
              <w:rPr>
                <w:sz w:val="20"/>
                <w:szCs w:val="20"/>
                <w:color w:val="auto"/>
              </w:rPr>
            </w:pPr>
            <w:r>
              <w:rPr>
                <w:rFonts w:ascii="Arial" w:cs="Arial" w:eastAsia="Arial" w:hAnsi="Arial"/>
                <w:sz w:val="14"/>
                <w:szCs w:val="14"/>
                <w:color w:val="auto"/>
              </w:rPr>
              <w:t>1,061</w:t>
            </w: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1" w:lineRule="exact"/>
              <w:rPr>
                <w:sz w:val="20"/>
                <w:szCs w:val="20"/>
                <w:color w:val="auto"/>
              </w:rPr>
            </w:pPr>
            <w:r>
              <w:rPr>
                <w:rFonts w:ascii="Arial" w:cs="Arial" w:eastAsia="Arial" w:hAnsi="Arial"/>
                <w:sz w:val="14"/>
                <w:szCs w:val="14"/>
                <w:color w:val="auto"/>
              </w:rPr>
              <w:t>796</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60" w:type="dxa"/>
            <w:vAlign w:val="bottom"/>
            <w:shd w:val="clear" w:color="auto" w:fill="F0FFFF"/>
          </w:tcPr>
          <w:p>
            <w:pPr>
              <w:jc w:val="right"/>
              <w:spacing w:after="0" w:line="141" w:lineRule="exact"/>
              <w:rPr>
                <w:sz w:val="20"/>
                <w:szCs w:val="20"/>
                <w:color w:val="auto"/>
              </w:rPr>
            </w:pPr>
            <w:r>
              <w:rPr>
                <w:rFonts w:ascii="Arial" w:cs="Arial" w:eastAsia="Arial" w:hAnsi="Arial"/>
                <w:sz w:val="14"/>
                <w:szCs w:val="14"/>
                <w:color w:val="auto"/>
              </w:rPr>
              <w:t>796</w:t>
            </w: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580" w:type="dxa"/>
            <w:vAlign w:val="bottom"/>
            <w:tcBorders>
              <w:top w:val="single" w:sz="8" w:color="F0FFFF"/>
            </w:tcBorders>
          </w:tcPr>
          <w:p>
            <w:pPr>
              <w:ind w:left="160"/>
              <w:spacing w:after="0" w:line="123" w:lineRule="exact"/>
              <w:rPr>
                <w:sz w:val="20"/>
                <w:szCs w:val="20"/>
                <w:color w:val="auto"/>
              </w:rPr>
            </w:pPr>
            <w:r>
              <w:rPr>
                <w:rFonts w:ascii="Arial" w:cs="Arial" w:eastAsia="Arial" w:hAnsi="Arial"/>
                <w:sz w:val="14"/>
                <w:szCs w:val="14"/>
                <w:color w:val="auto"/>
                <w:w w:val="94"/>
              </w:rPr>
              <w:t>Total allowance for loan</w:t>
            </w:r>
          </w:p>
        </w:tc>
        <w:tc>
          <w:tcPr>
            <w:tcW w:w="80" w:type="dxa"/>
            <w:vAlign w:val="bottom"/>
            <w:tcBorders>
              <w:top w:val="single" w:sz="8" w:color="F0FF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Borders>
              <w:top w:val="single" w:sz="8" w:color="F0FF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F0FFFF"/>
            </w:tcBorders>
          </w:tcPr>
          <w:p>
            <w:pPr>
              <w:spacing w:after="0"/>
              <w:rPr>
                <w:sz w:val="10"/>
                <w:szCs w:val="10"/>
                <w:color w:val="auto"/>
              </w:rPr>
            </w:pPr>
          </w:p>
        </w:tc>
        <w:tc>
          <w:tcPr>
            <w:tcW w:w="100" w:type="dxa"/>
            <w:vAlign w:val="bottom"/>
            <w:tcBorders>
              <w:top w:val="single" w:sz="8" w:color="F0FF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Borders>
              <w:top w:val="single" w:sz="8" w:color="F0FF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Borders>
              <w:top w:val="single" w:sz="8" w:color="F0FF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Borders>
              <w:top w:val="single" w:sz="8" w:color="F0FF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0" w:type="dxa"/>
            <w:vAlign w:val="bottom"/>
            <w:tcBorders>
              <w:top w:val="single" w:sz="8" w:color="F0FF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Borders>
              <w:top w:val="single" w:sz="8" w:color="F0FFFF"/>
            </w:tcBorders>
          </w:tcPr>
          <w:p>
            <w:pPr>
              <w:spacing w:after="0"/>
              <w:rPr>
                <w:sz w:val="10"/>
                <w:szCs w:val="10"/>
                <w:color w:val="auto"/>
              </w:rPr>
            </w:pPr>
          </w:p>
        </w:tc>
        <w:tc>
          <w:tcPr>
            <w:tcW w:w="100" w:type="dxa"/>
            <w:vAlign w:val="bottom"/>
            <w:tcBorders>
              <w:top w:val="single" w:sz="8" w:color="F0FF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Borders>
              <w:top w:val="single" w:sz="8" w:color="F0FFFF"/>
            </w:tcBorders>
          </w:tcPr>
          <w:p>
            <w:pPr>
              <w:spacing w:after="0"/>
              <w:rPr>
                <w:sz w:val="10"/>
                <w:szCs w:val="10"/>
                <w:color w:val="auto"/>
              </w:rPr>
            </w:pPr>
          </w:p>
        </w:tc>
        <w:tc>
          <w:tcPr>
            <w:tcW w:w="100" w:type="dxa"/>
            <w:vAlign w:val="bottom"/>
            <w:tcBorders>
              <w:top w:val="single" w:sz="8" w:color="F0FF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F0FFFF"/>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580" w:type="dxa"/>
            <w:vAlign w:val="bottom"/>
          </w:tcPr>
          <w:p>
            <w:pPr>
              <w:ind w:left="320"/>
              <w:spacing w:after="0" w:line="159" w:lineRule="exact"/>
              <w:rPr>
                <w:sz w:val="20"/>
                <w:szCs w:val="20"/>
                <w:color w:val="auto"/>
              </w:rPr>
            </w:pPr>
            <w:r>
              <w:rPr>
                <w:rFonts w:ascii="Arial" w:cs="Arial" w:eastAsia="Arial" w:hAnsi="Arial"/>
                <w:sz w:val="14"/>
                <w:szCs w:val="14"/>
                <w:color w:val="auto"/>
              </w:rPr>
              <w:t>losses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7,594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62,413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70,007</w:t>
            </w:r>
          </w:p>
        </w:tc>
        <w:tc>
          <w:tcPr>
            <w:tcW w:w="8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9,882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61,737</w:t>
            </w:r>
          </w:p>
        </w:tc>
        <w:tc>
          <w:tcPr>
            <w:tcW w:w="140" w:type="dxa"/>
            <w:vAlign w:val="bottom"/>
          </w:tcPr>
          <w:p>
            <w:pPr>
              <w:spacing w:after="0"/>
              <w:rPr>
                <w:sz w:val="13"/>
                <w:szCs w:val="13"/>
                <w:color w:val="auto"/>
              </w:rPr>
            </w:pPr>
          </w:p>
        </w:tc>
        <w:tc>
          <w:tcPr>
            <w:tcW w:w="9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71,619</w:t>
            </w:r>
          </w:p>
        </w:tc>
        <w:tc>
          <w:tcPr>
            <w:tcW w:w="80" w:type="dxa"/>
            <w:vAlign w:val="bottom"/>
          </w:tcPr>
          <w:p>
            <w:pPr>
              <w:spacing w:after="0"/>
              <w:rPr>
                <w:sz w:val="13"/>
                <w:szCs w:val="13"/>
                <w:color w:val="auto"/>
              </w:rPr>
            </w:pPr>
          </w:p>
        </w:tc>
        <w:tc>
          <w:tcPr>
            <w:tcW w:w="9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8,399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66,824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75,223</w:t>
            </w:r>
          </w:p>
        </w:tc>
        <w:tc>
          <w:tcPr>
            <w:tcW w:w="0" w:type="dxa"/>
            <w:vAlign w:val="bottom"/>
          </w:tcPr>
          <w:p>
            <w:pPr>
              <w:spacing w:after="0"/>
              <w:rPr>
                <w:sz w:val="1"/>
                <w:szCs w:val="1"/>
                <w:color w:val="auto"/>
              </w:rPr>
            </w:pPr>
          </w:p>
        </w:tc>
      </w:tr>
      <w:tr>
        <w:trPr>
          <w:trHeight w:val="123"/>
        </w:trPr>
        <w:tc>
          <w:tcPr>
            <w:tcW w:w="1580" w:type="dxa"/>
            <w:vAlign w:val="bottom"/>
            <w:shd w:val="clear" w:color="auto" w:fill="F0FFFF"/>
          </w:tcPr>
          <w:p>
            <w:pPr>
              <w:spacing w:after="0" w:line="123" w:lineRule="exact"/>
              <w:rPr>
                <w:sz w:val="20"/>
                <w:szCs w:val="20"/>
                <w:color w:val="auto"/>
              </w:rPr>
            </w:pPr>
            <w:r>
              <w:rPr>
                <w:rFonts w:ascii="Arial" w:cs="Arial" w:eastAsia="Arial" w:hAnsi="Arial"/>
                <w:sz w:val="14"/>
                <w:szCs w:val="14"/>
                <w:color w:val="auto"/>
              </w:rPr>
              <w:t>Allowance for unfunded</w:t>
            </w:r>
          </w:p>
        </w:tc>
        <w:tc>
          <w:tcPr>
            <w:tcW w:w="8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80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80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40" w:type="dxa"/>
            <w:vAlign w:val="bottom"/>
            <w:shd w:val="clear" w:color="auto" w:fill="F0FFFF"/>
          </w:tcPr>
          <w:p>
            <w:pPr>
              <w:spacing w:after="0"/>
              <w:rPr>
                <w:sz w:val="10"/>
                <w:szCs w:val="10"/>
                <w:color w:val="auto"/>
              </w:rPr>
            </w:pPr>
          </w:p>
        </w:tc>
        <w:tc>
          <w:tcPr>
            <w:tcW w:w="740" w:type="dxa"/>
            <w:vAlign w:val="bottom"/>
            <w:shd w:val="clear" w:color="auto" w:fill="F0FFFF"/>
          </w:tcPr>
          <w:p>
            <w:pPr>
              <w:spacing w:after="0"/>
              <w:rPr>
                <w:sz w:val="10"/>
                <w:szCs w:val="10"/>
                <w:color w:val="auto"/>
              </w:rPr>
            </w:pPr>
          </w:p>
        </w:tc>
        <w:tc>
          <w:tcPr>
            <w:tcW w:w="22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860" w:type="dxa"/>
            <w:vAlign w:val="bottom"/>
            <w:tcBorders>
              <w:right w:val="single" w:sz="8" w:color="F0FFFF"/>
            </w:tcBorders>
            <w:shd w:val="clear" w:color="auto" w:fill="F0FFFF"/>
          </w:tcPr>
          <w:p>
            <w:pPr>
              <w:spacing w:after="0"/>
              <w:rPr>
                <w:sz w:val="10"/>
                <w:szCs w:val="10"/>
                <w:color w:val="auto"/>
              </w:rPr>
            </w:pPr>
          </w:p>
        </w:tc>
        <w:tc>
          <w:tcPr>
            <w:tcW w:w="16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820" w:type="dxa"/>
            <w:vAlign w:val="bottom"/>
            <w:shd w:val="clear" w:color="auto" w:fill="F0FFFF"/>
          </w:tcPr>
          <w:p>
            <w:pPr>
              <w:spacing w:after="0"/>
              <w:rPr>
                <w:sz w:val="10"/>
                <w:szCs w:val="10"/>
                <w:color w:val="auto"/>
              </w:rPr>
            </w:pPr>
          </w:p>
        </w:tc>
        <w:tc>
          <w:tcPr>
            <w:tcW w:w="200" w:type="dxa"/>
            <w:vAlign w:val="bottom"/>
            <w:tcBorders>
              <w:right w:val="single" w:sz="8" w:color="F0FFFF"/>
            </w:tcBorders>
            <w:shd w:val="clear" w:color="auto" w:fill="F0FFFF"/>
          </w:tcPr>
          <w:p>
            <w:pPr>
              <w:spacing w:after="0"/>
              <w:rPr>
                <w:sz w:val="10"/>
                <w:szCs w:val="10"/>
                <w:color w:val="auto"/>
              </w:rPr>
            </w:pPr>
          </w:p>
        </w:tc>
        <w:tc>
          <w:tcPr>
            <w:tcW w:w="140" w:type="dxa"/>
            <w:vAlign w:val="bottom"/>
            <w:shd w:val="clear" w:color="auto" w:fill="F0FFFF"/>
          </w:tcPr>
          <w:p>
            <w:pPr>
              <w:spacing w:after="0"/>
              <w:rPr>
                <w:sz w:val="10"/>
                <w:szCs w:val="10"/>
                <w:color w:val="auto"/>
              </w:rPr>
            </w:pPr>
          </w:p>
        </w:tc>
        <w:tc>
          <w:tcPr>
            <w:tcW w:w="76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82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82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40" w:type="dxa"/>
            <w:vAlign w:val="bottom"/>
            <w:shd w:val="clear" w:color="auto" w:fill="F0FFFF"/>
          </w:tcPr>
          <w:p>
            <w:pPr>
              <w:spacing w:after="0"/>
              <w:rPr>
                <w:sz w:val="10"/>
                <w:szCs w:val="10"/>
                <w:color w:val="auto"/>
              </w:rPr>
            </w:pPr>
          </w:p>
        </w:tc>
        <w:tc>
          <w:tcPr>
            <w:tcW w:w="76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shd w:val="clear" w:color="auto" w:fill="F0FFFF"/>
          </w:tcPr>
          <w:p>
            <w:pPr>
              <w:ind w:left="160"/>
              <w:spacing w:after="0" w:line="159" w:lineRule="exact"/>
              <w:rPr>
                <w:sz w:val="20"/>
                <w:szCs w:val="20"/>
                <w:color w:val="auto"/>
              </w:rPr>
            </w:pPr>
            <w:r>
              <w:rPr>
                <w:rFonts w:ascii="Arial" w:cs="Arial" w:eastAsia="Arial" w:hAnsi="Arial"/>
                <w:sz w:val="14"/>
                <w:szCs w:val="14"/>
                <w:color w:val="auto"/>
              </w:rPr>
              <w:t>commitments</w:t>
            </w:r>
          </w:p>
        </w:tc>
        <w:tc>
          <w:tcPr>
            <w:tcW w:w="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00" w:type="dxa"/>
            <w:vAlign w:val="bottom"/>
            <w:shd w:val="clear" w:color="auto" w:fill="F0FF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ind w:right="100"/>
              <w:spacing w:after="0" w:line="159" w:lineRule="exact"/>
              <w:rPr>
                <w:sz w:val="20"/>
                <w:szCs w:val="20"/>
                <w:color w:val="auto"/>
              </w:rPr>
            </w:pPr>
            <w:r>
              <w:rPr>
                <w:rFonts w:ascii="Arial" w:cs="Arial" w:eastAsia="Arial" w:hAnsi="Arial"/>
                <w:sz w:val="14"/>
                <w:szCs w:val="14"/>
                <w:color w:val="auto"/>
              </w:rPr>
              <w:t>2,780</w:t>
            </w:r>
          </w:p>
        </w:tc>
        <w:tc>
          <w:tcPr>
            <w:tcW w:w="1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220"/>
              <w:spacing w:after="0" w:line="159" w:lineRule="exact"/>
              <w:rPr>
                <w:sz w:val="20"/>
                <w:szCs w:val="20"/>
                <w:color w:val="auto"/>
              </w:rPr>
            </w:pPr>
            <w:r>
              <w:rPr>
                <w:rFonts w:ascii="Arial" w:cs="Arial" w:eastAsia="Arial" w:hAnsi="Arial"/>
                <w:sz w:val="14"/>
                <w:szCs w:val="14"/>
                <w:color w:val="auto"/>
              </w:rPr>
              <w:t>2,780</w:t>
            </w:r>
          </w:p>
        </w:tc>
        <w:tc>
          <w:tcPr>
            <w:tcW w:w="80" w:type="dxa"/>
            <w:vAlign w:val="bottom"/>
            <w:shd w:val="clear" w:color="auto" w:fill="F0FFFF"/>
          </w:tcPr>
          <w:p>
            <w:pPr>
              <w:spacing w:after="0"/>
              <w:rPr>
                <w:sz w:val="14"/>
                <w:szCs w:val="14"/>
                <w:color w:val="auto"/>
              </w:rPr>
            </w:pPr>
          </w:p>
        </w:tc>
        <w:tc>
          <w:tcPr>
            <w:tcW w:w="860" w:type="dxa"/>
            <w:vAlign w:val="bottom"/>
            <w:tcBorders>
              <w:right w:val="single" w:sz="8" w:color="F0FFFF"/>
            </w:tcBorders>
            <w:shd w:val="clear" w:color="auto" w:fill="F0FF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20" w:type="dxa"/>
            <w:vAlign w:val="bottom"/>
            <w:tcBorders>
              <w:right w:val="single" w:sz="8" w:color="F0FFFF"/>
            </w:tcBorders>
            <w:gridSpan w:val="2"/>
            <w:shd w:val="clear" w:color="auto" w:fill="F0FFFF"/>
          </w:tcPr>
          <w:p>
            <w:pPr>
              <w:jc w:val="right"/>
              <w:ind w:right="200"/>
              <w:spacing w:after="0" w:line="159" w:lineRule="exact"/>
              <w:rPr>
                <w:sz w:val="20"/>
                <w:szCs w:val="20"/>
                <w:color w:val="auto"/>
              </w:rPr>
            </w:pPr>
            <w:r>
              <w:rPr>
                <w:rFonts w:ascii="Arial" w:cs="Arial" w:eastAsia="Arial" w:hAnsi="Arial"/>
                <w:sz w:val="14"/>
                <w:szCs w:val="14"/>
                <w:color w:val="auto"/>
              </w:rPr>
              <w:t>1,930</w:t>
            </w:r>
          </w:p>
        </w:tc>
        <w:tc>
          <w:tcPr>
            <w:tcW w:w="14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200"/>
              <w:spacing w:after="0" w:line="159" w:lineRule="exact"/>
              <w:rPr>
                <w:sz w:val="20"/>
                <w:szCs w:val="20"/>
                <w:color w:val="auto"/>
              </w:rPr>
            </w:pPr>
            <w:r>
              <w:rPr>
                <w:rFonts w:ascii="Arial" w:cs="Arial" w:eastAsia="Arial" w:hAnsi="Arial"/>
                <w:sz w:val="14"/>
                <w:szCs w:val="14"/>
                <w:color w:val="auto"/>
              </w:rPr>
              <w:t>1,930</w:t>
            </w:r>
          </w:p>
        </w:tc>
        <w:tc>
          <w:tcPr>
            <w:tcW w:w="80" w:type="dxa"/>
            <w:vAlign w:val="bottom"/>
            <w:shd w:val="clear" w:color="auto" w:fill="F0FFFF"/>
          </w:tcPr>
          <w:p>
            <w:pPr>
              <w:spacing w:after="0"/>
              <w:rPr>
                <w:sz w:val="14"/>
                <w:szCs w:val="14"/>
                <w:color w:val="auto"/>
              </w:rPr>
            </w:pPr>
          </w:p>
        </w:tc>
        <w:tc>
          <w:tcPr>
            <w:tcW w:w="920" w:type="dxa"/>
            <w:vAlign w:val="bottom"/>
            <w:gridSpan w:val="2"/>
            <w:shd w:val="clear" w:color="auto" w:fill="F0FF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920" w:type="dxa"/>
            <w:vAlign w:val="bottom"/>
            <w:gridSpan w:val="2"/>
            <w:shd w:val="clear" w:color="auto" w:fill="F0FFFF"/>
          </w:tcPr>
          <w:p>
            <w:pPr>
              <w:jc w:val="right"/>
              <w:ind w:right="100"/>
              <w:spacing w:after="0" w:line="159" w:lineRule="exact"/>
              <w:rPr>
                <w:sz w:val="20"/>
                <w:szCs w:val="20"/>
                <w:color w:val="auto"/>
              </w:rPr>
            </w:pPr>
            <w:r>
              <w:rPr>
                <w:rFonts w:ascii="Arial" w:cs="Arial" w:eastAsia="Arial" w:hAnsi="Arial"/>
                <w:sz w:val="14"/>
                <w:szCs w:val="14"/>
                <w:color w:val="auto"/>
              </w:rPr>
              <w:t>2,165</w:t>
            </w:r>
          </w:p>
        </w:tc>
        <w:tc>
          <w:tcPr>
            <w:tcW w:w="1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60" w:type="dxa"/>
            <w:vAlign w:val="bottom"/>
            <w:gridSpan w:val="2"/>
            <w:shd w:val="clear" w:color="auto" w:fill="F0FFFF"/>
          </w:tcPr>
          <w:p>
            <w:pPr>
              <w:jc w:val="right"/>
              <w:ind w:right="100"/>
              <w:spacing w:after="0" w:line="159" w:lineRule="exact"/>
              <w:rPr>
                <w:sz w:val="20"/>
                <w:szCs w:val="20"/>
                <w:color w:val="auto"/>
              </w:rPr>
            </w:pPr>
            <w:r>
              <w:rPr>
                <w:rFonts w:ascii="Arial" w:cs="Arial" w:eastAsia="Arial" w:hAnsi="Arial"/>
                <w:sz w:val="14"/>
                <w:szCs w:val="14"/>
                <w:color w:val="auto"/>
              </w:rPr>
              <w:t>2,165</w:t>
            </w:r>
          </w:p>
        </w:tc>
        <w:tc>
          <w:tcPr>
            <w:tcW w:w="0" w:type="dxa"/>
            <w:vAlign w:val="bottom"/>
          </w:tcPr>
          <w:p>
            <w:pPr>
              <w:spacing w:after="0"/>
              <w:rPr>
                <w:sz w:val="1"/>
                <w:szCs w:val="1"/>
                <w:color w:val="auto"/>
              </w:rPr>
            </w:pPr>
          </w:p>
        </w:tc>
      </w:tr>
      <w:tr>
        <w:trPr>
          <w:trHeight w:val="123"/>
        </w:trPr>
        <w:tc>
          <w:tcPr>
            <w:tcW w:w="1580" w:type="dxa"/>
            <w:vAlign w:val="bottom"/>
            <w:tcBorders>
              <w:top w:val="single" w:sz="8" w:color="F0FFFF"/>
            </w:tcBorders>
          </w:tcPr>
          <w:p>
            <w:pPr>
              <w:ind w:left="160"/>
              <w:spacing w:after="0" w:line="123" w:lineRule="exact"/>
              <w:rPr>
                <w:sz w:val="20"/>
                <w:szCs w:val="20"/>
                <w:color w:val="auto"/>
              </w:rPr>
            </w:pPr>
            <w:r>
              <w:rPr>
                <w:rFonts w:ascii="Arial" w:cs="Arial" w:eastAsia="Arial" w:hAnsi="Arial"/>
                <w:sz w:val="14"/>
                <w:szCs w:val="14"/>
                <w:color w:val="auto"/>
                <w:w w:val="89"/>
              </w:rPr>
              <w:t>Total allowance for credit</w:t>
            </w:r>
          </w:p>
        </w:tc>
        <w:tc>
          <w:tcPr>
            <w:tcW w:w="80" w:type="dxa"/>
            <w:vAlign w:val="bottom"/>
            <w:tcBorders>
              <w:top w:val="single" w:sz="8" w:color="F0FF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Borders>
              <w:top w:val="single" w:sz="8" w:color="F0FF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F0FFFF"/>
            </w:tcBorders>
          </w:tcPr>
          <w:p>
            <w:pPr>
              <w:spacing w:after="0"/>
              <w:rPr>
                <w:sz w:val="10"/>
                <w:szCs w:val="10"/>
                <w:color w:val="auto"/>
              </w:rPr>
            </w:pPr>
          </w:p>
        </w:tc>
        <w:tc>
          <w:tcPr>
            <w:tcW w:w="100" w:type="dxa"/>
            <w:vAlign w:val="bottom"/>
            <w:tcBorders>
              <w:top w:val="single" w:sz="8" w:color="F0FF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Borders>
              <w:top w:val="single" w:sz="8" w:color="F0FF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Borders>
              <w:top w:val="single" w:sz="8" w:color="F0FF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Borders>
              <w:top w:val="single" w:sz="8" w:color="F0FF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0" w:type="dxa"/>
            <w:vAlign w:val="bottom"/>
            <w:tcBorders>
              <w:top w:val="single" w:sz="8" w:color="F0FF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Borders>
              <w:top w:val="single" w:sz="8" w:color="F0FFFF"/>
            </w:tcBorders>
          </w:tcPr>
          <w:p>
            <w:pPr>
              <w:spacing w:after="0"/>
              <w:rPr>
                <w:sz w:val="10"/>
                <w:szCs w:val="10"/>
                <w:color w:val="auto"/>
              </w:rPr>
            </w:pPr>
          </w:p>
        </w:tc>
        <w:tc>
          <w:tcPr>
            <w:tcW w:w="100" w:type="dxa"/>
            <w:vAlign w:val="bottom"/>
            <w:tcBorders>
              <w:top w:val="single" w:sz="8" w:color="F0FF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Borders>
              <w:top w:val="single" w:sz="8" w:color="F0FFFF"/>
            </w:tcBorders>
          </w:tcPr>
          <w:p>
            <w:pPr>
              <w:spacing w:after="0"/>
              <w:rPr>
                <w:sz w:val="10"/>
                <w:szCs w:val="10"/>
                <w:color w:val="auto"/>
              </w:rPr>
            </w:pPr>
          </w:p>
        </w:tc>
        <w:tc>
          <w:tcPr>
            <w:tcW w:w="100" w:type="dxa"/>
            <w:vAlign w:val="bottom"/>
            <w:tcBorders>
              <w:top w:val="single" w:sz="8" w:color="F0FF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F0FFFF"/>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580" w:type="dxa"/>
            <w:vAlign w:val="bottom"/>
          </w:tcPr>
          <w:p>
            <w:pPr>
              <w:ind w:left="320"/>
              <w:spacing w:after="0" w:line="159" w:lineRule="exact"/>
              <w:rPr>
                <w:sz w:val="20"/>
                <w:szCs w:val="20"/>
                <w:color w:val="auto"/>
              </w:rPr>
            </w:pPr>
            <w:r>
              <w:rPr>
                <w:rFonts w:ascii="Arial" w:cs="Arial" w:eastAsia="Arial" w:hAnsi="Arial"/>
                <w:sz w:val="14"/>
                <w:szCs w:val="14"/>
                <w:color w:val="auto"/>
              </w:rPr>
              <w:t>losses</w:t>
            </w:r>
          </w:p>
        </w:tc>
        <w:tc>
          <w:tcPr>
            <w:tcW w:w="1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7,594</w:t>
            </w:r>
          </w:p>
        </w:tc>
        <w:tc>
          <w:tcPr>
            <w:tcW w:w="280" w:type="dxa"/>
            <w:vAlign w:val="bottom"/>
            <w:gridSpan w:val="2"/>
          </w:tcPr>
          <w:p>
            <w:pPr>
              <w:ind w:left="200"/>
              <w:spacing w:after="0" w:line="15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65,193</w:t>
            </w:r>
          </w:p>
        </w:tc>
        <w:tc>
          <w:tcPr>
            <w:tcW w:w="2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72,787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9,882</w:t>
            </w:r>
          </w:p>
        </w:tc>
        <w:tc>
          <w:tcPr>
            <w:tcW w:w="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63,667</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73,549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8,399</w:t>
            </w:r>
          </w:p>
        </w:tc>
        <w:tc>
          <w:tcPr>
            <w:tcW w:w="180" w:type="dxa"/>
            <w:vAlign w:val="bottom"/>
            <w:gridSpan w:val="2"/>
          </w:tcPr>
          <w:p>
            <w:pPr>
              <w:ind w:left="100"/>
              <w:spacing w:after="0" w:line="15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68,989</w:t>
            </w:r>
          </w:p>
        </w:tc>
        <w:tc>
          <w:tcPr>
            <w:tcW w:w="2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77,388</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5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60" w:type="dxa"/>
            <w:vAlign w:val="bottom"/>
            <w:tcBorders>
              <w:right w:val="single" w:sz="8" w:color="F0FFFF"/>
            </w:tcBorders>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200" w:type="dxa"/>
            <w:vAlign w:val="bottom"/>
            <w:tcBorders>
              <w:right w:val="single" w:sz="8" w:color="F0FFFF"/>
            </w:tcBorders>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580" w:type="dxa"/>
            <w:vAlign w:val="bottom"/>
            <w:tcBorders>
              <w:bottom w:val="single" w:sz="8" w:color="auto"/>
            </w:tcBorders>
          </w:tcPr>
          <w:p>
            <w:pPr>
              <w:spacing w:after="0" w:line="141" w:lineRule="exact"/>
              <w:rPr>
                <w:sz w:val="20"/>
                <w:szCs w:val="20"/>
                <w:color w:val="auto"/>
              </w:rPr>
            </w:pPr>
            <w:r>
              <w:rPr>
                <w:rFonts w:ascii="Arial" w:cs="Arial" w:eastAsia="Arial" w:hAnsi="Arial"/>
                <w:sz w:val="14"/>
                <w:szCs w:val="14"/>
                <w:b w:val="1"/>
                <w:bCs w:val="1"/>
                <w:color w:val="auto"/>
              </w:rPr>
              <w:t>Loans Outstanding</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580" w:type="dxa"/>
            <w:vAlign w:val="bottom"/>
            <w:shd w:val="clear" w:color="auto" w:fill="F0FFFF"/>
          </w:tcPr>
          <w:p>
            <w:pPr>
              <w:spacing w:after="0"/>
              <w:rPr>
                <w:sz w:val="20"/>
                <w:szCs w:val="20"/>
                <w:color w:val="auto"/>
              </w:rPr>
            </w:pPr>
            <w:r>
              <w:rPr>
                <w:rFonts w:ascii="Arial" w:cs="Arial" w:eastAsia="Arial" w:hAnsi="Arial"/>
                <w:sz w:val="14"/>
                <w:szCs w:val="14"/>
                <w:color w:val="auto"/>
              </w:rPr>
              <w:t>Owner occupied</w:t>
            </w:r>
          </w:p>
        </w:tc>
        <w:tc>
          <w:tcPr>
            <w:tcW w:w="80" w:type="dxa"/>
            <w:vAlign w:val="bottom"/>
            <w:shd w:val="clear" w:color="auto" w:fill="F0FFFF"/>
          </w:tcPr>
          <w:p>
            <w:pPr>
              <w:spacing w:after="0"/>
              <w:rPr>
                <w:sz w:val="22"/>
                <w:szCs w:val="22"/>
                <w:color w:val="auto"/>
              </w:rPr>
            </w:pPr>
          </w:p>
        </w:tc>
        <w:tc>
          <w:tcPr>
            <w:tcW w:w="80" w:type="dxa"/>
            <w:vAlign w:val="bottom"/>
            <w:shd w:val="clear" w:color="auto" w:fill="F0FFFF"/>
          </w:tcPr>
          <w:p>
            <w:pPr>
              <w:spacing w:after="0"/>
              <w:rPr>
                <w:sz w:val="22"/>
                <w:szCs w:val="22"/>
                <w:color w:val="auto"/>
              </w:rPr>
            </w:pPr>
          </w:p>
        </w:tc>
        <w:tc>
          <w:tcPr>
            <w:tcW w:w="80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80" w:type="dxa"/>
            <w:vAlign w:val="bottom"/>
            <w:shd w:val="clear" w:color="auto" w:fill="F0FFFF"/>
          </w:tcPr>
          <w:p>
            <w:pPr>
              <w:spacing w:after="0"/>
              <w:rPr>
                <w:sz w:val="22"/>
                <w:szCs w:val="22"/>
                <w:color w:val="auto"/>
              </w:rPr>
            </w:pPr>
          </w:p>
        </w:tc>
        <w:tc>
          <w:tcPr>
            <w:tcW w:w="80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740" w:type="dxa"/>
            <w:vAlign w:val="bottom"/>
            <w:shd w:val="clear" w:color="auto" w:fill="F0FFFF"/>
          </w:tcPr>
          <w:p>
            <w:pPr>
              <w:spacing w:after="0"/>
              <w:rPr>
                <w:sz w:val="22"/>
                <w:szCs w:val="22"/>
                <w:color w:val="auto"/>
              </w:rPr>
            </w:pPr>
          </w:p>
        </w:tc>
        <w:tc>
          <w:tcPr>
            <w:tcW w:w="220" w:type="dxa"/>
            <w:vAlign w:val="bottom"/>
            <w:shd w:val="clear" w:color="auto" w:fill="F0FFFF"/>
          </w:tcPr>
          <w:p>
            <w:pPr>
              <w:spacing w:after="0"/>
              <w:rPr>
                <w:sz w:val="22"/>
                <w:szCs w:val="22"/>
                <w:color w:val="auto"/>
              </w:rPr>
            </w:pPr>
          </w:p>
        </w:tc>
        <w:tc>
          <w:tcPr>
            <w:tcW w:w="80" w:type="dxa"/>
            <w:vAlign w:val="bottom"/>
            <w:shd w:val="clear" w:color="auto" w:fill="F0FFFF"/>
          </w:tcPr>
          <w:p>
            <w:pPr>
              <w:spacing w:after="0"/>
              <w:rPr>
                <w:sz w:val="22"/>
                <w:szCs w:val="22"/>
                <w:color w:val="auto"/>
              </w:rPr>
            </w:pPr>
          </w:p>
        </w:tc>
        <w:tc>
          <w:tcPr>
            <w:tcW w:w="860" w:type="dxa"/>
            <w:vAlign w:val="bottom"/>
            <w:tcBorders>
              <w:right w:val="single" w:sz="8" w:color="F0FFFF"/>
            </w:tcBorders>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80" w:type="dxa"/>
            <w:vAlign w:val="bottom"/>
            <w:shd w:val="clear" w:color="auto" w:fill="F0FFFF"/>
          </w:tcPr>
          <w:p>
            <w:pPr>
              <w:spacing w:after="0"/>
              <w:rPr>
                <w:sz w:val="22"/>
                <w:szCs w:val="22"/>
                <w:color w:val="auto"/>
              </w:rPr>
            </w:pPr>
          </w:p>
        </w:tc>
        <w:tc>
          <w:tcPr>
            <w:tcW w:w="820" w:type="dxa"/>
            <w:vAlign w:val="bottom"/>
            <w:shd w:val="clear" w:color="auto" w:fill="F0FFFF"/>
          </w:tcPr>
          <w:p>
            <w:pPr>
              <w:spacing w:after="0"/>
              <w:rPr>
                <w:sz w:val="22"/>
                <w:szCs w:val="22"/>
                <w:color w:val="auto"/>
              </w:rPr>
            </w:pPr>
          </w:p>
        </w:tc>
        <w:tc>
          <w:tcPr>
            <w:tcW w:w="200" w:type="dxa"/>
            <w:vAlign w:val="bottom"/>
            <w:tcBorders>
              <w:right w:val="single" w:sz="8" w:color="F0FFFF"/>
            </w:tcBorders>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76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80" w:type="dxa"/>
            <w:vAlign w:val="bottom"/>
            <w:shd w:val="clear" w:color="auto" w:fill="F0FFFF"/>
          </w:tcPr>
          <w:p>
            <w:pPr>
              <w:spacing w:after="0"/>
              <w:rPr>
                <w:sz w:val="22"/>
                <w:szCs w:val="22"/>
                <w:color w:val="auto"/>
              </w:rPr>
            </w:pPr>
          </w:p>
        </w:tc>
        <w:tc>
          <w:tcPr>
            <w:tcW w:w="8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80" w:type="dxa"/>
            <w:vAlign w:val="bottom"/>
            <w:shd w:val="clear" w:color="auto" w:fill="F0FFFF"/>
          </w:tcPr>
          <w:p>
            <w:pPr>
              <w:spacing w:after="0"/>
              <w:rPr>
                <w:sz w:val="22"/>
                <w:szCs w:val="22"/>
                <w:color w:val="auto"/>
              </w:rPr>
            </w:pPr>
          </w:p>
        </w:tc>
        <w:tc>
          <w:tcPr>
            <w:tcW w:w="8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76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1580" w:type="dxa"/>
            <w:vAlign w:val="bottom"/>
            <w:shd w:val="clear" w:color="auto" w:fill="F0FFFF"/>
          </w:tcPr>
          <w:p>
            <w:pPr>
              <w:ind w:left="160"/>
              <w:spacing w:after="0" w:line="159" w:lineRule="exact"/>
              <w:rPr>
                <w:sz w:val="20"/>
                <w:szCs w:val="20"/>
                <w:color w:val="auto"/>
              </w:rPr>
            </w:pPr>
            <w:r>
              <w:rPr>
                <w:rFonts w:ascii="Arial" w:cs="Arial" w:eastAsia="Arial" w:hAnsi="Arial"/>
                <w:sz w:val="14"/>
                <w:szCs w:val="14"/>
                <w:color w:val="auto"/>
                <w:w w:val="99"/>
              </w:rPr>
              <w:t>commercial real estate</w:t>
            </w:r>
          </w:p>
        </w:tc>
        <w:tc>
          <w:tcPr>
            <w:tcW w:w="160" w:type="dxa"/>
            <w:vAlign w:val="bottom"/>
            <w:gridSpan w:val="2"/>
            <w:shd w:val="clear" w:color="auto" w:fill="F0FFFF"/>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F0FFFF"/>
          </w:tcPr>
          <w:p>
            <w:pPr>
              <w:jc w:val="right"/>
              <w:spacing w:after="0" w:line="159" w:lineRule="exact"/>
              <w:rPr>
                <w:sz w:val="20"/>
                <w:szCs w:val="20"/>
                <w:color w:val="auto"/>
              </w:rPr>
            </w:pPr>
            <w:r>
              <w:rPr>
                <w:rFonts w:ascii="Arial" w:cs="Arial" w:eastAsia="Arial" w:hAnsi="Arial"/>
                <w:sz w:val="14"/>
                <w:szCs w:val="14"/>
                <w:color w:val="auto"/>
              </w:rPr>
              <w:t>36,835</w:t>
            </w:r>
          </w:p>
        </w:tc>
        <w:tc>
          <w:tcPr>
            <w:tcW w:w="280" w:type="dxa"/>
            <w:vAlign w:val="bottom"/>
            <w:gridSpan w:val="2"/>
            <w:shd w:val="clear" w:color="auto" w:fill="F0FFFF"/>
          </w:tcPr>
          <w:p>
            <w:pPr>
              <w:ind w:left="200"/>
              <w:spacing w:after="0" w:line="15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F0FFFF"/>
          </w:tcPr>
          <w:p>
            <w:pPr>
              <w:jc w:val="right"/>
              <w:ind w:right="100"/>
              <w:spacing w:after="0" w:line="159" w:lineRule="exact"/>
              <w:rPr>
                <w:sz w:val="20"/>
                <w:szCs w:val="20"/>
                <w:color w:val="auto"/>
              </w:rPr>
            </w:pPr>
            <w:r>
              <w:rPr>
                <w:rFonts w:ascii="Arial" w:cs="Arial" w:eastAsia="Arial" w:hAnsi="Arial"/>
                <w:sz w:val="14"/>
                <w:szCs w:val="14"/>
                <w:color w:val="auto"/>
              </w:rPr>
              <w:t>1,130,081</w:t>
            </w:r>
          </w:p>
        </w:tc>
        <w:tc>
          <w:tcPr>
            <w:tcW w:w="240" w:type="dxa"/>
            <w:vAlign w:val="bottom"/>
            <w:gridSpan w:val="2"/>
            <w:shd w:val="clear" w:color="auto" w:fill="F0FF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F0FFFF"/>
          </w:tcPr>
          <w:p>
            <w:pPr>
              <w:jc w:val="right"/>
              <w:spacing w:after="0" w:line="159" w:lineRule="exact"/>
              <w:rPr>
                <w:sz w:val="20"/>
                <w:szCs w:val="20"/>
                <w:color w:val="auto"/>
              </w:rPr>
            </w:pPr>
            <w:r>
              <w:rPr>
                <w:rFonts w:ascii="Arial" w:cs="Arial" w:eastAsia="Arial" w:hAnsi="Arial"/>
                <w:sz w:val="14"/>
                <w:szCs w:val="14"/>
                <w:color w:val="auto"/>
              </w:rPr>
              <w:t>1,166,916</w:t>
            </w:r>
          </w:p>
        </w:tc>
        <w:tc>
          <w:tcPr>
            <w:tcW w:w="220" w:type="dxa"/>
            <w:vAlign w:val="bottom"/>
            <w:shd w:val="clear" w:color="auto" w:fill="F0FFFF"/>
          </w:tcPr>
          <w:p>
            <w:pPr>
              <w:spacing w:after="0"/>
              <w:rPr>
                <w:sz w:val="13"/>
                <w:szCs w:val="13"/>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F0FFFF"/>
            </w:tcBorders>
            <w:shd w:val="clear" w:color="auto" w:fill="F0FFFF"/>
          </w:tcPr>
          <w:p>
            <w:pPr>
              <w:jc w:val="right"/>
              <w:spacing w:after="0" w:line="159" w:lineRule="exact"/>
              <w:rPr>
                <w:sz w:val="20"/>
                <w:szCs w:val="20"/>
                <w:color w:val="auto"/>
              </w:rPr>
            </w:pPr>
            <w:r>
              <w:rPr>
                <w:rFonts w:ascii="Arial" w:cs="Arial" w:eastAsia="Arial" w:hAnsi="Arial"/>
                <w:sz w:val="14"/>
                <w:szCs w:val="14"/>
                <w:color w:val="auto"/>
              </w:rPr>
              <w:t>34,654</w:t>
            </w:r>
          </w:p>
        </w:tc>
        <w:tc>
          <w:tcPr>
            <w:tcW w:w="240" w:type="dxa"/>
            <w:vAlign w:val="bottom"/>
            <w:gridSpan w:val="2"/>
            <w:shd w:val="clear" w:color="auto" w:fill="F0FFFF"/>
          </w:tcPr>
          <w:p>
            <w:pPr>
              <w:jc w:val="right"/>
              <w:spacing w:after="0" w:line="159" w:lineRule="exact"/>
              <w:rPr>
                <w:sz w:val="20"/>
                <w:szCs w:val="20"/>
                <w:color w:val="auto"/>
              </w:rPr>
            </w:pPr>
            <w:r>
              <w:rPr>
                <w:rFonts w:ascii="Arial" w:cs="Arial" w:eastAsia="Arial" w:hAnsi="Arial"/>
                <w:sz w:val="14"/>
                <w:szCs w:val="14"/>
                <w:color w:val="auto"/>
              </w:rPr>
              <w:t>$</w:t>
            </w:r>
          </w:p>
        </w:tc>
        <w:tc>
          <w:tcPr>
            <w:tcW w:w="1020" w:type="dxa"/>
            <w:vAlign w:val="bottom"/>
            <w:tcBorders>
              <w:right w:val="single" w:sz="8" w:color="F0FFFF"/>
            </w:tcBorders>
            <w:gridSpan w:val="2"/>
            <w:shd w:val="clear" w:color="auto" w:fill="F0FFFF"/>
          </w:tcPr>
          <w:p>
            <w:pPr>
              <w:jc w:val="right"/>
              <w:ind w:right="200"/>
              <w:spacing w:after="0" w:line="159" w:lineRule="exact"/>
              <w:rPr>
                <w:sz w:val="20"/>
                <w:szCs w:val="20"/>
                <w:color w:val="auto"/>
              </w:rPr>
            </w:pPr>
            <w:r>
              <w:rPr>
                <w:rFonts w:ascii="Arial" w:cs="Arial" w:eastAsia="Arial" w:hAnsi="Arial"/>
                <w:sz w:val="14"/>
                <w:szCs w:val="14"/>
                <w:color w:val="auto"/>
              </w:rPr>
              <w:t>1,128,826</w:t>
            </w:r>
          </w:p>
        </w:tc>
        <w:tc>
          <w:tcPr>
            <w:tcW w:w="140" w:type="dxa"/>
            <w:vAlign w:val="bottom"/>
            <w:shd w:val="clear" w:color="auto" w:fill="F0FFFF"/>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F0FFFF"/>
          </w:tcPr>
          <w:p>
            <w:pPr>
              <w:jc w:val="right"/>
              <w:spacing w:after="0" w:line="159" w:lineRule="exact"/>
              <w:rPr>
                <w:sz w:val="20"/>
                <w:szCs w:val="20"/>
                <w:color w:val="auto"/>
              </w:rPr>
            </w:pPr>
            <w:r>
              <w:rPr>
                <w:rFonts w:ascii="Arial" w:cs="Arial" w:eastAsia="Arial" w:hAnsi="Arial"/>
                <w:sz w:val="14"/>
                <w:szCs w:val="14"/>
                <w:color w:val="auto"/>
              </w:rPr>
              <w:t>1,163,480</w:t>
            </w:r>
          </w:p>
        </w:tc>
        <w:tc>
          <w:tcPr>
            <w:tcW w:w="200" w:type="dxa"/>
            <w:vAlign w:val="bottom"/>
            <w:shd w:val="clear" w:color="auto" w:fill="F0FFFF"/>
          </w:tcPr>
          <w:p>
            <w:pPr>
              <w:spacing w:after="0"/>
              <w:rPr>
                <w:sz w:val="13"/>
                <w:szCs w:val="13"/>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F0FFFF"/>
          </w:tcPr>
          <w:p>
            <w:pPr>
              <w:jc w:val="right"/>
              <w:ind w:right="100"/>
              <w:spacing w:after="0" w:line="159" w:lineRule="exact"/>
              <w:rPr>
                <w:sz w:val="20"/>
                <w:szCs w:val="20"/>
                <w:color w:val="auto"/>
              </w:rPr>
            </w:pPr>
            <w:r>
              <w:rPr>
                <w:rFonts w:ascii="Arial" w:cs="Arial" w:eastAsia="Arial" w:hAnsi="Arial"/>
                <w:sz w:val="14"/>
                <w:szCs w:val="14"/>
                <w:color w:val="auto"/>
              </w:rPr>
              <w:t>29,051</w:t>
            </w:r>
          </w:p>
        </w:tc>
        <w:tc>
          <w:tcPr>
            <w:tcW w:w="180" w:type="dxa"/>
            <w:vAlign w:val="bottom"/>
            <w:gridSpan w:val="2"/>
            <w:shd w:val="clear" w:color="auto" w:fill="F0FFFF"/>
          </w:tcPr>
          <w:p>
            <w:pPr>
              <w:ind w:left="100"/>
              <w:spacing w:after="0" w:line="15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F0FFFF"/>
          </w:tcPr>
          <w:p>
            <w:pPr>
              <w:jc w:val="right"/>
              <w:ind w:right="100"/>
              <w:spacing w:after="0" w:line="159" w:lineRule="exact"/>
              <w:rPr>
                <w:sz w:val="20"/>
                <w:szCs w:val="20"/>
                <w:color w:val="auto"/>
              </w:rPr>
            </w:pPr>
            <w:r>
              <w:rPr>
                <w:rFonts w:ascii="Arial" w:cs="Arial" w:eastAsia="Arial" w:hAnsi="Arial"/>
                <w:sz w:val="14"/>
                <w:szCs w:val="14"/>
                <w:color w:val="auto"/>
              </w:rPr>
              <w:t>1,112,740</w:t>
            </w:r>
          </w:p>
        </w:tc>
        <w:tc>
          <w:tcPr>
            <w:tcW w:w="240" w:type="dxa"/>
            <w:vAlign w:val="bottom"/>
            <w:gridSpan w:val="2"/>
            <w:shd w:val="clear" w:color="auto" w:fill="F0FF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F0FFFF"/>
          </w:tcPr>
          <w:p>
            <w:pPr>
              <w:jc w:val="right"/>
              <w:spacing w:after="0" w:line="159" w:lineRule="exact"/>
              <w:rPr>
                <w:sz w:val="20"/>
                <w:szCs w:val="20"/>
                <w:color w:val="auto"/>
              </w:rPr>
            </w:pPr>
            <w:r>
              <w:rPr>
                <w:rFonts w:ascii="Arial" w:cs="Arial" w:eastAsia="Arial" w:hAnsi="Arial"/>
                <w:sz w:val="14"/>
                <w:szCs w:val="14"/>
                <w:color w:val="auto"/>
              </w:rPr>
              <w:t>1,141,791</w:t>
            </w:r>
          </w:p>
        </w:tc>
        <w:tc>
          <w:tcPr>
            <w:tcW w:w="100" w:type="dxa"/>
            <w:vAlign w:val="bottom"/>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580" w:type="dxa"/>
            <w:vAlign w:val="bottom"/>
          </w:tcPr>
          <w:p>
            <w:pPr>
              <w:spacing w:after="0" w:line="123" w:lineRule="exact"/>
              <w:rPr>
                <w:sz w:val="20"/>
                <w:szCs w:val="20"/>
                <w:color w:val="auto"/>
              </w:rPr>
            </w:pPr>
            <w:r>
              <w:rPr>
                <w:rFonts w:ascii="Arial" w:cs="Arial" w:eastAsia="Arial" w:hAnsi="Arial"/>
                <w:sz w:val="14"/>
                <w:szCs w:val="14"/>
                <w:color w:val="auto"/>
              </w:rPr>
              <w:t>Income producing</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580" w:type="dxa"/>
            <w:vAlign w:val="bottom"/>
          </w:tcPr>
          <w:p>
            <w:pPr>
              <w:ind w:left="160"/>
              <w:spacing w:after="0" w:line="159" w:lineRule="exact"/>
              <w:rPr>
                <w:sz w:val="20"/>
                <w:szCs w:val="20"/>
                <w:color w:val="auto"/>
              </w:rPr>
            </w:pPr>
            <w:r>
              <w:rPr>
                <w:rFonts w:ascii="Arial" w:cs="Arial" w:eastAsia="Arial" w:hAnsi="Arial"/>
                <w:sz w:val="14"/>
                <w:szCs w:val="14"/>
                <w:color w:val="auto"/>
                <w:w w:val="99"/>
              </w:rPr>
              <w:t>commercial real estate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21,285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614,822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636,107</w:t>
            </w:r>
          </w:p>
        </w:tc>
        <w:tc>
          <w:tcPr>
            <w:tcW w:w="8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24,484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574,053</w:t>
            </w:r>
          </w:p>
        </w:tc>
        <w:tc>
          <w:tcPr>
            <w:tcW w:w="140" w:type="dxa"/>
            <w:vAlign w:val="bottom"/>
          </w:tcPr>
          <w:p>
            <w:pPr>
              <w:spacing w:after="0"/>
              <w:rPr>
                <w:sz w:val="13"/>
                <w:szCs w:val="13"/>
                <w:color w:val="auto"/>
              </w:rPr>
            </w:pPr>
          </w:p>
        </w:tc>
        <w:tc>
          <w:tcPr>
            <w:tcW w:w="9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598,537</w:t>
            </w:r>
          </w:p>
        </w:tc>
        <w:tc>
          <w:tcPr>
            <w:tcW w:w="80" w:type="dxa"/>
            <w:vAlign w:val="bottom"/>
          </w:tcPr>
          <w:p>
            <w:pPr>
              <w:spacing w:after="0"/>
              <w:rPr>
                <w:sz w:val="13"/>
                <w:szCs w:val="13"/>
                <w:color w:val="auto"/>
              </w:rPr>
            </w:pPr>
          </w:p>
        </w:tc>
        <w:tc>
          <w:tcPr>
            <w:tcW w:w="9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25,955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597,875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623,830</w:t>
            </w:r>
          </w:p>
        </w:tc>
        <w:tc>
          <w:tcPr>
            <w:tcW w:w="0" w:type="dxa"/>
            <w:vAlign w:val="bottom"/>
          </w:tcPr>
          <w:p>
            <w:pPr>
              <w:spacing w:after="0"/>
              <w:rPr>
                <w:sz w:val="1"/>
                <w:szCs w:val="1"/>
                <w:color w:val="auto"/>
              </w:rPr>
            </w:pPr>
          </w:p>
        </w:tc>
      </w:tr>
      <w:tr>
        <w:trPr>
          <w:trHeight w:val="141"/>
        </w:trPr>
        <w:tc>
          <w:tcPr>
            <w:tcW w:w="1580" w:type="dxa"/>
            <w:vAlign w:val="bottom"/>
            <w:shd w:val="clear" w:color="auto" w:fill="F0FFFF"/>
          </w:tcPr>
          <w:p>
            <w:pPr>
              <w:spacing w:after="0" w:line="141" w:lineRule="exact"/>
              <w:rPr>
                <w:sz w:val="20"/>
                <w:szCs w:val="20"/>
                <w:color w:val="auto"/>
              </w:rPr>
            </w:pPr>
            <w:r>
              <w:rPr>
                <w:rFonts w:ascii="Arial" w:cs="Arial" w:eastAsia="Arial" w:hAnsi="Arial"/>
                <w:sz w:val="14"/>
                <w:szCs w:val="14"/>
                <w:color w:val="auto"/>
              </w:rPr>
              <w:t>Commercial &amp; industrial</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0" w:type="dxa"/>
            <w:vAlign w:val="bottom"/>
            <w:shd w:val="clear" w:color="auto" w:fill="F0FFFF"/>
          </w:tcPr>
          <w:p>
            <w:pPr>
              <w:jc w:val="right"/>
              <w:spacing w:after="0" w:line="141" w:lineRule="exact"/>
              <w:rPr>
                <w:sz w:val="20"/>
                <w:szCs w:val="20"/>
                <w:color w:val="auto"/>
              </w:rPr>
            </w:pPr>
            <w:r>
              <w:rPr>
                <w:rFonts w:ascii="Arial" w:cs="Arial" w:eastAsia="Arial" w:hAnsi="Arial"/>
                <w:sz w:val="14"/>
                <w:szCs w:val="14"/>
                <w:color w:val="auto"/>
              </w:rPr>
              <w:t>3,977</w:t>
            </w:r>
          </w:p>
        </w:tc>
        <w:tc>
          <w:tcPr>
            <w:tcW w:w="2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100"/>
              <w:spacing w:after="0" w:line="141" w:lineRule="exact"/>
              <w:rPr>
                <w:sz w:val="20"/>
                <w:szCs w:val="20"/>
                <w:color w:val="auto"/>
              </w:rPr>
            </w:pPr>
            <w:r>
              <w:rPr>
                <w:rFonts w:ascii="Arial" w:cs="Arial" w:eastAsia="Arial" w:hAnsi="Arial"/>
                <w:sz w:val="14"/>
                <w:szCs w:val="14"/>
                <w:color w:val="auto"/>
              </w:rPr>
              <w:t>712,304</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20"/>
              <w:spacing w:after="0" w:line="141" w:lineRule="exact"/>
              <w:rPr>
                <w:sz w:val="20"/>
                <w:szCs w:val="20"/>
                <w:color w:val="auto"/>
              </w:rPr>
            </w:pPr>
            <w:r>
              <w:rPr>
                <w:rFonts w:ascii="Arial" w:cs="Arial" w:eastAsia="Arial" w:hAnsi="Arial"/>
                <w:sz w:val="14"/>
                <w:szCs w:val="14"/>
                <w:color w:val="auto"/>
              </w:rPr>
              <w:t>716,281</w:t>
            </w:r>
          </w:p>
        </w:tc>
        <w:tc>
          <w:tcPr>
            <w:tcW w:w="80" w:type="dxa"/>
            <w:vAlign w:val="bottom"/>
            <w:shd w:val="clear" w:color="auto" w:fill="F0FFFF"/>
          </w:tcPr>
          <w:p>
            <w:pPr>
              <w:spacing w:after="0"/>
              <w:rPr>
                <w:sz w:val="12"/>
                <w:szCs w:val="12"/>
                <w:color w:val="auto"/>
              </w:rPr>
            </w:pPr>
          </w:p>
        </w:tc>
        <w:tc>
          <w:tcPr>
            <w:tcW w:w="860" w:type="dxa"/>
            <w:vAlign w:val="bottom"/>
            <w:tcBorders>
              <w:right w:val="single" w:sz="8" w:color="F0FFFF"/>
            </w:tcBorders>
            <w:shd w:val="clear" w:color="auto" w:fill="F0FFFF"/>
          </w:tcPr>
          <w:p>
            <w:pPr>
              <w:jc w:val="right"/>
              <w:spacing w:after="0" w:line="141" w:lineRule="exact"/>
              <w:rPr>
                <w:sz w:val="20"/>
                <w:szCs w:val="20"/>
                <w:color w:val="auto"/>
              </w:rPr>
            </w:pPr>
            <w:r>
              <w:rPr>
                <w:rFonts w:ascii="Arial" w:cs="Arial" w:eastAsia="Arial" w:hAnsi="Arial"/>
                <w:sz w:val="14"/>
                <w:szCs w:val="14"/>
                <w:color w:val="auto"/>
              </w:rPr>
              <w:t>3,977</w:t>
            </w:r>
          </w:p>
        </w:tc>
        <w:tc>
          <w:tcPr>
            <w:tcW w:w="1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20" w:type="dxa"/>
            <w:vAlign w:val="bottom"/>
            <w:tcBorders>
              <w:right w:val="single" w:sz="8" w:color="F0FFFF"/>
            </w:tcBorders>
            <w:gridSpan w:val="2"/>
            <w:shd w:val="clear" w:color="auto" w:fill="F0FFFF"/>
          </w:tcPr>
          <w:p>
            <w:pPr>
              <w:jc w:val="right"/>
              <w:ind w:right="200"/>
              <w:spacing w:after="0" w:line="141" w:lineRule="exact"/>
              <w:rPr>
                <w:sz w:val="20"/>
                <w:szCs w:val="20"/>
                <w:color w:val="auto"/>
              </w:rPr>
            </w:pPr>
            <w:r>
              <w:rPr>
                <w:rFonts w:ascii="Arial" w:cs="Arial" w:eastAsia="Arial" w:hAnsi="Arial"/>
                <w:sz w:val="14"/>
                <w:szCs w:val="14"/>
                <w:color w:val="auto"/>
              </w:rPr>
              <w:t>706,279</w:t>
            </w:r>
          </w:p>
        </w:tc>
        <w:tc>
          <w:tcPr>
            <w:tcW w:w="14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00"/>
              <w:spacing w:after="0" w:line="141" w:lineRule="exact"/>
              <w:rPr>
                <w:sz w:val="20"/>
                <w:szCs w:val="20"/>
                <w:color w:val="auto"/>
              </w:rPr>
            </w:pPr>
            <w:r>
              <w:rPr>
                <w:rFonts w:ascii="Arial" w:cs="Arial" w:eastAsia="Arial" w:hAnsi="Arial"/>
                <w:sz w:val="14"/>
                <w:szCs w:val="14"/>
                <w:color w:val="auto"/>
              </w:rPr>
              <w:t>710,256</w:t>
            </w: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1" w:lineRule="exact"/>
              <w:rPr>
                <w:sz w:val="20"/>
                <w:szCs w:val="20"/>
                <w:color w:val="auto"/>
              </w:rPr>
            </w:pPr>
            <w:r>
              <w:rPr>
                <w:rFonts w:ascii="Arial" w:cs="Arial" w:eastAsia="Arial" w:hAnsi="Arial"/>
                <w:sz w:val="14"/>
                <w:szCs w:val="14"/>
                <w:color w:val="auto"/>
              </w:rPr>
              <w:t>4,167</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1" w:lineRule="exact"/>
              <w:rPr>
                <w:sz w:val="20"/>
                <w:szCs w:val="20"/>
                <w:color w:val="auto"/>
              </w:rPr>
            </w:pPr>
            <w:r>
              <w:rPr>
                <w:rFonts w:ascii="Arial" w:cs="Arial" w:eastAsia="Arial" w:hAnsi="Arial"/>
                <w:sz w:val="14"/>
                <w:szCs w:val="14"/>
                <w:color w:val="auto"/>
              </w:rPr>
              <w:t>491,011</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00"/>
              <w:spacing w:after="0" w:line="141" w:lineRule="exact"/>
              <w:rPr>
                <w:sz w:val="20"/>
                <w:szCs w:val="20"/>
                <w:color w:val="auto"/>
              </w:rPr>
            </w:pPr>
            <w:r>
              <w:rPr>
                <w:rFonts w:ascii="Arial" w:cs="Arial" w:eastAsia="Arial" w:hAnsi="Arial"/>
                <w:sz w:val="14"/>
                <w:szCs w:val="14"/>
                <w:color w:val="auto"/>
              </w:rPr>
              <w:t>495,178</w:t>
            </w:r>
          </w:p>
        </w:tc>
        <w:tc>
          <w:tcPr>
            <w:tcW w:w="0" w:type="dxa"/>
            <w:vAlign w:val="bottom"/>
          </w:tcPr>
          <w:p>
            <w:pPr>
              <w:spacing w:after="0"/>
              <w:rPr>
                <w:sz w:val="1"/>
                <w:szCs w:val="1"/>
                <w:color w:val="auto"/>
              </w:rPr>
            </w:pPr>
          </w:p>
        </w:tc>
      </w:tr>
      <w:tr>
        <w:trPr>
          <w:trHeight w:val="141"/>
        </w:trPr>
        <w:tc>
          <w:tcPr>
            <w:tcW w:w="1580" w:type="dxa"/>
            <w:vAlign w:val="bottom"/>
          </w:tcPr>
          <w:p>
            <w:pPr>
              <w:spacing w:after="0" w:line="141" w:lineRule="exact"/>
              <w:rPr>
                <w:sz w:val="20"/>
                <w:szCs w:val="20"/>
                <w:color w:val="auto"/>
              </w:rPr>
            </w:pPr>
            <w:r>
              <w:rPr>
                <w:rFonts w:ascii="Arial" w:cs="Arial" w:eastAsia="Arial" w:hAnsi="Arial"/>
                <w:sz w:val="14"/>
                <w:szCs w:val="14"/>
                <w:color w:val="auto"/>
              </w:rPr>
              <w:t>Commercial construction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1" w:lineRule="exact"/>
              <w:rPr>
                <w:sz w:val="20"/>
                <w:szCs w:val="20"/>
                <w:color w:val="auto"/>
              </w:rPr>
            </w:pPr>
            <w:r>
              <w:rPr>
                <w:rFonts w:ascii="Arial" w:cs="Arial" w:eastAsia="Arial" w:hAnsi="Arial"/>
                <w:sz w:val="14"/>
                <w:szCs w:val="14"/>
                <w:color w:val="auto"/>
              </w:rPr>
              <w:t>12,222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217,698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1" w:lineRule="exact"/>
              <w:rPr>
                <w:sz w:val="20"/>
                <w:szCs w:val="20"/>
                <w:color w:val="auto"/>
              </w:rPr>
            </w:pPr>
            <w:r>
              <w:rPr>
                <w:rFonts w:ascii="Arial" w:cs="Arial" w:eastAsia="Arial" w:hAnsi="Arial"/>
                <w:sz w:val="14"/>
                <w:szCs w:val="14"/>
                <w:color w:val="auto"/>
              </w:rPr>
              <w:t>229,920</w:t>
            </w:r>
          </w:p>
        </w:tc>
        <w:tc>
          <w:tcPr>
            <w:tcW w:w="80" w:type="dxa"/>
            <w:vAlign w:val="bottom"/>
          </w:tcPr>
          <w:p>
            <w:pPr>
              <w:spacing w:after="0"/>
              <w:rPr>
                <w:sz w:val="12"/>
                <w:szCs w:val="12"/>
                <w:color w:val="auto"/>
              </w:rPr>
            </w:pPr>
          </w:p>
        </w:tc>
        <w:tc>
          <w:tcPr>
            <w:tcW w:w="860" w:type="dxa"/>
            <w:vAlign w:val="bottom"/>
          </w:tcPr>
          <w:p>
            <w:pPr>
              <w:jc w:val="right"/>
              <w:spacing w:after="0" w:line="141" w:lineRule="exact"/>
              <w:rPr>
                <w:sz w:val="20"/>
                <w:szCs w:val="20"/>
                <w:color w:val="auto"/>
              </w:rPr>
            </w:pPr>
            <w:r>
              <w:rPr>
                <w:rFonts w:ascii="Arial" w:cs="Arial" w:eastAsia="Arial" w:hAnsi="Arial"/>
                <w:sz w:val="14"/>
                <w:szCs w:val="14"/>
                <w:color w:val="auto"/>
              </w:rPr>
              <w:t>12,321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00"/>
              <w:spacing w:after="0" w:line="141" w:lineRule="exact"/>
              <w:rPr>
                <w:sz w:val="20"/>
                <w:szCs w:val="20"/>
                <w:color w:val="auto"/>
              </w:rPr>
            </w:pPr>
            <w:r>
              <w:rPr>
                <w:rFonts w:ascii="Arial" w:cs="Arial" w:eastAsia="Arial" w:hAnsi="Arial"/>
                <w:sz w:val="14"/>
                <w:szCs w:val="14"/>
                <w:color w:val="auto"/>
              </w:rPr>
              <w:t>183,709</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1" w:lineRule="exact"/>
              <w:rPr>
                <w:sz w:val="20"/>
                <w:szCs w:val="20"/>
                <w:color w:val="auto"/>
              </w:rPr>
            </w:pPr>
            <w:r>
              <w:rPr>
                <w:rFonts w:ascii="Arial" w:cs="Arial" w:eastAsia="Arial" w:hAnsi="Arial"/>
                <w:sz w:val="14"/>
                <w:szCs w:val="14"/>
                <w:color w:val="auto"/>
              </w:rPr>
              <w:t>196,030</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11,390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137,064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148,454</w:t>
            </w:r>
          </w:p>
        </w:tc>
        <w:tc>
          <w:tcPr>
            <w:tcW w:w="0" w:type="dxa"/>
            <w:vAlign w:val="bottom"/>
          </w:tcPr>
          <w:p>
            <w:pPr>
              <w:spacing w:after="0"/>
              <w:rPr>
                <w:sz w:val="1"/>
                <w:szCs w:val="1"/>
                <w:color w:val="auto"/>
              </w:rPr>
            </w:pPr>
          </w:p>
        </w:tc>
      </w:tr>
      <w:tr>
        <w:trPr>
          <w:trHeight w:val="141"/>
        </w:trPr>
        <w:tc>
          <w:tcPr>
            <w:tcW w:w="1580" w:type="dxa"/>
            <w:vAlign w:val="bottom"/>
            <w:shd w:val="clear" w:color="auto" w:fill="F0FFFF"/>
          </w:tcPr>
          <w:p>
            <w:pPr>
              <w:spacing w:after="0" w:line="141" w:lineRule="exact"/>
              <w:rPr>
                <w:sz w:val="20"/>
                <w:szCs w:val="20"/>
                <w:color w:val="auto"/>
              </w:rPr>
            </w:pPr>
            <w:r>
              <w:rPr>
                <w:rFonts w:ascii="Arial" w:cs="Arial" w:eastAsia="Arial" w:hAnsi="Arial"/>
                <w:sz w:val="14"/>
                <w:szCs w:val="14"/>
                <w:color w:val="auto"/>
              </w:rPr>
              <w:t>Residential mortgage</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0" w:type="dxa"/>
            <w:vAlign w:val="bottom"/>
            <w:shd w:val="clear" w:color="auto" w:fill="F0FFFF"/>
          </w:tcPr>
          <w:p>
            <w:pPr>
              <w:jc w:val="right"/>
              <w:spacing w:after="0" w:line="141" w:lineRule="exact"/>
              <w:rPr>
                <w:sz w:val="20"/>
                <w:szCs w:val="20"/>
                <w:color w:val="auto"/>
              </w:rPr>
            </w:pPr>
            <w:r>
              <w:rPr>
                <w:rFonts w:ascii="Arial" w:cs="Arial" w:eastAsia="Arial" w:hAnsi="Arial"/>
                <w:sz w:val="14"/>
                <w:szCs w:val="14"/>
                <w:color w:val="auto"/>
              </w:rPr>
              <w:t>21,934</w:t>
            </w:r>
          </w:p>
        </w:tc>
        <w:tc>
          <w:tcPr>
            <w:tcW w:w="2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100"/>
              <w:spacing w:after="0" w:line="141" w:lineRule="exact"/>
              <w:rPr>
                <w:sz w:val="20"/>
                <w:szCs w:val="20"/>
                <w:color w:val="auto"/>
              </w:rPr>
            </w:pPr>
            <w:r>
              <w:rPr>
                <w:rFonts w:ascii="Arial" w:cs="Arial" w:eastAsia="Arial" w:hAnsi="Arial"/>
                <w:sz w:val="14"/>
                <w:szCs w:val="14"/>
                <w:color w:val="auto"/>
              </w:rPr>
              <w:t>841,377</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40" w:type="dxa"/>
            <w:vAlign w:val="bottom"/>
            <w:shd w:val="clear" w:color="auto" w:fill="F0FFFF"/>
          </w:tcPr>
          <w:p>
            <w:pPr>
              <w:jc w:val="right"/>
              <w:spacing w:after="0" w:line="141" w:lineRule="exact"/>
              <w:rPr>
                <w:sz w:val="20"/>
                <w:szCs w:val="20"/>
                <w:color w:val="auto"/>
              </w:rPr>
            </w:pPr>
            <w:r>
              <w:rPr>
                <w:rFonts w:ascii="Arial" w:cs="Arial" w:eastAsia="Arial" w:hAnsi="Arial"/>
                <w:sz w:val="14"/>
                <w:szCs w:val="14"/>
                <w:color w:val="auto"/>
              </w:rPr>
              <w:t>863,311</w:t>
            </w: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60" w:type="dxa"/>
            <w:vAlign w:val="bottom"/>
            <w:tcBorders>
              <w:right w:val="single" w:sz="8" w:color="F0FFFF"/>
            </w:tcBorders>
            <w:shd w:val="clear" w:color="auto" w:fill="F0FFFF"/>
          </w:tcPr>
          <w:p>
            <w:pPr>
              <w:jc w:val="right"/>
              <w:spacing w:after="0" w:line="141" w:lineRule="exact"/>
              <w:rPr>
                <w:sz w:val="20"/>
                <w:szCs w:val="20"/>
                <w:color w:val="auto"/>
              </w:rPr>
            </w:pPr>
            <w:r>
              <w:rPr>
                <w:rFonts w:ascii="Arial" w:cs="Arial" w:eastAsia="Arial" w:hAnsi="Arial"/>
                <w:sz w:val="14"/>
                <w:szCs w:val="14"/>
                <w:color w:val="auto"/>
              </w:rPr>
              <w:t>18,775</w:t>
            </w:r>
          </w:p>
        </w:tc>
        <w:tc>
          <w:tcPr>
            <w:tcW w:w="1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20" w:type="dxa"/>
            <w:vAlign w:val="bottom"/>
            <w:tcBorders>
              <w:right w:val="single" w:sz="8" w:color="F0FFFF"/>
            </w:tcBorders>
            <w:gridSpan w:val="2"/>
            <w:shd w:val="clear" w:color="auto" w:fill="F0FFFF"/>
          </w:tcPr>
          <w:p>
            <w:pPr>
              <w:jc w:val="right"/>
              <w:ind w:right="200"/>
              <w:spacing w:after="0" w:line="141" w:lineRule="exact"/>
              <w:rPr>
                <w:sz w:val="20"/>
                <w:szCs w:val="20"/>
                <w:color w:val="auto"/>
              </w:rPr>
            </w:pPr>
            <w:r>
              <w:rPr>
                <w:rFonts w:ascii="Arial" w:cs="Arial" w:eastAsia="Arial" w:hAnsi="Arial"/>
                <w:sz w:val="14"/>
                <w:szCs w:val="14"/>
                <w:color w:val="auto"/>
              </w:rPr>
              <w:t>847,014</w:t>
            </w:r>
          </w:p>
        </w:tc>
        <w:tc>
          <w:tcPr>
            <w:tcW w:w="14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00"/>
              <w:spacing w:after="0" w:line="141" w:lineRule="exact"/>
              <w:rPr>
                <w:sz w:val="20"/>
                <w:szCs w:val="20"/>
                <w:color w:val="auto"/>
              </w:rPr>
            </w:pPr>
            <w:r>
              <w:rPr>
                <w:rFonts w:ascii="Arial" w:cs="Arial" w:eastAsia="Arial" w:hAnsi="Arial"/>
                <w:sz w:val="14"/>
                <w:szCs w:val="14"/>
                <w:color w:val="auto"/>
              </w:rPr>
              <w:t>865,789</w:t>
            </w: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1" w:lineRule="exact"/>
              <w:rPr>
                <w:sz w:val="20"/>
                <w:szCs w:val="20"/>
                <w:color w:val="auto"/>
              </w:rPr>
            </w:pPr>
            <w:r>
              <w:rPr>
                <w:rFonts w:ascii="Arial" w:cs="Arial" w:eastAsia="Arial" w:hAnsi="Arial"/>
                <w:sz w:val="14"/>
                <w:szCs w:val="14"/>
                <w:color w:val="auto"/>
              </w:rPr>
              <w:t>21,303</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1" w:lineRule="exact"/>
              <w:rPr>
                <w:sz w:val="20"/>
                <w:szCs w:val="20"/>
                <w:color w:val="auto"/>
              </w:rPr>
            </w:pPr>
            <w:r>
              <w:rPr>
                <w:rFonts w:ascii="Arial" w:cs="Arial" w:eastAsia="Arial" w:hAnsi="Arial"/>
                <w:sz w:val="14"/>
                <w:szCs w:val="14"/>
                <w:color w:val="auto"/>
              </w:rPr>
              <w:t>845,312</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00"/>
              <w:spacing w:after="0" w:line="141" w:lineRule="exact"/>
              <w:rPr>
                <w:sz w:val="20"/>
                <w:szCs w:val="20"/>
                <w:color w:val="auto"/>
              </w:rPr>
            </w:pPr>
            <w:r>
              <w:rPr>
                <w:rFonts w:ascii="Arial" w:cs="Arial" w:eastAsia="Arial" w:hAnsi="Arial"/>
                <w:sz w:val="14"/>
                <w:szCs w:val="14"/>
                <w:color w:val="auto"/>
              </w:rPr>
              <w:t>866,615</w:t>
            </w:r>
          </w:p>
        </w:tc>
        <w:tc>
          <w:tcPr>
            <w:tcW w:w="0" w:type="dxa"/>
            <w:vAlign w:val="bottom"/>
          </w:tcPr>
          <w:p>
            <w:pPr>
              <w:spacing w:after="0"/>
              <w:rPr>
                <w:sz w:val="1"/>
                <w:szCs w:val="1"/>
                <w:color w:val="auto"/>
              </w:rPr>
            </w:pPr>
          </w:p>
        </w:tc>
      </w:tr>
      <w:tr>
        <w:trPr>
          <w:trHeight w:val="141"/>
        </w:trPr>
        <w:tc>
          <w:tcPr>
            <w:tcW w:w="1580" w:type="dxa"/>
            <w:vAlign w:val="bottom"/>
          </w:tcPr>
          <w:p>
            <w:pPr>
              <w:spacing w:after="0" w:line="141" w:lineRule="exact"/>
              <w:rPr>
                <w:sz w:val="20"/>
                <w:szCs w:val="20"/>
                <w:color w:val="auto"/>
              </w:rPr>
            </w:pPr>
            <w:r>
              <w:rPr>
                <w:rFonts w:ascii="Arial" w:cs="Arial" w:eastAsia="Arial" w:hAnsi="Arial"/>
                <w:sz w:val="14"/>
                <w:szCs w:val="14"/>
                <w:color w:val="auto"/>
                <w:w w:val="94"/>
              </w:rPr>
              <w:t>Home equity lines of credit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1" w:lineRule="exact"/>
              <w:rPr>
                <w:sz w:val="20"/>
                <w:szCs w:val="20"/>
                <w:color w:val="auto"/>
              </w:rPr>
            </w:pPr>
            <w:r>
              <w:rPr>
                <w:rFonts w:ascii="Arial" w:cs="Arial" w:eastAsia="Arial" w:hAnsi="Arial"/>
                <w:sz w:val="14"/>
                <w:szCs w:val="14"/>
                <w:color w:val="auto"/>
              </w:rPr>
              <w:t>478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464,996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1" w:lineRule="exact"/>
              <w:rPr>
                <w:sz w:val="20"/>
                <w:szCs w:val="20"/>
                <w:color w:val="auto"/>
              </w:rPr>
            </w:pPr>
            <w:r>
              <w:rPr>
                <w:rFonts w:ascii="Arial" w:cs="Arial" w:eastAsia="Arial" w:hAnsi="Arial"/>
                <w:sz w:val="14"/>
                <w:szCs w:val="14"/>
                <w:color w:val="auto"/>
              </w:rPr>
              <w:t>465,474</w:t>
            </w:r>
          </w:p>
        </w:tc>
        <w:tc>
          <w:tcPr>
            <w:tcW w:w="80" w:type="dxa"/>
            <w:vAlign w:val="bottom"/>
          </w:tcPr>
          <w:p>
            <w:pPr>
              <w:spacing w:after="0"/>
              <w:rPr>
                <w:sz w:val="12"/>
                <w:szCs w:val="12"/>
                <w:color w:val="auto"/>
              </w:rPr>
            </w:pPr>
          </w:p>
        </w:tc>
        <w:tc>
          <w:tcPr>
            <w:tcW w:w="860" w:type="dxa"/>
            <w:vAlign w:val="bottom"/>
          </w:tcPr>
          <w:p>
            <w:pPr>
              <w:jc w:val="right"/>
              <w:spacing w:after="0" w:line="141" w:lineRule="exact"/>
              <w:rPr>
                <w:sz w:val="20"/>
                <w:szCs w:val="20"/>
                <w:color w:val="auto"/>
              </w:rPr>
            </w:pPr>
            <w:r>
              <w:rPr>
                <w:rFonts w:ascii="Arial" w:cs="Arial" w:eastAsia="Arial" w:hAnsi="Arial"/>
                <w:sz w:val="14"/>
                <w:szCs w:val="14"/>
                <w:color w:val="auto"/>
              </w:rPr>
              <w:t>478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00"/>
              <w:spacing w:after="0" w:line="141" w:lineRule="exact"/>
              <w:rPr>
                <w:sz w:val="20"/>
                <w:szCs w:val="20"/>
                <w:color w:val="auto"/>
              </w:rPr>
            </w:pPr>
            <w:r>
              <w:rPr>
                <w:rFonts w:ascii="Arial" w:cs="Arial" w:eastAsia="Arial" w:hAnsi="Arial"/>
                <w:sz w:val="14"/>
                <w:szCs w:val="14"/>
                <w:color w:val="auto"/>
              </w:rPr>
              <w:t>465,394</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1" w:lineRule="exact"/>
              <w:rPr>
                <w:sz w:val="20"/>
                <w:szCs w:val="20"/>
                <w:color w:val="auto"/>
              </w:rPr>
            </w:pPr>
            <w:r>
              <w:rPr>
                <w:rFonts w:ascii="Arial" w:cs="Arial" w:eastAsia="Arial" w:hAnsi="Arial"/>
                <w:sz w:val="14"/>
                <w:szCs w:val="14"/>
                <w:color w:val="auto"/>
              </w:rPr>
              <w:t>465,872</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505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446,200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446,705</w:t>
            </w:r>
          </w:p>
        </w:tc>
        <w:tc>
          <w:tcPr>
            <w:tcW w:w="0" w:type="dxa"/>
            <w:vAlign w:val="bottom"/>
          </w:tcPr>
          <w:p>
            <w:pPr>
              <w:spacing w:after="0"/>
              <w:rPr>
                <w:sz w:val="1"/>
                <w:szCs w:val="1"/>
                <w:color w:val="auto"/>
              </w:rPr>
            </w:pPr>
          </w:p>
        </w:tc>
      </w:tr>
      <w:tr>
        <w:trPr>
          <w:trHeight w:val="141"/>
        </w:trPr>
        <w:tc>
          <w:tcPr>
            <w:tcW w:w="1580" w:type="dxa"/>
            <w:vAlign w:val="bottom"/>
            <w:shd w:val="clear" w:color="auto" w:fill="F0FFFF"/>
          </w:tcPr>
          <w:p>
            <w:pPr>
              <w:spacing w:after="0" w:line="141" w:lineRule="exact"/>
              <w:rPr>
                <w:sz w:val="20"/>
                <w:szCs w:val="20"/>
                <w:color w:val="auto"/>
              </w:rPr>
            </w:pPr>
            <w:r>
              <w:rPr>
                <w:rFonts w:ascii="Arial" w:cs="Arial" w:eastAsia="Arial" w:hAnsi="Arial"/>
                <w:sz w:val="14"/>
                <w:szCs w:val="14"/>
                <w:color w:val="auto"/>
              </w:rPr>
              <w:t>Residential construction</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0" w:type="dxa"/>
            <w:vAlign w:val="bottom"/>
            <w:shd w:val="clear" w:color="auto" w:fill="F0FFFF"/>
          </w:tcPr>
          <w:p>
            <w:pPr>
              <w:jc w:val="right"/>
              <w:spacing w:after="0" w:line="141" w:lineRule="exact"/>
              <w:rPr>
                <w:sz w:val="20"/>
                <w:szCs w:val="20"/>
                <w:color w:val="auto"/>
              </w:rPr>
            </w:pPr>
            <w:r>
              <w:rPr>
                <w:rFonts w:ascii="Arial" w:cs="Arial" w:eastAsia="Arial" w:hAnsi="Arial"/>
                <w:sz w:val="14"/>
                <w:szCs w:val="14"/>
                <w:color w:val="auto"/>
              </w:rPr>
              <w:t>10,027</w:t>
            </w:r>
          </w:p>
        </w:tc>
        <w:tc>
          <w:tcPr>
            <w:tcW w:w="2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100"/>
              <w:spacing w:after="0" w:line="141" w:lineRule="exact"/>
              <w:rPr>
                <w:sz w:val="20"/>
                <w:szCs w:val="20"/>
                <w:color w:val="auto"/>
              </w:rPr>
            </w:pPr>
            <w:r>
              <w:rPr>
                <w:rFonts w:ascii="Arial" w:cs="Arial" w:eastAsia="Arial" w:hAnsi="Arial"/>
                <w:sz w:val="14"/>
                <w:szCs w:val="14"/>
                <w:color w:val="auto"/>
              </w:rPr>
              <w:t>281,232</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20"/>
              <w:spacing w:after="0" w:line="141" w:lineRule="exact"/>
              <w:rPr>
                <w:sz w:val="20"/>
                <w:szCs w:val="20"/>
                <w:color w:val="auto"/>
              </w:rPr>
            </w:pPr>
            <w:r>
              <w:rPr>
                <w:rFonts w:ascii="Arial" w:cs="Arial" w:eastAsia="Arial" w:hAnsi="Arial"/>
                <w:sz w:val="14"/>
                <w:szCs w:val="14"/>
                <w:color w:val="auto"/>
              </w:rPr>
              <w:t>291,259</w:t>
            </w:r>
          </w:p>
        </w:tc>
        <w:tc>
          <w:tcPr>
            <w:tcW w:w="80" w:type="dxa"/>
            <w:vAlign w:val="bottom"/>
            <w:shd w:val="clear" w:color="auto" w:fill="F0FFFF"/>
          </w:tcPr>
          <w:p>
            <w:pPr>
              <w:spacing w:after="0"/>
              <w:rPr>
                <w:sz w:val="12"/>
                <w:szCs w:val="12"/>
                <w:color w:val="auto"/>
              </w:rPr>
            </w:pPr>
          </w:p>
        </w:tc>
        <w:tc>
          <w:tcPr>
            <w:tcW w:w="860" w:type="dxa"/>
            <w:vAlign w:val="bottom"/>
            <w:tcBorders>
              <w:right w:val="single" w:sz="8" w:color="F0FFFF"/>
            </w:tcBorders>
            <w:shd w:val="clear" w:color="auto" w:fill="F0FFFF"/>
          </w:tcPr>
          <w:p>
            <w:pPr>
              <w:jc w:val="right"/>
              <w:spacing w:after="0" w:line="141" w:lineRule="exact"/>
              <w:rPr>
                <w:sz w:val="20"/>
                <w:szCs w:val="20"/>
                <w:color w:val="auto"/>
              </w:rPr>
            </w:pPr>
            <w:r>
              <w:rPr>
                <w:rFonts w:ascii="Arial" w:cs="Arial" w:eastAsia="Arial" w:hAnsi="Arial"/>
                <w:sz w:val="14"/>
                <w:szCs w:val="14"/>
                <w:color w:val="auto"/>
              </w:rPr>
              <w:t>11,604</w:t>
            </w:r>
          </w:p>
        </w:tc>
        <w:tc>
          <w:tcPr>
            <w:tcW w:w="1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20" w:type="dxa"/>
            <w:vAlign w:val="bottom"/>
            <w:tcBorders>
              <w:right w:val="single" w:sz="8" w:color="F0FFFF"/>
            </w:tcBorders>
            <w:gridSpan w:val="2"/>
            <w:shd w:val="clear" w:color="auto" w:fill="F0FFFF"/>
          </w:tcPr>
          <w:p>
            <w:pPr>
              <w:jc w:val="right"/>
              <w:ind w:right="200"/>
              <w:spacing w:after="0" w:line="141" w:lineRule="exact"/>
              <w:rPr>
                <w:sz w:val="20"/>
                <w:szCs w:val="20"/>
                <w:color w:val="auto"/>
              </w:rPr>
            </w:pPr>
            <w:r>
              <w:rPr>
                <w:rFonts w:ascii="Arial" w:cs="Arial" w:eastAsia="Arial" w:hAnsi="Arial"/>
                <w:sz w:val="14"/>
                <w:szCs w:val="14"/>
                <w:color w:val="auto"/>
              </w:rPr>
              <w:t>287,023</w:t>
            </w:r>
          </w:p>
        </w:tc>
        <w:tc>
          <w:tcPr>
            <w:tcW w:w="14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00"/>
              <w:spacing w:after="0" w:line="141" w:lineRule="exact"/>
              <w:rPr>
                <w:sz w:val="20"/>
                <w:szCs w:val="20"/>
                <w:color w:val="auto"/>
              </w:rPr>
            </w:pPr>
            <w:r>
              <w:rPr>
                <w:rFonts w:ascii="Arial" w:cs="Arial" w:eastAsia="Arial" w:hAnsi="Arial"/>
                <w:sz w:val="14"/>
                <w:szCs w:val="14"/>
                <w:color w:val="auto"/>
              </w:rPr>
              <w:t>298,627</w:t>
            </w: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1" w:lineRule="exact"/>
              <w:rPr>
                <w:sz w:val="20"/>
                <w:szCs w:val="20"/>
                <w:color w:val="auto"/>
              </w:rPr>
            </w:pPr>
            <w:r>
              <w:rPr>
                <w:rFonts w:ascii="Arial" w:cs="Arial" w:eastAsia="Arial" w:hAnsi="Arial"/>
                <w:sz w:val="14"/>
                <w:szCs w:val="14"/>
                <w:color w:val="auto"/>
              </w:rPr>
              <w:t>12,409</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1" w:lineRule="exact"/>
              <w:rPr>
                <w:sz w:val="20"/>
                <w:szCs w:val="20"/>
                <w:color w:val="auto"/>
              </w:rPr>
            </w:pPr>
            <w:r>
              <w:rPr>
                <w:rFonts w:ascii="Arial" w:cs="Arial" w:eastAsia="Arial" w:hAnsi="Arial"/>
                <w:sz w:val="14"/>
                <w:szCs w:val="14"/>
                <w:color w:val="auto"/>
              </w:rPr>
              <w:t>305,340</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00"/>
              <w:spacing w:after="0" w:line="141" w:lineRule="exact"/>
              <w:rPr>
                <w:sz w:val="20"/>
                <w:szCs w:val="20"/>
                <w:color w:val="auto"/>
              </w:rPr>
            </w:pPr>
            <w:r>
              <w:rPr>
                <w:rFonts w:ascii="Arial" w:cs="Arial" w:eastAsia="Arial" w:hAnsi="Arial"/>
                <w:sz w:val="14"/>
                <w:szCs w:val="14"/>
                <w:color w:val="auto"/>
              </w:rPr>
              <w:t>317,749</w:t>
            </w:r>
          </w:p>
        </w:tc>
        <w:tc>
          <w:tcPr>
            <w:tcW w:w="0" w:type="dxa"/>
            <w:vAlign w:val="bottom"/>
          </w:tcPr>
          <w:p>
            <w:pPr>
              <w:spacing w:after="0"/>
              <w:rPr>
                <w:sz w:val="1"/>
                <w:szCs w:val="1"/>
                <w:color w:val="auto"/>
              </w:rPr>
            </w:pPr>
          </w:p>
        </w:tc>
      </w:tr>
      <w:tr>
        <w:trPr>
          <w:trHeight w:val="141"/>
        </w:trPr>
        <w:tc>
          <w:tcPr>
            <w:tcW w:w="1580" w:type="dxa"/>
            <w:vAlign w:val="bottom"/>
          </w:tcPr>
          <w:p>
            <w:pPr>
              <w:spacing w:after="0" w:line="141" w:lineRule="exact"/>
              <w:rPr>
                <w:sz w:val="20"/>
                <w:szCs w:val="20"/>
                <w:color w:val="auto"/>
              </w:rPr>
            </w:pPr>
            <w:r>
              <w:rPr>
                <w:rFonts w:ascii="Arial" w:cs="Arial" w:eastAsia="Arial" w:hAnsi="Arial"/>
                <w:sz w:val="14"/>
                <w:szCs w:val="14"/>
                <w:color w:val="auto"/>
              </w:rPr>
              <w:t>Consumer installment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1" w:lineRule="exact"/>
              <w:rPr>
                <w:sz w:val="20"/>
                <w:szCs w:val="20"/>
                <w:color w:val="auto"/>
              </w:rPr>
            </w:pPr>
            <w:r>
              <w:rPr>
                <w:rFonts w:ascii="Arial" w:cs="Arial" w:eastAsia="Arial" w:hAnsi="Arial"/>
                <w:sz w:val="14"/>
                <w:szCs w:val="14"/>
                <w:color w:val="auto"/>
              </w:rPr>
              <w:t>148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102,437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1" w:lineRule="exact"/>
              <w:rPr>
                <w:sz w:val="20"/>
                <w:szCs w:val="20"/>
                <w:color w:val="auto"/>
              </w:rPr>
            </w:pPr>
            <w:r>
              <w:rPr>
                <w:rFonts w:ascii="Arial" w:cs="Arial" w:eastAsia="Arial" w:hAnsi="Arial"/>
                <w:sz w:val="14"/>
                <w:szCs w:val="14"/>
                <w:color w:val="auto"/>
              </w:rPr>
              <w:t>102,585</w:t>
            </w:r>
          </w:p>
        </w:tc>
        <w:tc>
          <w:tcPr>
            <w:tcW w:w="80" w:type="dxa"/>
            <w:vAlign w:val="bottom"/>
          </w:tcPr>
          <w:p>
            <w:pPr>
              <w:spacing w:after="0"/>
              <w:rPr>
                <w:sz w:val="12"/>
                <w:szCs w:val="12"/>
                <w:color w:val="auto"/>
              </w:rPr>
            </w:pPr>
          </w:p>
        </w:tc>
        <w:tc>
          <w:tcPr>
            <w:tcW w:w="860" w:type="dxa"/>
            <w:vAlign w:val="bottom"/>
          </w:tcPr>
          <w:p>
            <w:pPr>
              <w:jc w:val="right"/>
              <w:spacing w:after="0" w:line="141" w:lineRule="exact"/>
              <w:rPr>
                <w:sz w:val="20"/>
                <w:szCs w:val="20"/>
                <w:color w:val="auto"/>
              </w:rPr>
            </w:pPr>
            <w:r>
              <w:rPr>
                <w:rFonts w:ascii="Arial" w:cs="Arial" w:eastAsia="Arial" w:hAnsi="Arial"/>
                <w:sz w:val="14"/>
                <w:szCs w:val="14"/>
                <w:color w:val="auto"/>
              </w:rPr>
              <w:t>179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00"/>
              <w:spacing w:after="0" w:line="141" w:lineRule="exact"/>
              <w:rPr>
                <w:sz w:val="20"/>
                <w:szCs w:val="20"/>
                <w:color w:val="auto"/>
              </w:rPr>
            </w:pPr>
            <w:r>
              <w:rPr>
                <w:rFonts w:ascii="Arial" w:cs="Arial" w:eastAsia="Arial" w:hAnsi="Arial"/>
                <w:sz w:val="14"/>
                <w:szCs w:val="14"/>
                <w:color w:val="auto"/>
              </w:rPr>
              <w:t>104,720</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1" w:lineRule="exact"/>
              <w:rPr>
                <w:sz w:val="20"/>
                <w:szCs w:val="20"/>
                <w:color w:val="auto"/>
              </w:rPr>
            </w:pPr>
            <w:r>
              <w:rPr>
                <w:rFonts w:ascii="Arial" w:cs="Arial" w:eastAsia="Arial" w:hAnsi="Arial"/>
                <w:sz w:val="14"/>
                <w:szCs w:val="14"/>
                <w:color w:val="auto"/>
              </w:rPr>
              <w:t>104,899</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340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106,651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106,991</w:t>
            </w:r>
          </w:p>
        </w:tc>
        <w:tc>
          <w:tcPr>
            <w:tcW w:w="0" w:type="dxa"/>
            <w:vAlign w:val="bottom"/>
          </w:tcPr>
          <w:p>
            <w:pPr>
              <w:spacing w:after="0"/>
              <w:rPr>
                <w:sz w:val="1"/>
                <w:szCs w:val="1"/>
                <w:color w:val="auto"/>
              </w:rPr>
            </w:pPr>
          </w:p>
        </w:tc>
      </w:tr>
      <w:tr>
        <w:trPr>
          <w:trHeight w:val="141"/>
        </w:trPr>
        <w:tc>
          <w:tcPr>
            <w:tcW w:w="1580" w:type="dxa"/>
            <w:vAlign w:val="bottom"/>
            <w:shd w:val="clear" w:color="auto" w:fill="F0FFFF"/>
          </w:tcPr>
          <w:p>
            <w:pPr>
              <w:spacing w:after="0" w:line="141" w:lineRule="exact"/>
              <w:rPr>
                <w:sz w:val="20"/>
                <w:szCs w:val="20"/>
                <w:color w:val="auto"/>
              </w:rPr>
            </w:pPr>
            <w:r>
              <w:rPr>
                <w:rFonts w:ascii="Arial" w:cs="Arial" w:eastAsia="Arial" w:hAnsi="Arial"/>
                <w:sz w:val="14"/>
                <w:szCs w:val="14"/>
                <w:color w:val="auto"/>
              </w:rPr>
              <w:t>Indirect auto</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0" w:type="dxa"/>
            <w:vAlign w:val="bottom"/>
            <w:shd w:val="clear" w:color="auto" w:fill="F0FFFF"/>
          </w:tcPr>
          <w:p>
            <w:pPr>
              <w:jc w:val="right"/>
              <w:spacing w:after="0" w:line="141" w:lineRule="exact"/>
              <w:rPr>
                <w:sz w:val="20"/>
                <w:szCs w:val="20"/>
                <w:color w:val="auto"/>
              </w:rPr>
            </w:pPr>
            <w:r>
              <w:rPr>
                <w:rFonts w:ascii="Arial" w:cs="Arial" w:eastAsia="Arial" w:hAnsi="Arial"/>
                <w:sz w:val="14"/>
                <w:szCs w:val="14"/>
                <w:color w:val="auto"/>
              </w:rPr>
              <w:t>-</w:t>
            </w:r>
          </w:p>
        </w:tc>
        <w:tc>
          <w:tcPr>
            <w:tcW w:w="2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0" w:type="dxa"/>
            <w:vAlign w:val="bottom"/>
            <w:shd w:val="clear" w:color="auto" w:fill="F0FFFF"/>
          </w:tcPr>
          <w:p>
            <w:pPr>
              <w:jc w:val="right"/>
              <w:spacing w:after="0" w:line="141" w:lineRule="exact"/>
              <w:rPr>
                <w:sz w:val="20"/>
                <w:szCs w:val="20"/>
                <w:color w:val="auto"/>
              </w:rPr>
            </w:pPr>
            <w:r>
              <w:rPr>
                <w:rFonts w:ascii="Arial" w:cs="Arial" w:eastAsia="Arial" w:hAnsi="Arial"/>
                <w:sz w:val="14"/>
                <w:szCs w:val="14"/>
                <w:color w:val="auto"/>
              </w:rPr>
              <w:t>315,836</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20"/>
              <w:spacing w:after="0" w:line="141" w:lineRule="exact"/>
              <w:rPr>
                <w:sz w:val="20"/>
                <w:szCs w:val="20"/>
                <w:color w:val="auto"/>
              </w:rPr>
            </w:pPr>
            <w:r>
              <w:rPr>
                <w:rFonts w:ascii="Arial" w:cs="Arial" w:eastAsia="Arial" w:hAnsi="Arial"/>
                <w:sz w:val="14"/>
                <w:szCs w:val="14"/>
                <w:color w:val="auto"/>
              </w:rPr>
              <w:t>315,836</w:t>
            </w:r>
          </w:p>
        </w:tc>
        <w:tc>
          <w:tcPr>
            <w:tcW w:w="80" w:type="dxa"/>
            <w:vAlign w:val="bottom"/>
            <w:shd w:val="clear" w:color="auto" w:fill="F0FFFF"/>
          </w:tcPr>
          <w:p>
            <w:pPr>
              <w:spacing w:after="0"/>
              <w:rPr>
                <w:sz w:val="12"/>
                <w:szCs w:val="12"/>
                <w:color w:val="auto"/>
              </w:rPr>
            </w:pPr>
          </w:p>
        </w:tc>
        <w:tc>
          <w:tcPr>
            <w:tcW w:w="860" w:type="dxa"/>
            <w:vAlign w:val="bottom"/>
            <w:tcBorders>
              <w:right w:val="single" w:sz="8" w:color="F0FFFF"/>
            </w:tcBorders>
            <w:shd w:val="clear" w:color="auto" w:fill="F0FFFF"/>
          </w:tcPr>
          <w:p>
            <w:pPr>
              <w:jc w:val="right"/>
              <w:spacing w:after="0" w:line="141" w:lineRule="exact"/>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20" w:type="dxa"/>
            <w:vAlign w:val="bottom"/>
            <w:tcBorders>
              <w:right w:val="single" w:sz="8" w:color="F0FFFF"/>
            </w:tcBorders>
            <w:gridSpan w:val="2"/>
            <w:shd w:val="clear" w:color="auto" w:fill="F0FFFF"/>
          </w:tcPr>
          <w:p>
            <w:pPr>
              <w:jc w:val="right"/>
              <w:ind w:right="200"/>
              <w:spacing w:after="0" w:line="141" w:lineRule="exact"/>
              <w:rPr>
                <w:sz w:val="20"/>
                <w:szCs w:val="20"/>
                <w:color w:val="auto"/>
              </w:rPr>
            </w:pPr>
            <w:r>
              <w:rPr>
                <w:rFonts w:ascii="Arial" w:cs="Arial" w:eastAsia="Arial" w:hAnsi="Arial"/>
                <w:sz w:val="14"/>
                <w:szCs w:val="14"/>
                <w:color w:val="auto"/>
              </w:rPr>
              <w:t>268,629</w:t>
            </w:r>
          </w:p>
        </w:tc>
        <w:tc>
          <w:tcPr>
            <w:tcW w:w="140" w:type="dxa"/>
            <w:vAlign w:val="bottom"/>
            <w:shd w:val="clear" w:color="auto" w:fill="F0FFFF"/>
          </w:tcPr>
          <w:p>
            <w:pPr>
              <w:spacing w:after="0"/>
              <w:rPr>
                <w:sz w:val="12"/>
                <w:szCs w:val="12"/>
                <w:color w:val="auto"/>
              </w:rPr>
            </w:pPr>
          </w:p>
        </w:tc>
        <w:tc>
          <w:tcPr>
            <w:tcW w:w="960" w:type="dxa"/>
            <w:vAlign w:val="bottom"/>
            <w:gridSpan w:val="2"/>
            <w:shd w:val="clear" w:color="auto" w:fill="F0FFFF"/>
          </w:tcPr>
          <w:p>
            <w:pPr>
              <w:jc w:val="right"/>
              <w:ind w:right="200"/>
              <w:spacing w:after="0" w:line="141" w:lineRule="exact"/>
              <w:rPr>
                <w:sz w:val="20"/>
                <w:szCs w:val="20"/>
                <w:color w:val="auto"/>
              </w:rPr>
            </w:pPr>
            <w:r>
              <w:rPr>
                <w:rFonts w:ascii="Arial" w:cs="Arial" w:eastAsia="Arial" w:hAnsi="Arial"/>
                <w:sz w:val="14"/>
                <w:szCs w:val="14"/>
                <w:color w:val="auto"/>
              </w:rPr>
              <w:t>268,629</w:t>
            </w: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1" w:lineRule="exact"/>
              <w:rPr>
                <w:sz w:val="20"/>
                <w:szCs w:val="20"/>
                <w:color w:val="auto"/>
              </w:rPr>
            </w:pPr>
            <w:r>
              <w:rPr>
                <w:rFonts w:ascii="Arial" w:cs="Arial" w:eastAsia="Arial" w:hAnsi="Arial"/>
                <w:sz w:val="14"/>
                <w:szCs w:val="14"/>
                <w:color w:val="auto"/>
              </w:rPr>
              <w:t>208,395</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00"/>
              <w:spacing w:after="0" w:line="141" w:lineRule="exact"/>
              <w:rPr>
                <w:sz w:val="20"/>
                <w:szCs w:val="20"/>
                <w:color w:val="auto"/>
              </w:rPr>
            </w:pPr>
            <w:r>
              <w:rPr>
                <w:rFonts w:ascii="Arial" w:cs="Arial" w:eastAsia="Arial" w:hAnsi="Arial"/>
                <w:sz w:val="14"/>
                <w:szCs w:val="14"/>
                <w:color w:val="auto"/>
              </w:rPr>
              <w:t>208,395</w:t>
            </w:r>
          </w:p>
        </w:tc>
        <w:tc>
          <w:tcPr>
            <w:tcW w:w="0" w:type="dxa"/>
            <w:vAlign w:val="bottom"/>
          </w:tcPr>
          <w:p>
            <w:pPr>
              <w:spacing w:after="0"/>
              <w:rPr>
                <w:sz w:val="1"/>
                <w:szCs w:val="1"/>
                <w:color w:val="auto"/>
              </w:rPr>
            </w:pPr>
          </w:p>
        </w:tc>
      </w:tr>
      <w:tr>
        <w:trPr>
          <w:trHeight w:val="26"/>
        </w:trPr>
        <w:tc>
          <w:tcPr>
            <w:tcW w:w="15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tcBorders>
              <w:right w:val="single" w:sz="8" w:color="F0FFFF"/>
            </w:tcBorders>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right w:val="single" w:sz="8" w:color="F0FFFF"/>
            </w:tcBorders>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1580" w:type="dxa"/>
            <w:vAlign w:val="bottom"/>
          </w:tcPr>
          <w:p>
            <w:pPr>
              <w:ind w:left="160"/>
              <w:spacing w:after="0" w:line="154" w:lineRule="exact"/>
              <w:rPr>
                <w:sz w:val="20"/>
                <w:szCs w:val="20"/>
                <w:color w:val="auto"/>
              </w:rPr>
            </w:pPr>
            <w:r>
              <w:rPr>
                <w:rFonts w:ascii="Arial" w:cs="Arial" w:eastAsia="Arial" w:hAnsi="Arial"/>
                <w:sz w:val="14"/>
                <w:szCs w:val="14"/>
                <w:color w:val="auto"/>
              </w:rPr>
              <w:t>Total loans</w:t>
            </w:r>
          </w:p>
        </w:tc>
        <w:tc>
          <w:tcPr>
            <w:tcW w:w="16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4" w:lineRule="exact"/>
              <w:rPr>
                <w:sz w:val="20"/>
                <w:szCs w:val="20"/>
                <w:color w:val="auto"/>
              </w:rPr>
            </w:pPr>
            <w:r>
              <w:rPr>
                <w:rFonts w:ascii="Arial" w:cs="Arial" w:eastAsia="Arial" w:hAnsi="Arial"/>
                <w:sz w:val="14"/>
                <w:szCs w:val="14"/>
                <w:color w:val="auto"/>
              </w:rPr>
              <w:t>106,906</w:t>
            </w:r>
          </w:p>
        </w:tc>
        <w:tc>
          <w:tcPr>
            <w:tcW w:w="280" w:type="dxa"/>
            <w:vAlign w:val="bottom"/>
            <w:gridSpan w:val="2"/>
          </w:tcPr>
          <w:p>
            <w:pPr>
              <w:ind w:left="200"/>
              <w:spacing w:after="0" w:line="154"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00"/>
              <w:spacing w:after="0" w:line="154" w:lineRule="exact"/>
              <w:rPr>
                <w:sz w:val="20"/>
                <w:szCs w:val="20"/>
                <w:color w:val="auto"/>
              </w:rPr>
            </w:pPr>
            <w:r>
              <w:rPr>
                <w:rFonts w:ascii="Arial" w:cs="Arial" w:eastAsia="Arial" w:hAnsi="Arial"/>
                <w:sz w:val="14"/>
                <w:szCs w:val="14"/>
                <w:color w:val="auto"/>
              </w:rPr>
              <w:t>4,680,783</w:t>
            </w:r>
          </w:p>
        </w:tc>
        <w:tc>
          <w:tcPr>
            <w:tcW w:w="240" w:type="dxa"/>
            <w:vAlign w:val="bottom"/>
            <w:gridSpan w:val="2"/>
          </w:tcPr>
          <w:p>
            <w:pPr>
              <w:jc w:val="right"/>
              <w:ind w:right="60"/>
              <w:spacing w:after="0" w:line="154"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4" w:lineRule="exact"/>
              <w:rPr>
                <w:sz w:val="20"/>
                <w:szCs w:val="20"/>
                <w:color w:val="auto"/>
              </w:rPr>
            </w:pPr>
            <w:r>
              <w:rPr>
                <w:rFonts w:ascii="Arial" w:cs="Arial" w:eastAsia="Arial" w:hAnsi="Arial"/>
                <w:sz w:val="14"/>
                <w:szCs w:val="14"/>
                <w:color w:val="auto"/>
              </w:rPr>
              <w:t>4,787,689</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54" w:lineRule="exact"/>
              <w:rPr>
                <w:sz w:val="20"/>
                <w:szCs w:val="20"/>
                <w:color w:val="auto"/>
              </w:rPr>
            </w:pPr>
            <w:r>
              <w:rPr>
                <w:rFonts w:ascii="Arial" w:cs="Arial" w:eastAsia="Arial" w:hAnsi="Arial"/>
                <w:sz w:val="14"/>
                <w:szCs w:val="14"/>
                <w:color w:val="auto"/>
              </w:rPr>
              <w:t>106,472</w:t>
            </w:r>
          </w:p>
        </w:tc>
        <w:tc>
          <w:tcPr>
            <w:tcW w:w="24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0"/>
              <w:spacing w:after="0" w:line="154" w:lineRule="exact"/>
              <w:rPr>
                <w:sz w:val="20"/>
                <w:szCs w:val="20"/>
                <w:color w:val="auto"/>
              </w:rPr>
            </w:pPr>
            <w:r>
              <w:rPr>
                <w:rFonts w:ascii="Arial" w:cs="Arial" w:eastAsia="Arial" w:hAnsi="Arial"/>
                <w:sz w:val="14"/>
                <w:szCs w:val="14"/>
                <w:color w:val="auto"/>
              </w:rPr>
              <w:t>4,565,647</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line="154" w:lineRule="exact"/>
              <w:rPr>
                <w:sz w:val="20"/>
                <w:szCs w:val="20"/>
                <w:color w:val="auto"/>
              </w:rPr>
            </w:pPr>
            <w:r>
              <w:rPr>
                <w:rFonts w:ascii="Arial" w:cs="Arial" w:eastAsia="Arial" w:hAnsi="Arial"/>
                <w:sz w:val="14"/>
                <w:szCs w:val="14"/>
                <w:color w:val="auto"/>
              </w:rPr>
              <w:t>4,672,119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00"/>
              <w:spacing w:after="0" w:line="154" w:lineRule="exact"/>
              <w:rPr>
                <w:sz w:val="20"/>
                <w:szCs w:val="20"/>
                <w:color w:val="auto"/>
              </w:rPr>
            </w:pPr>
            <w:r>
              <w:rPr>
                <w:rFonts w:ascii="Arial" w:cs="Arial" w:eastAsia="Arial" w:hAnsi="Arial"/>
                <w:sz w:val="14"/>
                <w:szCs w:val="14"/>
                <w:color w:val="auto"/>
              </w:rPr>
              <w:t>105,120</w:t>
            </w:r>
          </w:p>
        </w:tc>
        <w:tc>
          <w:tcPr>
            <w:tcW w:w="180" w:type="dxa"/>
            <w:vAlign w:val="bottom"/>
            <w:gridSpan w:val="2"/>
          </w:tcPr>
          <w:p>
            <w:pPr>
              <w:ind w:left="100"/>
              <w:spacing w:after="0" w:line="154"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00"/>
              <w:spacing w:after="0" w:line="154" w:lineRule="exact"/>
              <w:rPr>
                <w:sz w:val="20"/>
                <w:szCs w:val="20"/>
                <w:color w:val="auto"/>
              </w:rPr>
            </w:pPr>
            <w:r>
              <w:rPr>
                <w:rFonts w:ascii="Arial" w:cs="Arial" w:eastAsia="Arial" w:hAnsi="Arial"/>
                <w:sz w:val="14"/>
                <w:szCs w:val="14"/>
                <w:color w:val="auto"/>
              </w:rPr>
              <w:t>4,250,588</w:t>
            </w:r>
          </w:p>
        </w:tc>
        <w:tc>
          <w:tcPr>
            <w:tcW w:w="240" w:type="dxa"/>
            <w:vAlign w:val="bottom"/>
            <w:gridSpan w:val="2"/>
          </w:tcPr>
          <w:p>
            <w:pPr>
              <w:jc w:val="right"/>
              <w:ind w:right="60"/>
              <w:spacing w:after="0" w:line="154"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4" w:lineRule="exact"/>
              <w:rPr>
                <w:sz w:val="20"/>
                <w:szCs w:val="20"/>
                <w:color w:val="auto"/>
              </w:rPr>
            </w:pPr>
            <w:r>
              <w:rPr>
                <w:rFonts w:ascii="Arial" w:cs="Arial" w:eastAsia="Arial" w:hAnsi="Arial"/>
                <w:sz w:val="14"/>
                <w:szCs w:val="14"/>
                <w:color w:val="auto"/>
              </w:rPr>
              <w:t>4,355,708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Management considers all loans that are on nonaccrual with a balance of $500,000 or greater and all troubled debt restructurings (“TDRs”) to be impaired. In addition, management reviews all accruing substandard loans greater than $2 million to determine if the loan is impaired. A loan is considered impaired when, based on current events and circumstances, it is probable that all amounts due according to the original contractual terms of the loan will not be collected. All TDRs are considered impaired regardless of accrual status. Impairment is measured based on the present value of expected future cash flows, discounted at the loan’s effective interest rate, the loan’s observable market price, or the fair value of the collateral if the loan is collateral dependent. For TDRs less than $500,000, impairment is estimated based on the average impairment of TDRs greater than $500,000 by loan category. For loan types that do not have TDRs greater than $500,000, the average impairment for all TDR loans is used to quantify the amount of required specific reserve. A specific reserve is established for impaired loans for the amount of calculated impairment. Interest payments received on impaired nonaccrual loans are applied as a reduction of the outstanding principal balance. For impaired loans not on nonaccrual status, interest is accrued according to the terms of the loan agreement. Loans are evaluated for impairment quarterly and specific reserves are established in the allowance for loan losses for any measured impairment.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1315" w:right="239" w:bottom="964" w:gutter="0" w:footer="0" w:header="0"/>
        </w:sectPr>
      </w:pPr>
    </w:p>
    <w:bookmarkStart w:id="16" w:name="page17"/>
    <w:bookmarkEnd w:id="16"/>
    <w:p>
      <w:pPr>
        <w:jc w:val="center"/>
        <w:spacing w:after="0"/>
        <w:rPr>
          <w:sz w:val="20"/>
          <w:szCs w:val="20"/>
          <w:color w:val="auto"/>
        </w:rPr>
      </w:pPr>
      <w:r>
        <w:rPr>
          <w:rFonts w:ascii="Arial" w:cs="Arial" w:eastAsia="Arial" w:hAnsi="Arial"/>
          <w:sz w:val="17"/>
          <w:szCs w:val="17"/>
          <w:b w:val="1"/>
          <w:bCs w:val="1"/>
          <w:color w:val="auto"/>
        </w:rPr>
        <w:t>UNITED COMMUNITY BANKS,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Each quarter, United’s management prepares an analysis of the allowance for credit losses to determine the appropriate balance that measures and quantifies the amount of probable incurred losses in the loan portfolio. The allowance is comprised of specific reserves on individually impaired loans, which are determined as described above, and general reserves which are determined based on historical loss experience as adjusted for current trends and economic conditions multiplied by a loss emergence period factor. Management uses eight quarters of historical loss experience to determine the loss factors to be used in the reserve calculation for loans evaluated in the aggregate. Eight quarters has been determined to be an appropriate time period as it is recent enough to be relevant to current conditions and covers a length of time sufficient to minimize distortions caused by nonrecurring and unusual activity that might otherwise influence a shorter time period. In previous years, the loss rates were weighted toward more recent quarters by multiplying each quarter’s annualized historical net charge-off rate by 1 through 8, with 8 representing the most recent quarter and 1 representing the oldest quarter. Management adopted this method of weighting quarterly loss rates to capture the rapidly deteriorating credit conditions in its loss factors during the financial crisis. In the first quarter of 2014, in light of stabilizing credit conditions, management concluded that it was appropriate to apply a more level weighting to capture the full range and impacts of credit losses experienced during the most recent economic and credit cycle. For the four quarters of 2014, management applied a weighting factor of 1.75 to the most recent four quarters and a weighting of 1.00 for the four oldest quarters. Beginning with the first quarter of 2015, management began applying equal weight to all eight quarters to capture the full range of the loss cycle. Management believes the current weightings are more appropriate to measure the probable losses incurred within the loan portfolio.</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Also, beginning in the first quarter of 2014, management updated its method for measuring the loss emergence period in the calculation of the allowance for credit losses. The rapidly deteriorating credit conditions during the peak of the credit cycle shortened the length of time between management’s estimation of the incurrence of a loss and its recognition as a charge-off. In most cases, the loss emergence period was within a twelve month period which made the use of annualized loss factors appropriate for measuring the amount of incurred yet unconfirmed credit losses within the loan portfolio. As United has moved out beyond the peak of the financial crisis, management has observed that the loss emergence period has extended. Management calculates the loss emergence period for each pool of loans based on the average length of time between the date a loan first exceeds 30 days past due and the date the loan is charged off.</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updates to the weightings to the eight quarters of loss history and the update to our estimation of the loss emergence period did not have a material effect on the total allowance for loan losses or the provision for loan losses, however, the revised loss emergence period resulted in the full allocation of the previously unallocated portion of the allowance for loan losses.</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On junior lien home equity loans, management has limited ability to monitor the delinquency status of the first lien unless the first lien is also held by United. As a result, management applies the weighted average historical loss factor for this category and appropriately adjusts it to reflect the increased risk of loss from these credits.</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Management carefully reviews the resulting loss factors for each category of the loan portfolio and evaluates whether qualitative adjustments are necessary to take into consideration recent credit trends such as increases or decreases in past due, nonaccrual, criticized and classified loans, and other macro environmental factors such as changes in unemployment rates, lease vacancy rates and trends in property values and absorption rates.</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Management believes that its method of determining the balance of the allowance for credit losses provides a reasonable and reliable basis for measuring and reporting losses that are incurred in the loan portfolio as of the reporting date.</w:t>
      </w:r>
    </w:p>
    <w:p>
      <w:pPr>
        <w:spacing w:after="0" w:line="1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When a loan officer determines that a loan is uncollectible, he or she is responsible for recommending that the loan be charged off. Full or partial charge-offs may also be recommended by the Collections Department, the Special Assets Department and the Foreclosure/OREO Department. Nonaccrual real estate loans that are collateral dependent are generally charged down to 80% of the appraised value of the underlying collateral at the time they are placed on nonaccrual status.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 committee consisting of the Chief Credit Officer, Senior Risk Officers and the Senior Credit Officers meets monthly to review charge-offs that have occurred during the previous month.</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Generally, closed-end retail loans (installment and residential mortgage loans) past due 90 cumulative days are written down to their collateral value less estimated selling costs unless the loan is well secured and in process of collection (within the next 90 days). Open-end (revolving) unsecured retail loans which are past due 90 cumulative days from their contractual due date are generally charged off.</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b w:val="1"/>
          <w:bCs w:val="1"/>
          <w:color w:val="auto"/>
        </w:rPr>
        <w:t>UNITED COMMUNITY BANKS,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The following table presents loans individually evaluated for impairment by class of loans as of March 31, 2015, December 31, 2014 and March 31, 2014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thousands)</w:t>
      </w:r>
      <w:r>
        <w:rPr>
          <w:rFonts w:ascii="Arial" w:cs="Arial" w:eastAsia="Arial" w:hAnsi="Arial"/>
          <w:sz w:val="17"/>
          <w:szCs w:val="17"/>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gridSpan w:val="5"/>
          </w:tcPr>
          <w:p>
            <w:pPr>
              <w:ind w:left="40"/>
              <w:spacing w:after="0"/>
              <w:rPr>
                <w:sz w:val="20"/>
                <w:szCs w:val="20"/>
                <w:color w:val="auto"/>
              </w:rPr>
            </w:pPr>
            <w:r>
              <w:rPr>
                <w:rFonts w:ascii="Arial" w:cs="Arial" w:eastAsia="Arial" w:hAnsi="Arial"/>
                <w:sz w:val="17"/>
                <w:szCs w:val="17"/>
                <w:b w:val="1"/>
                <w:bCs w:val="1"/>
                <w:color w:val="auto"/>
                <w:w w:val="94"/>
              </w:rPr>
              <w:t>March 31, 2015</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9"/>
          </w:tcPr>
          <w:p>
            <w:pPr>
              <w:jc w:val="right"/>
              <w:ind w:right="800"/>
              <w:spacing w:after="0"/>
              <w:rPr>
                <w:sz w:val="20"/>
                <w:szCs w:val="20"/>
                <w:color w:val="auto"/>
              </w:rPr>
            </w:pPr>
            <w:r>
              <w:rPr>
                <w:rFonts w:ascii="Arial" w:cs="Arial" w:eastAsia="Arial" w:hAnsi="Arial"/>
                <w:sz w:val="17"/>
                <w:szCs w:val="17"/>
                <w:b w:val="1"/>
                <w:bCs w:val="1"/>
                <w:color w:val="auto"/>
              </w:rPr>
              <w:t>December 31, 2014</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gridSpan w:val="5"/>
          </w:tcPr>
          <w:p>
            <w:pPr>
              <w:jc w:val="right"/>
              <w:spacing w:after="0"/>
              <w:rPr>
                <w:sz w:val="20"/>
                <w:szCs w:val="20"/>
                <w:color w:val="auto"/>
              </w:rPr>
            </w:pPr>
            <w:r>
              <w:rPr>
                <w:rFonts w:ascii="Arial" w:cs="Arial" w:eastAsia="Arial" w:hAnsi="Arial"/>
                <w:sz w:val="17"/>
                <w:szCs w:val="17"/>
                <w:b w:val="1"/>
                <w:bCs w:val="1"/>
                <w:color w:val="auto"/>
                <w:w w:val="94"/>
              </w:rPr>
              <w:t>March 31, 2014</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9"/>
        </w:trPr>
        <w:tc>
          <w:tcPr>
            <w:tcW w:w="30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jc w:val="center"/>
              <w:spacing w:after="0" w:line="189" w:lineRule="exact"/>
              <w:rPr>
                <w:sz w:val="20"/>
                <w:szCs w:val="20"/>
                <w:color w:val="auto"/>
              </w:rPr>
            </w:pPr>
            <w:r>
              <w:rPr>
                <w:rFonts w:ascii="Arial" w:cs="Arial" w:eastAsia="Arial" w:hAnsi="Arial"/>
                <w:sz w:val="17"/>
                <w:szCs w:val="17"/>
                <w:b w:val="1"/>
                <w:bCs w:val="1"/>
                <w:color w:val="auto"/>
                <w:w w:val="90"/>
              </w:rPr>
              <w:t>Allowance</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center"/>
              <w:spacing w:after="0" w:line="189" w:lineRule="exact"/>
              <w:rPr>
                <w:sz w:val="20"/>
                <w:szCs w:val="20"/>
                <w:color w:val="auto"/>
              </w:rPr>
            </w:pPr>
            <w:r>
              <w:rPr>
                <w:rFonts w:ascii="Arial" w:cs="Arial" w:eastAsia="Arial" w:hAnsi="Arial"/>
                <w:sz w:val="17"/>
                <w:szCs w:val="17"/>
                <w:b w:val="1"/>
                <w:bCs w:val="1"/>
                <w:color w:val="auto"/>
                <w:w w:val="90"/>
              </w:rPr>
              <w:t>Allowance</w:t>
            </w: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jc w:val="center"/>
              <w:spacing w:after="0" w:line="189" w:lineRule="exact"/>
              <w:rPr>
                <w:sz w:val="20"/>
                <w:szCs w:val="20"/>
                <w:color w:val="auto"/>
              </w:rPr>
            </w:pPr>
            <w:r>
              <w:rPr>
                <w:rFonts w:ascii="Arial" w:cs="Arial" w:eastAsia="Arial" w:hAnsi="Arial"/>
                <w:sz w:val="17"/>
                <w:szCs w:val="17"/>
                <w:b w:val="1"/>
                <w:bCs w:val="1"/>
                <w:color w:val="auto"/>
                <w:w w:val="90"/>
              </w:rPr>
              <w:t>Allowance</w:t>
            </w:r>
          </w:p>
        </w:tc>
        <w:tc>
          <w:tcPr>
            <w:tcW w:w="80" w:type="dxa"/>
            <w:vAlign w:val="bottom"/>
          </w:tcPr>
          <w:p>
            <w:pPr>
              <w:spacing w:after="0"/>
              <w:rPr>
                <w:sz w:val="16"/>
                <w:szCs w:val="16"/>
                <w:color w:val="auto"/>
              </w:rPr>
            </w:pPr>
          </w:p>
        </w:tc>
      </w:tr>
      <w:tr>
        <w:trPr>
          <w:trHeight w:val="205"/>
        </w:trPr>
        <w:tc>
          <w:tcPr>
            <w:tcW w:w="3040" w:type="dxa"/>
            <w:vAlign w:val="bottom"/>
          </w:tcPr>
          <w:p>
            <w:pPr>
              <w:spacing w:after="0"/>
              <w:rPr>
                <w:sz w:val="17"/>
                <w:szCs w:val="17"/>
                <w:color w:val="auto"/>
              </w:rPr>
            </w:pPr>
          </w:p>
        </w:tc>
        <w:tc>
          <w:tcPr>
            <w:tcW w:w="700" w:type="dxa"/>
            <w:vAlign w:val="bottom"/>
            <w:gridSpan w:val="2"/>
          </w:tcPr>
          <w:p>
            <w:pPr>
              <w:ind w:left="80"/>
              <w:spacing w:after="0"/>
              <w:rPr>
                <w:sz w:val="20"/>
                <w:szCs w:val="20"/>
                <w:color w:val="auto"/>
              </w:rPr>
            </w:pPr>
            <w:r>
              <w:rPr>
                <w:rFonts w:ascii="Arial" w:cs="Arial" w:eastAsia="Arial" w:hAnsi="Arial"/>
                <w:sz w:val="17"/>
                <w:szCs w:val="17"/>
                <w:b w:val="1"/>
                <w:bCs w:val="1"/>
                <w:color w:val="auto"/>
              </w:rPr>
              <w:t>Unpaid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4"/>
              </w:rPr>
              <w:t>for Loan</w:t>
            </w:r>
          </w:p>
        </w:tc>
        <w:tc>
          <w:tcPr>
            <w:tcW w:w="100" w:type="dxa"/>
            <w:vAlign w:val="bottom"/>
          </w:tcPr>
          <w:p>
            <w:pPr>
              <w:spacing w:after="0"/>
              <w:rPr>
                <w:sz w:val="17"/>
                <w:szCs w:val="17"/>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Unpaid</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4"/>
              </w:rPr>
              <w:t>for Loan</w:t>
            </w:r>
          </w:p>
        </w:tc>
        <w:tc>
          <w:tcPr>
            <w:tcW w:w="80" w:type="dxa"/>
            <w:vAlign w:val="bottom"/>
          </w:tcPr>
          <w:p>
            <w:pPr>
              <w:spacing w:after="0"/>
              <w:rPr>
                <w:sz w:val="17"/>
                <w:szCs w:val="17"/>
                <w:color w:val="auto"/>
              </w:rPr>
            </w:pPr>
          </w:p>
        </w:tc>
        <w:tc>
          <w:tcPr>
            <w:tcW w:w="680" w:type="dxa"/>
            <w:vAlign w:val="bottom"/>
          </w:tcPr>
          <w:p>
            <w:pPr>
              <w:jc w:val="center"/>
              <w:ind w:right="15"/>
              <w:spacing w:after="0"/>
              <w:rPr>
                <w:sz w:val="20"/>
                <w:szCs w:val="20"/>
                <w:color w:val="auto"/>
              </w:rPr>
            </w:pPr>
            <w:r>
              <w:rPr>
                <w:rFonts w:ascii="Arial" w:cs="Arial" w:eastAsia="Arial" w:hAnsi="Arial"/>
                <w:sz w:val="17"/>
                <w:szCs w:val="17"/>
                <w:b w:val="1"/>
                <w:bCs w:val="1"/>
                <w:color w:val="auto"/>
                <w:w w:val="93"/>
              </w:rPr>
              <w:t>Unpaid</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4"/>
              </w:rPr>
              <w:t>for Loan</w:t>
            </w:r>
          </w:p>
        </w:tc>
      </w:tr>
      <w:tr>
        <w:trPr>
          <w:trHeight w:val="205"/>
        </w:trPr>
        <w:tc>
          <w:tcPr>
            <w:tcW w:w="304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Arial" w:cs="Arial" w:eastAsia="Arial" w:hAnsi="Arial"/>
                <w:sz w:val="17"/>
                <w:szCs w:val="17"/>
                <w:b w:val="1"/>
                <w:bCs w:val="1"/>
                <w:color w:val="auto"/>
                <w:w w:val="89"/>
              </w:rPr>
              <w:t>Principal</w:t>
            </w:r>
          </w:p>
        </w:tc>
        <w:tc>
          <w:tcPr>
            <w:tcW w:w="1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b w:val="1"/>
                <w:bCs w:val="1"/>
                <w:color w:val="auto"/>
                <w:w w:val="94"/>
              </w:rPr>
              <w:t>Recorded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78"/>
              </w:rPr>
              <w:t>Losses</w:t>
            </w:r>
          </w:p>
        </w:tc>
        <w:tc>
          <w:tcPr>
            <w:tcW w:w="88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4"/>
              </w:rPr>
              <w:t>Principal</w:t>
            </w:r>
          </w:p>
        </w:tc>
        <w:tc>
          <w:tcPr>
            <w:tcW w:w="92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w w:val="96"/>
              </w:rPr>
              <w:t>Recorded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1"/>
              </w:rPr>
              <w:t>Losses</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4"/>
              </w:rPr>
              <w:t>Principal</w:t>
            </w:r>
          </w:p>
        </w:tc>
        <w:tc>
          <w:tcPr>
            <w:tcW w:w="140" w:type="dxa"/>
            <w:vAlign w:val="bottom"/>
          </w:tcPr>
          <w:p>
            <w:pPr>
              <w:spacing w:after="0"/>
              <w:rPr>
                <w:sz w:val="17"/>
                <w:szCs w:val="17"/>
                <w:color w:val="auto"/>
              </w:rPr>
            </w:pPr>
          </w:p>
        </w:tc>
        <w:tc>
          <w:tcPr>
            <w:tcW w:w="1000" w:type="dxa"/>
            <w:vAlign w:val="bottom"/>
            <w:gridSpan w:val="3"/>
          </w:tcPr>
          <w:p>
            <w:pPr>
              <w:ind w:left="80"/>
              <w:spacing w:after="0"/>
              <w:rPr>
                <w:sz w:val="20"/>
                <w:szCs w:val="20"/>
                <w:color w:val="auto"/>
              </w:rPr>
            </w:pPr>
            <w:r>
              <w:rPr>
                <w:rFonts w:ascii="Arial" w:cs="Arial" w:eastAsia="Arial" w:hAnsi="Arial"/>
                <w:sz w:val="17"/>
                <w:szCs w:val="17"/>
                <w:b w:val="1"/>
                <w:bCs w:val="1"/>
                <w:color w:val="auto"/>
              </w:rPr>
              <w:t>Recorded</w:t>
            </w:r>
          </w:p>
        </w:tc>
        <w:tc>
          <w:tcPr>
            <w:tcW w:w="100" w:type="dxa"/>
            <w:vAlign w:val="bottom"/>
          </w:tcPr>
          <w:p>
            <w:pPr>
              <w:spacing w:after="0"/>
              <w:rPr>
                <w:sz w:val="17"/>
                <w:szCs w:val="17"/>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1"/>
              </w:rPr>
              <w:t>Losses</w:t>
            </w:r>
          </w:p>
        </w:tc>
      </w:tr>
      <w:tr>
        <w:trPr>
          <w:trHeight w:val="227"/>
        </w:trPr>
        <w:tc>
          <w:tcPr>
            <w:tcW w:w="3040" w:type="dxa"/>
            <w:vAlign w:val="bottom"/>
          </w:tcPr>
          <w:p>
            <w:pPr>
              <w:spacing w:after="0"/>
              <w:rPr>
                <w:sz w:val="19"/>
                <w:szCs w:val="19"/>
                <w:color w:val="auto"/>
              </w:rPr>
            </w:pPr>
          </w:p>
        </w:tc>
        <w:tc>
          <w:tcPr>
            <w:tcW w:w="700" w:type="dxa"/>
            <w:vAlign w:val="bottom"/>
            <w:gridSpan w:val="2"/>
          </w:tcPr>
          <w:p>
            <w:pPr>
              <w:ind w:left="60"/>
              <w:spacing w:after="0"/>
              <w:rPr>
                <w:sz w:val="20"/>
                <w:szCs w:val="20"/>
                <w:color w:val="auto"/>
              </w:rPr>
            </w:pPr>
            <w:r>
              <w:rPr>
                <w:rFonts w:ascii="Arial" w:cs="Arial" w:eastAsia="Arial" w:hAnsi="Arial"/>
                <w:sz w:val="17"/>
                <w:szCs w:val="17"/>
                <w:b w:val="1"/>
                <w:bCs w:val="1"/>
                <w:color w:val="auto"/>
                <w:w w:val="91"/>
              </w:rPr>
              <w:t>Balance</w:t>
            </w:r>
          </w:p>
        </w:tc>
        <w:tc>
          <w:tcPr>
            <w:tcW w:w="140" w:type="dxa"/>
            <w:vAlign w:val="bottom"/>
          </w:tcPr>
          <w:p>
            <w:pPr>
              <w:spacing w:after="0"/>
              <w:rPr>
                <w:sz w:val="19"/>
                <w:szCs w:val="19"/>
                <w:color w:val="auto"/>
              </w:rPr>
            </w:pPr>
          </w:p>
        </w:tc>
        <w:tc>
          <w:tcPr>
            <w:tcW w:w="840" w:type="dxa"/>
            <w:vAlign w:val="bottom"/>
            <w:gridSpan w:val="2"/>
          </w:tcPr>
          <w:p>
            <w:pPr>
              <w:spacing w:after="0"/>
              <w:rPr>
                <w:sz w:val="20"/>
                <w:szCs w:val="20"/>
                <w:color w:val="auto"/>
              </w:rPr>
            </w:pPr>
            <w:r>
              <w:rPr>
                <w:rFonts w:ascii="Arial" w:cs="Arial" w:eastAsia="Arial" w:hAnsi="Arial"/>
                <w:sz w:val="17"/>
                <w:szCs w:val="17"/>
                <w:b w:val="1"/>
                <w:bCs w:val="1"/>
                <w:color w:val="auto"/>
                <w:w w:val="89"/>
              </w:rPr>
              <w:t>Investment</w:t>
            </w:r>
          </w:p>
        </w:tc>
        <w:tc>
          <w:tcPr>
            <w:tcW w:w="120" w:type="dxa"/>
            <w:vAlign w:val="bottom"/>
          </w:tcPr>
          <w:p>
            <w:pPr>
              <w:spacing w:after="0"/>
              <w:rPr>
                <w:sz w:val="19"/>
                <w:szCs w:val="19"/>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1"/>
              </w:rPr>
              <w:t>Allocated</w:t>
            </w:r>
          </w:p>
        </w:tc>
        <w:tc>
          <w:tcPr>
            <w:tcW w:w="88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88"/>
              </w:rPr>
              <w:t>Balance</w:t>
            </w:r>
          </w:p>
        </w:tc>
        <w:tc>
          <w:tcPr>
            <w:tcW w:w="920" w:type="dxa"/>
            <w:vAlign w:val="bottom"/>
            <w:gridSpan w:val="3"/>
          </w:tcPr>
          <w:p>
            <w:pPr>
              <w:ind w:left="20"/>
              <w:spacing w:after="0"/>
              <w:rPr>
                <w:sz w:val="20"/>
                <w:szCs w:val="20"/>
                <w:color w:val="auto"/>
              </w:rPr>
            </w:pPr>
            <w:r>
              <w:rPr>
                <w:rFonts w:ascii="Arial" w:cs="Arial" w:eastAsia="Arial" w:hAnsi="Arial"/>
                <w:sz w:val="17"/>
                <w:szCs w:val="17"/>
                <w:b w:val="1"/>
                <w:bCs w:val="1"/>
                <w:color w:val="auto"/>
                <w:w w:val="98"/>
              </w:rPr>
              <w:t>Investment</w:t>
            </w:r>
          </w:p>
        </w:tc>
        <w:tc>
          <w:tcPr>
            <w:tcW w:w="80" w:type="dxa"/>
            <w:vAlign w:val="bottom"/>
          </w:tcPr>
          <w:p>
            <w:pPr>
              <w:spacing w:after="0"/>
              <w:rPr>
                <w:sz w:val="19"/>
                <w:szCs w:val="19"/>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7"/>
                <w:szCs w:val="17"/>
                <w:b w:val="1"/>
                <w:bCs w:val="1"/>
                <w:color w:val="auto"/>
                <w:w w:val="88"/>
              </w:rPr>
              <w:t>Allocated</w:t>
            </w:r>
          </w:p>
        </w:tc>
        <w:tc>
          <w:tcPr>
            <w:tcW w:w="80" w:type="dxa"/>
            <w:vAlign w:val="bottom"/>
          </w:tcPr>
          <w:p>
            <w:pPr>
              <w:spacing w:after="0"/>
              <w:rPr>
                <w:sz w:val="19"/>
                <w:szCs w:val="19"/>
                <w:color w:val="auto"/>
              </w:rPr>
            </w:pPr>
          </w:p>
        </w:tc>
        <w:tc>
          <w:tcPr>
            <w:tcW w:w="680" w:type="dxa"/>
            <w:vAlign w:val="bottom"/>
          </w:tcPr>
          <w:p>
            <w:pPr>
              <w:jc w:val="center"/>
              <w:ind w:right="15"/>
              <w:spacing w:after="0"/>
              <w:rPr>
                <w:sz w:val="20"/>
                <w:szCs w:val="20"/>
                <w:color w:val="auto"/>
              </w:rPr>
            </w:pPr>
            <w:r>
              <w:rPr>
                <w:rFonts w:ascii="Arial" w:cs="Arial" w:eastAsia="Arial" w:hAnsi="Arial"/>
                <w:sz w:val="17"/>
                <w:szCs w:val="17"/>
                <w:b w:val="1"/>
                <w:bCs w:val="1"/>
                <w:color w:val="auto"/>
                <w:w w:val="88"/>
              </w:rPr>
              <w:t>Balance</w:t>
            </w:r>
          </w:p>
        </w:tc>
        <w:tc>
          <w:tcPr>
            <w:tcW w:w="140" w:type="dxa"/>
            <w:vAlign w:val="bottom"/>
          </w:tcPr>
          <w:p>
            <w:pPr>
              <w:spacing w:after="0"/>
              <w:rPr>
                <w:sz w:val="19"/>
                <w:szCs w:val="19"/>
                <w:color w:val="auto"/>
              </w:rPr>
            </w:pPr>
          </w:p>
        </w:tc>
        <w:tc>
          <w:tcPr>
            <w:tcW w:w="1000" w:type="dxa"/>
            <w:vAlign w:val="bottom"/>
            <w:gridSpan w:val="3"/>
          </w:tcPr>
          <w:p>
            <w:pPr>
              <w:ind w:left="20"/>
              <w:spacing w:after="0"/>
              <w:rPr>
                <w:sz w:val="20"/>
                <w:szCs w:val="20"/>
                <w:color w:val="auto"/>
              </w:rPr>
            </w:pPr>
            <w:r>
              <w:rPr>
                <w:rFonts w:ascii="Arial" w:cs="Arial" w:eastAsia="Arial" w:hAnsi="Arial"/>
                <w:sz w:val="17"/>
                <w:szCs w:val="17"/>
                <w:b w:val="1"/>
                <w:bCs w:val="1"/>
                <w:color w:val="auto"/>
              </w:rPr>
              <w:t>Investment</w:t>
            </w:r>
          </w:p>
        </w:tc>
        <w:tc>
          <w:tcPr>
            <w:tcW w:w="90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w w:val="88"/>
              </w:rPr>
              <w:t>Allocated</w:t>
            </w:r>
          </w:p>
        </w:tc>
      </w:tr>
      <w:tr>
        <w:trPr>
          <w:trHeight w:val="205"/>
        </w:trPr>
        <w:tc>
          <w:tcPr>
            <w:tcW w:w="3040" w:type="dxa"/>
            <w:vAlign w:val="bottom"/>
            <w:shd w:val="clear" w:color="auto" w:fill="F0FFFF"/>
          </w:tcPr>
          <w:p>
            <w:pPr>
              <w:spacing w:after="0"/>
              <w:rPr>
                <w:sz w:val="20"/>
                <w:szCs w:val="20"/>
                <w:color w:val="auto"/>
              </w:rPr>
            </w:pPr>
            <w:r>
              <w:rPr>
                <w:rFonts w:ascii="Arial" w:cs="Arial" w:eastAsia="Arial" w:hAnsi="Arial"/>
                <w:sz w:val="17"/>
                <w:szCs w:val="17"/>
                <w:color w:val="auto"/>
              </w:rPr>
              <w:t>With no related allowance recorded:</w:t>
            </w:r>
          </w:p>
        </w:tc>
        <w:tc>
          <w:tcPr>
            <w:tcW w:w="120" w:type="dxa"/>
            <w:vAlign w:val="bottom"/>
            <w:tcBorders>
              <w:top w:val="single" w:sz="8" w:color="auto"/>
            </w:tcBorders>
            <w:shd w:val="clear" w:color="auto" w:fill="F0FFFF"/>
          </w:tcPr>
          <w:p>
            <w:pPr>
              <w:spacing w:after="0"/>
              <w:rPr>
                <w:sz w:val="17"/>
                <w:szCs w:val="17"/>
                <w:color w:val="auto"/>
              </w:rPr>
            </w:pPr>
          </w:p>
        </w:tc>
        <w:tc>
          <w:tcPr>
            <w:tcW w:w="580" w:type="dxa"/>
            <w:vAlign w:val="bottom"/>
            <w:tcBorders>
              <w:top w:val="single" w:sz="8" w:color="auto"/>
            </w:tcBorders>
            <w:shd w:val="clear" w:color="auto" w:fill="F0FFFF"/>
          </w:tcPr>
          <w:p>
            <w:pPr>
              <w:spacing w:after="0"/>
              <w:rPr>
                <w:sz w:val="17"/>
                <w:szCs w:val="17"/>
                <w:color w:val="auto"/>
              </w:rPr>
            </w:pPr>
          </w:p>
        </w:tc>
        <w:tc>
          <w:tcPr>
            <w:tcW w:w="140" w:type="dxa"/>
            <w:vAlign w:val="bottom"/>
            <w:tcBorders>
              <w:left w:val="single" w:sz="8" w:color="F0FFFF"/>
            </w:tcBorders>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660" w:type="dxa"/>
            <w:vAlign w:val="bottom"/>
            <w:tcBorders>
              <w:top w:val="single" w:sz="8" w:color="auto"/>
            </w:tcBorders>
            <w:shd w:val="clear" w:color="auto" w:fill="F0FFFF"/>
          </w:tcPr>
          <w:p>
            <w:pPr>
              <w:spacing w:after="0"/>
              <w:rPr>
                <w:sz w:val="17"/>
                <w:szCs w:val="17"/>
                <w:color w:val="auto"/>
              </w:rPr>
            </w:pPr>
          </w:p>
        </w:tc>
        <w:tc>
          <w:tcPr>
            <w:tcW w:w="120" w:type="dxa"/>
            <w:vAlign w:val="bottom"/>
            <w:tcBorders>
              <w:left w:val="single" w:sz="8" w:color="F0FFFF"/>
            </w:tcBorders>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720" w:type="dxa"/>
            <w:vAlign w:val="bottom"/>
            <w:tcBorders>
              <w:top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640" w:type="dxa"/>
            <w:vAlign w:val="bottom"/>
            <w:tcBorders>
              <w:top w:val="single" w:sz="8" w:color="auto"/>
            </w:tcBorders>
            <w:shd w:val="clear" w:color="auto" w:fill="F0FFFF"/>
          </w:tcPr>
          <w:p>
            <w:pPr>
              <w:spacing w:after="0"/>
              <w:rPr>
                <w:sz w:val="17"/>
                <w:szCs w:val="17"/>
                <w:color w:val="auto"/>
              </w:rPr>
            </w:pPr>
          </w:p>
        </w:tc>
        <w:tc>
          <w:tcPr>
            <w:tcW w:w="140" w:type="dxa"/>
            <w:vAlign w:val="bottom"/>
            <w:tcBorders>
              <w:right w:val="single" w:sz="8" w:color="F0FFFF"/>
            </w:tcBorders>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660" w:type="dxa"/>
            <w:vAlign w:val="bottom"/>
            <w:tcBorders>
              <w:top w:val="single" w:sz="8" w:color="auto"/>
            </w:tcBorders>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tcBorders>
              <w:top w:val="single" w:sz="8" w:color="auto"/>
            </w:tcBorders>
            <w:shd w:val="clear" w:color="auto" w:fill="F0FFFF"/>
          </w:tcPr>
          <w:p>
            <w:pPr>
              <w:spacing w:after="0"/>
              <w:rPr>
                <w:sz w:val="17"/>
                <w:szCs w:val="17"/>
                <w:color w:val="auto"/>
              </w:rPr>
            </w:pPr>
          </w:p>
        </w:tc>
        <w:tc>
          <w:tcPr>
            <w:tcW w:w="720" w:type="dxa"/>
            <w:vAlign w:val="bottom"/>
            <w:tcBorders>
              <w:top w:val="single" w:sz="8" w:color="auto"/>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0" w:type="dxa"/>
            <w:vAlign w:val="bottom"/>
            <w:tcBorders>
              <w:top w:val="single" w:sz="8" w:color="auto"/>
            </w:tcBorders>
            <w:shd w:val="clear" w:color="auto" w:fill="F0FFFF"/>
          </w:tcPr>
          <w:p>
            <w:pPr>
              <w:spacing w:after="0"/>
              <w:rPr>
                <w:sz w:val="17"/>
                <w:szCs w:val="17"/>
                <w:color w:val="auto"/>
              </w:rPr>
            </w:pPr>
          </w:p>
        </w:tc>
        <w:tc>
          <w:tcPr>
            <w:tcW w:w="680" w:type="dxa"/>
            <w:vAlign w:val="bottom"/>
            <w:tcBorders>
              <w:top w:val="single" w:sz="8" w:color="auto"/>
            </w:tcBorders>
            <w:shd w:val="clear" w:color="auto" w:fill="F0FFFF"/>
          </w:tcPr>
          <w:p>
            <w:pPr>
              <w:spacing w:after="0"/>
              <w:rPr>
                <w:sz w:val="17"/>
                <w:szCs w:val="17"/>
                <w:color w:val="auto"/>
              </w:rPr>
            </w:pPr>
          </w:p>
        </w:tc>
        <w:tc>
          <w:tcPr>
            <w:tcW w:w="140" w:type="dxa"/>
            <w:vAlign w:val="bottom"/>
            <w:tcBorders>
              <w:left w:val="single" w:sz="8" w:color="F0FFFF"/>
            </w:tcBorders>
            <w:shd w:val="clear" w:color="auto" w:fill="F0FFFF"/>
          </w:tcPr>
          <w:p>
            <w:pPr>
              <w:spacing w:after="0"/>
              <w:rPr>
                <w:sz w:val="17"/>
                <w:szCs w:val="17"/>
                <w:color w:val="auto"/>
              </w:rPr>
            </w:pPr>
          </w:p>
        </w:tc>
        <w:tc>
          <w:tcPr>
            <w:tcW w:w="200" w:type="dxa"/>
            <w:vAlign w:val="bottom"/>
            <w:tcBorders>
              <w:top w:val="single" w:sz="8" w:color="auto"/>
            </w:tcBorders>
            <w:shd w:val="clear" w:color="auto" w:fill="F0FFFF"/>
          </w:tcPr>
          <w:p>
            <w:pPr>
              <w:spacing w:after="0"/>
              <w:rPr>
                <w:sz w:val="17"/>
                <w:szCs w:val="17"/>
                <w:color w:val="auto"/>
              </w:rPr>
            </w:pPr>
          </w:p>
        </w:tc>
        <w:tc>
          <w:tcPr>
            <w:tcW w:w="660" w:type="dxa"/>
            <w:vAlign w:val="bottom"/>
            <w:tcBorders>
              <w:top w:val="single" w:sz="8" w:color="auto"/>
            </w:tcBorders>
            <w:shd w:val="clear" w:color="auto" w:fill="F0FFFF"/>
          </w:tcPr>
          <w:p>
            <w:pPr>
              <w:spacing w:after="0"/>
              <w:rPr>
                <w:sz w:val="17"/>
                <w:szCs w:val="17"/>
                <w:color w:val="auto"/>
              </w:rPr>
            </w:pPr>
          </w:p>
        </w:tc>
        <w:tc>
          <w:tcPr>
            <w:tcW w:w="140" w:type="dxa"/>
            <w:vAlign w:val="bottom"/>
            <w:tcBorders>
              <w:right w:val="single" w:sz="8" w:color="F0FFFF"/>
            </w:tcBorders>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720" w:type="dxa"/>
            <w:vAlign w:val="bottom"/>
            <w:tcBorders>
              <w:top w:val="single" w:sz="8" w:color="auto"/>
            </w:tcBorders>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r>
      <w:tr>
        <w:trPr>
          <w:trHeight w:val="205"/>
        </w:trPr>
        <w:tc>
          <w:tcPr>
            <w:tcW w:w="3040" w:type="dxa"/>
            <w:vAlign w:val="bottom"/>
          </w:tcPr>
          <w:p>
            <w:pPr>
              <w:ind w:left="160"/>
              <w:spacing w:after="0"/>
              <w:rPr>
                <w:sz w:val="20"/>
                <w:szCs w:val="20"/>
                <w:color w:val="auto"/>
              </w:rPr>
            </w:pPr>
            <w:r>
              <w:rPr>
                <w:rFonts w:ascii="Arial" w:cs="Arial" w:eastAsia="Arial" w:hAnsi="Arial"/>
                <w:sz w:val="17"/>
                <w:szCs w:val="17"/>
                <w:color w:val="auto"/>
                <w:w w:val="95"/>
              </w:rPr>
              <w:t>Owner occupied commercial real estate</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17,214</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15,968</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12,025</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11,325</w:t>
            </w:r>
          </w:p>
        </w:tc>
        <w:tc>
          <w:tcPr>
            <w:tcW w:w="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18,141</w:t>
            </w:r>
          </w:p>
        </w:tc>
        <w:tc>
          <w:tcPr>
            <w:tcW w:w="34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14,034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05"/>
        </w:trPr>
        <w:tc>
          <w:tcPr>
            <w:tcW w:w="3040" w:type="dxa"/>
            <w:vAlign w:val="bottom"/>
            <w:shd w:val="clear" w:color="auto" w:fill="F0FFFF"/>
          </w:tcPr>
          <w:p>
            <w:pPr>
              <w:ind w:left="160"/>
              <w:spacing w:after="0"/>
              <w:rPr>
                <w:sz w:val="20"/>
                <w:szCs w:val="20"/>
                <w:color w:val="auto"/>
              </w:rPr>
            </w:pPr>
            <w:r>
              <w:rPr>
                <w:rFonts w:ascii="Arial" w:cs="Arial" w:eastAsia="Arial" w:hAnsi="Arial"/>
                <w:sz w:val="17"/>
                <w:szCs w:val="17"/>
                <w:color w:val="auto"/>
                <w:w w:val="91"/>
              </w:rPr>
              <w:t>Income producing commercial real estate</w:t>
            </w:r>
          </w:p>
        </w:tc>
        <w:tc>
          <w:tcPr>
            <w:tcW w:w="120" w:type="dxa"/>
            <w:vAlign w:val="bottom"/>
            <w:shd w:val="clear" w:color="auto" w:fill="F0FFFF"/>
          </w:tcPr>
          <w:p>
            <w:pPr>
              <w:spacing w:after="0"/>
              <w:rPr>
                <w:sz w:val="17"/>
                <w:szCs w:val="17"/>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8,645</w:t>
            </w:r>
          </w:p>
        </w:tc>
        <w:tc>
          <w:tcPr>
            <w:tcW w:w="140" w:type="dxa"/>
            <w:vAlign w:val="bottom"/>
            <w:tcBorders>
              <w:lef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8,502</w:t>
            </w:r>
          </w:p>
        </w:tc>
        <w:tc>
          <w:tcPr>
            <w:tcW w:w="120" w:type="dxa"/>
            <w:vAlign w:val="bottom"/>
            <w:tcBorders>
              <w:lef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78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8,311</w:t>
            </w:r>
          </w:p>
        </w:tc>
        <w:tc>
          <w:tcPr>
            <w:tcW w:w="180" w:type="dxa"/>
            <w:vAlign w:val="bottom"/>
            <w:shd w:val="clear" w:color="auto" w:fill="F0FFFF"/>
          </w:tcPr>
          <w:p>
            <w:pPr>
              <w:spacing w:after="0"/>
              <w:rPr>
                <w:sz w:val="17"/>
                <w:szCs w:val="17"/>
                <w:color w:val="auto"/>
              </w:rPr>
            </w:pP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8,311</w:t>
            </w: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F0FFFF"/>
          </w:tcPr>
          <w:p>
            <w:pPr>
              <w:spacing w:after="0"/>
              <w:rPr>
                <w:sz w:val="17"/>
                <w:szCs w:val="17"/>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6,575</w:t>
            </w:r>
          </w:p>
        </w:tc>
        <w:tc>
          <w:tcPr>
            <w:tcW w:w="140" w:type="dxa"/>
            <w:vAlign w:val="bottom"/>
            <w:tcBorders>
              <w:left w:val="single" w:sz="8" w:color="F0FFFF"/>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0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3,816</w:t>
            </w:r>
          </w:p>
        </w:tc>
        <w:tc>
          <w:tcPr>
            <w:tcW w:w="100" w:type="dxa"/>
            <w:vAlign w:val="bottom"/>
            <w:shd w:val="clear" w:color="auto" w:fill="F0FFFF"/>
          </w:tcPr>
          <w:p>
            <w:pPr>
              <w:spacing w:after="0"/>
              <w:rPr>
                <w:sz w:val="17"/>
                <w:szCs w:val="17"/>
                <w:color w:val="auto"/>
              </w:rPr>
            </w:pPr>
          </w:p>
        </w:tc>
        <w:tc>
          <w:tcPr>
            <w:tcW w:w="80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w:t>
            </w:r>
          </w:p>
        </w:tc>
      </w:tr>
      <w:tr>
        <w:trPr>
          <w:trHeight w:val="205"/>
        </w:trPr>
        <w:tc>
          <w:tcPr>
            <w:tcW w:w="3040" w:type="dxa"/>
            <w:vAlign w:val="bottom"/>
          </w:tcPr>
          <w:p>
            <w:pPr>
              <w:ind w:left="160"/>
              <w:spacing w:after="0"/>
              <w:rPr>
                <w:sz w:val="20"/>
                <w:szCs w:val="20"/>
                <w:color w:val="auto"/>
              </w:rPr>
            </w:pPr>
            <w:r>
              <w:rPr>
                <w:rFonts w:ascii="Arial" w:cs="Arial" w:eastAsia="Arial" w:hAnsi="Arial"/>
                <w:sz w:val="17"/>
                <w:szCs w:val="17"/>
                <w:color w:val="auto"/>
              </w:rPr>
              <w:t>Commercial &amp; industrial</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1,677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1,679</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1,042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2,417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1,851</w:t>
            </w:r>
          </w:p>
        </w:tc>
        <w:tc>
          <w:tcPr>
            <w:tcW w:w="1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05"/>
        </w:trPr>
        <w:tc>
          <w:tcPr>
            <w:tcW w:w="3040" w:type="dxa"/>
            <w:vAlign w:val="bottom"/>
            <w:shd w:val="clear" w:color="auto" w:fill="F0FFFF"/>
          </w:tcPr>
          <w:p>
            <w:pPr>
              <w:ind w:left="160"/>
              <w:spacing w:after="0"/>
              <w:rPr>
                <w:sz w:val="20"/>
                <w:szCs w:val="20"/>
                <w:color w:val="auto"/>
              </w:rPr>
            </w:pPr>
            <w:r>
              <w:rPr>
                <w:rFonts w:ascii="Arial" w:cs="Arial" w:eastAsia="Arial" w:hAnsi="Arial"/>
                <w:sz w:val="17"/>
                <w:szCs w:val="17"/>
                <w:color w:val="auto"/>
              </w:rPr>
              <w:t>Commercial construction</w:t>
            </w:r>
          </w:p>
        </w:tc>
        <w:tc>
          <w:tcPr>
            <w:tcW w:w="120" w:type="dxa"/>
            <w:vAlign w:val="bottom"/>
            <w:shd w:val="clear" w:color="auto" w:fill="F0FFFF"/>
          </w:tcPr>
          <w:p>
            <w:pPr>
              <w:spacing w:after="0"/>
              <w:rPr>
                <w:sz w:val="17"/>
                <w:szCs w:val="17"/>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lef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lef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78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F0FFFF"/>
          </w:tcPr>
          <w:p>
            <w:pPr>
              <w:spacing w:after="0"/>
              <w:rPr>
                <w:sz w:val="17"/>
                <w:szCs w:val="17"/>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F0FFFF"/>
          </w:tcPr>
          <w:p>
            <w:pPr>
              <w:spacing w:after="0"/>
              <w:rPr>
                <w:sz w:val="17"/>
                <w:szCs w:val="17"/>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390</w:t>
            </w:r>
          </w:p>
        </w:tc>
        <w:tc>
          <w:tcPr>
            <w:tcW w:w="140" w:type="dxa"/>
            <w:vAlign w:val="bottom"/>
            <w:tcBorders>
              <w:left w:val="single" w:sz="8" w:color="F0FFFF"/>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0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390</w:t>
            </w:r>
          </w:p>
        </w:tc>
        <w:tc>
          <w:tcPr>
            <w:tcW w:w="100" w:type="dxa"/>
            <w:vAlign w:val="bottom"/>
            <w:shd w:val="clear" w:color="auto" w:fill="F0FFFF"/>
          </w:tcPr>
          <w:p>
            <w:pPr>
              <w:spacing w:after="0"/>
              <w:rPr>
                <w:sz w:val="17"/>
                <w:szCs w:val="17"/>
                <w:color w:val="auto"/>
              </w:rPr>
            </w:pPr>
          </w:p>
        </w:tc>
        <w:tc>
          <w:tcPr>
            <w:tcW w:w="80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w:t>
            </w:r>
          </w:p>
        </w:tc>
      </w:tr>
      <w:tr>
        <w:trPr>
          <w:trHeight w:val="26"/>
        </w:trPr>
        <w:tc>
          <w:tcPr>
            <w:tcW w:w="30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Borders>
              <w:lef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Borders>
              <w:lef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Borders>
              <w:left w:val="single" w:sz="8" w:color="F0FFFF"/>
            </w:tcBorders>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r>
      <w:tr>
        <w:trPr>
          <w:trHeight w:val="205"/>
        </w:trPr>
        <w:tc>
          <w:tcPr>
            <w:tcW w:w="3040" w:type="dxa"/>
            <w:vAlign w:val="bottom"/>
          </w:tcPr>
          <w:p>
            <w:pPr>
              <w:ind w:left="320"/>
              <w:spacing w:after="0"/>
              <w:rPr>
                <w:sz w:val="20"/>
                <w:szCs w:val="20"/>
                <w:color w:val="auto"/>
              </w:rPr>
            </w:pPr>
            <w:r>
              <w:rPr>
                <w:rFonts w:ascii="Arial" w:cs="Arial" w:eastAsia="Arial" w:hAnsi="Arial"/>
                <w:sz w:val="17"/>
                <w:szCs w:val="17"/>
                <w:color w:val="auto"/>
              </w:rPr>
              <w:t>Total commercial</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27,536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25,510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22,015</w:t>
            </w:r>
          </w:p>
        </w:tc>
        <w:tc>
          <w:tcPr>
            <w:tcW w:w="1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20,678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27,523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20,091</w:t>
            </w:r>
          </w:p>
        </w:tc>
        <w:tc>
          <w:tcPr>
            <w:tcW w:w="1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05"/>
        </w:trPr>
        <w:tc>
          <w:tcPr>
            <w:tcW w:w="3040" w:type="dxa"/>
            <w:vAlign w:val="bottom"/>
            <w:shd w:val="clear" w:color="auto" w:fill="F0FFFF"/>
          </w:tcPr>
          <w:p>
            <w:pPr>
              <w:ind w:left="160"/>
              <w:spacing w:after="0"/>
              <w:rPr>
                <w:sz w:val="20"/>
                <w:szCs w:val="20"/>
                <w:color w:val="auto"/>
              </w:rPr>
            </w:pPr>
            <w:r>
              <w:rPr>
                <w:rFonts w:ascii="Arial" w:cs="Arial" w:eastAsia="Arial" w:hAnsi="Arial"/>
                <w:sz w:val="17"/>
                <w:szCs w:val="17"/>
                <w:color w:val="auto"/>
              </w:rPr>
              <w:t>Residential mortgage</w:t>
            </w:r>
          </w:p>
        </w:tc>
        <w:tc>
          <w:tcPr>
            <w:tcW w:w="120" w:type="dxa"/>
            <w:vAlign w:val="bottom"/>
            <w:shd w:val="clear" w:color="auto" w:fill="F0FFFF"/>
          </w:tcPr>
          <w:p>
            <w:pPr>
              <w:spacing w:after="0"/>
              <w:rPr>
                <w:sz w:val="17"/>
                <w:szCs w:val="17"/>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3,411</w:t>
            </w:r>
          </w:p>
        </w:tc>
        <w:tc>
          <w:tcPr>
            <w:tcW w:w="140" w:type="dxa"/>
            <w:vAlign w:val="bottom"/>
            <w:tcBorders>
              <w:lef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1,793</w:t>
            </w:r>
          </w:p>
        </w:tc>
        <w:tc>
          <w:tcPr>
            <w:tcW w:w="120" w:type="dxa"/>
            <w:vAlign w:val="bottom"/>
            <w:tcBorders>
              <w:lef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78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2,569</w:t>
            </w:r>
          </w:p>
        </w:tc>
        <w:tc>
          <w:tcPr>
            <w:tcW w:w="180" w:type="dxa"/>
            <w:vAlign w:val="bottom"/>
            <w:shd w:val="clear" w:color="auto" w:fill="F0FFFF"/>
          </w:tcPr>
          <w:p>
            <w:pPr>
              <w:spacing w:after="0"/>
              <w:rPr>
                <w:sz w:val="17"/>
                <w:szCs w:val="17"/>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1,472</w:t>
            </w: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F0FFFF"/>
          </w:tcPr>
          <w:p>
            <w:pPr>
              <w:spacing w:after="0"/>
              <w:rPr>
                <w:sz w:val="17"/>
                <w:szCs w:val="17"/>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7,292</w:t>
            </w:r>
          </w:p>
        </w:tc>
        <w:tc>
          <w:tcPr>
            <w:tcW w:w="140" w:type="dxa"/>
            <w:vAlign w:val="bottom"/>
            <w:tcBorders>
              <w:left w:val="single" w:sz="8" w:color="F0FFFF"/>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0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5,364</w:t>
            </w:r>
          </w:p>
        </w:tc>
        <w:tc>
          <w:tcPr>
            <w:tcW w:w="100" w:type="dxa"/>
            <w:vAlign w:val="bottom"/>
            <w:shd w:val="clear" w:color="auto" w:fill="F0FFFF"/>
          </w:tcPr>
          <w:p>
            <w:pPr>
              <w:spacing w:after="0"/>
              <w:rPr>
                <w:sz w:val="17"/>
                <w:szCs w:val="17"/>
                <w:color w:val="auto"/>
              </w:rPr>
            </w:pPr>
          </w:p>
        </w:tc>
        <w:tc>
          <w:tcPr>
            <w:tcW w:w="80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w:t>
            </w:r>
          </w:p>
        </w:tc>
      </w:tr>
      <w:tr>
        <w:trPr>
          <w:trHeight w:val="205"/>
        </w:trPr>
        <w:tc>
          <w:tcPr>
            <w:tcW w:w="3040" w:type="dxa"/>
            <w:vAlign w:val="bottom"/>
          </w:tcPr>
          <w:p>
            <w:pPr>
              <w:ind w:left="160"/>
              <w:spacing w:after="0"/>
              <w:rPr>
                <w:sz w:val="20"/>
                <w:szCs w:val="20"/>
                <w:color w:val="auto"/>
              </w:rPr>
            </w:pPr>
            <w:r>
              <w:rPr>
                <w:rFonts w:ascii="Arial" w:cs="Arial" w:eastAsia="Arial" w:hAnsi="Arial"/>
                <w:sz w:val="17"/>
                <w:szCs w:val="17"/>
                <w:color w:val="auto"/>
              </w:rPr>
              <w:t>Home equity lines of credit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05"/>
        </w:trPr>
        <w:tc>
          <w:tcPr>
            <w:tcW w:w="3040" w:type="dxa"/>
            <w:vAlign w:val="bottom"/>
            <w:shd w:val="clear" w:color="auto" w:fill="F0FFFF"/>
          </w:tcPr>
          <w:p>
            <w:pPr>
              <w:ind w:left="160"/>
              <w:spacing w:after="0"/>
              <w:rPr>
                <w:sz w:val="20"/>
                <w:szCs w:val="20"/>
                <w:color w:val="auto"/>
              </w:rPr>
            </w:pPr>
            <w:r>
              <w:rPr>
                <w:rFonts w:ascii="Arial" w:cs="Arial" w:eastAsia="Arial" w:hAnsi="Arial"/>
                <w:sz w:val="17"/>
                <w:szCs w:val="17"/>
                <w:color w:val="auto"/>
              </w:rPr>
              <w:t>Residential construction</w:t>
            </w:r>
          </w:p>
        </w:tc>
        <w:tc>
          <w:tcPr>
            <w:tcW w:w="120" w:type="dxa"/>
            <w:vAlign w:val="bottom"/>
            <w:shd w:val="clear" w:color="auto" w:fill="F0FFFF"/>
          </w:tcPr>
          <w:p>
            <w:pPr>
              <w:spacing w:after="0"/>
              <w:rPr>
                <w:sz w:val="17"/>
                <w:szCs w:val="17"/>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3,003</w:t>
            </w:r>
          </w:p>
        </w:tc>
        <w:tc>
          <w:tcPr>
            <w:tcW w:w="140" w:type="dxa"/>
            <w:vAlign w:val="bottom"/>
            <w:tcBorders>
              <w:lef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2,639</w:t>
            </w:r>
          </w:p>
        </w:tc>
        <w:tc>
          <w:tcPr>
            <w:tcW w:w="120" w:type="dxa"/>
            <w:vAlign w:val="bottom"/>
            <w:tcBorders>
              <w:lef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78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4,338</w:t>
            </w:r>
          </w:p>
        </w:tc>
        <w:tc>
          <w:tcPr>
            <w:tcW w:w="180" w:type="dxa"/>
            <w:vAlign w:val="bottom"/>
            <w:shd w:val="clear" w:color="auto" w:fill="F0FFFF"/>
          </w:tcPr>
          <w:p>
            <w:pPr>
              <w:spacing w:after="0"/>
              <w:rPr>
                <w:sz w:val="17"/>
                <w:szCs w:val="17"/>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3,338</w:t>
            </w: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F0FFFF"/>
          </w:tcPr>
          <w:p>
            <w:pPr>
              <w:spacing w:after="0"/>
              <w:rPr>
                <w:sz w:val="17"/>
                <w:szCs w:val="17"/>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6,474</w:t>
            </w:r>
          </w:p>
        </w:tc>
        <w:tc>
          <w:tcPr>
            <w:tcW w:w="140" w:type="dxa"/>
            <w:vAlign w:val="bottom"/>
            <w:tcBorders>
              <w:left w:val="single" w:sz="8" w:color="F0FFFF"/>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0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5,174</w:t>
            </w:r>
          </w:p>
        </w:tc>
        <w:tc>
          <w:tcPr>
            <w:tcW w:w="100" w:type="dxa"/>
            <w:vAlign w:val="bottom"/>
            <w:shd w:val="clear" w:color="auto" w:fill="F0FFFF"/>
          </w:tcPr>
          <w:p>
            <w:pPr>
              <w:spacing w:after="0"/>
              <w:rPr>
                <w:sz w:val="17"/>
                <w:szCs w:val="17"/>
                <w:color w:val="auto"/>
              </w:rPr>
            </w:pPr>
          </w:p>
        </w:tc>
        <w:tc>
          <w:tcPr>
            <w:tcW w:w="80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w:t>
            </w:r>
          </w:p>
        </w:tc>
      </w:tr>
      <w:tr>
        <w:trPr>
          <w:trHeight w:val="205"/>
        </w:trPr>
        <w:tc>
          <w:tcPr>
            <w:tcW w:w="3040" w:type="dxa"/>
            <w:vAlign w:val="bottom"/>
          </w:tcPr>
          <w:p>
            <w:pPr>
              <w:ind w:left="160"/>
              <w:spacing w:after="0"/>
              <w:rPr>
                <w:sz w:val="20"/>
                <w:szCs w:val="20"/>
                <w:color w:val="auto"/>
              </w:rPr>
            </w:pPr>
            <w:r>
              <w:rPr>
                <w:rFonts w:ascii="Arial" w:cs="Arial" w:eastAsia="Arial" w:hAnsi="Arial"/>
                <w:sz w:val="17"/>
                <w:szCs w:val="17"/>
                <w:color w:val="auto"/>
              </w:rPr>
              <w:t>Consumer installment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11"/>
        </w:trPr>
        <w:tc>
          <w:tcPr>
            <w:tcW w:w="3040" w:type="dxa"/>
            <w:vAlign w:val="bottom"/>
            <w:shd w:val="clear" w:color="auto" w:fill="F0FFFF"/>
          </w:tcPr>
          <w:p>
            <w:pPr>
              <w:ind w:left="160"/>
              <w:spacing w:after="0"/>
              <w:rPr>
                <w:sz w:val="20"/>
                <w:szCs w:val="20"/>
                <w:color w:val="auto"/>
              </w:rPr>
            </w:pPr>
            <w:r>
              <w:rPr>
                <w:rFonts w:ascii="Arial" w:cs="Arial" w:eastAsia="Arial" w:hAnsi="Arial"/>
                <w:sz w:val="17"/>
                <w:szCs w:val="17"/>
                <w:color w:val="auto"/>
              </w:rPr>
              <w:t>Indirect auto</w:t>
            </w:r>
          </w:p>
        </w:tc>
        <w:tc>
          <w:tcPr>
            <w:tcW w:w="120" w:type="dxa"/>
            <w:vAlign w:val="bottom"/>
            <w:shd w:val="clear" w:color="auto" w:fill="F0FFFF"/>
          </w:tcPr>
          <w:p>
            <w:pPr>
              <w:spacing w:after="0"/>
              <w:rPr>
                <w:sz w:val="18"/>
                <w:szCs w:val="18"/>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left w:val="single" w:sz="8" w:color="F0FFFF"/>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lef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8"/>
                <w:szCs w:val="18"/>
                <w:color w:val="auto"/>
              </w:rPr>
            </w:pPr>
          </w:p>
        </w:tc>
        <w:tc>
          <w:tcPr>
            <w:tcW w:w="78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F0FFFF"/>
          </w:tcPr>
          <w:p>
            <w:pPr>
              <w:spacing w:after="0"/>
              <w:rPr>
                <w:sz w:val="18"/>
                <w:szCs w:val="18"/>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left w:val="single" w:sz="8" w:color="F0FFFF"/>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8"/>
                <w:szCs w:val="18"/>
                <w:color w:val="auto"/>
              </w:rPr>
            </w:pPr>
          </w:p>
        </w:tc>
        <w:tc>
          <w:tcPr>
            <w:tcW w:w="80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w:t>
            </w:r>
          </w:p>
        </w:tc>
      </w:tr>
      <w:tr>
        <w:trPr>
          <w:trHeight w:val="193"/>
        </w:trPr>
        <w:tc>
          <w:tcPr>
            <w:tcW w:w="3040" w:type="dxa"/>
            <w:vAlign w:val="bottom"/>
            <w:tcBorders>
              <w:top w:val="single" w:sz="8" w:color="F0FFFF"/>
            </w:tcBorders>
          </w:tcPr>
          <w:p>
            <w:pPr>
              <w:ind w:left="320"/>
              <w:spacing w:after="0" w:line="193" w:lineRule="exact"/>
              <w:rPr>
                <w:sz w:val="20"/>
                <w:szCs w:val="20"/>
                <w:color w:val="auto"/>
              </w:rPr>
            </w:pPr>
            <w:r>
              <w:rPr>
                <w:rFonts w:ascii="Arial" w:cs="Arial" w:eastAsia="Arial" w:hAnsi="Arial"/>
                <w:sz w:val="17"/>
                <w:szCs w:val="17"/>
                <w:color w:val="auto"/>
              </w:rPr>
              <w:t>Total with no related allowance</w:t>
            </w: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40" w:type="dxa"/>
            <w:vAlign w:val="bottom"/>
            <w:tcBorders>
              <w:top w:val="single" w:sz="8" w:color="F0FF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Borders>
              <w:top w:val="single" w:sz="8" w:color="F0FF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F0FFFF"/>
            </w:tcBorders>
          </w:tcPr>
          <w:p>
            <w:pPr>
              <w:spacing w:after="0"/>
              <w:rPr>
                <w:sz w:val="16"/>
                <w:szCs w:val="16"/>
                <w:color w:val="auto"/>
              </w:rPr>
            </w:pPr>
          </w:p>
        </w:tc>
        <w:tc>
          <w:tcPr>
            <w:tcW w:w="80" w:type="dxa"/>
            <w:vAlign w:val="bottom"/>
            <w:tcBorders>
              <w:top w:val="single" w:sz="8" w:color="F0FF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Borders>
              <w:top w:val="single" w:sz="8" w:color="F0FF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Borders>
              <w:top w:val="single" w:sz="8" w:color="F0FF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40" w:type="dxa"/>
            <w:vAlign w:val="bottom"/>
            <w:tcBorders>
              <w:top w:val="single" w:sz="8" w:color="F0FF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Borders>
              <w:top w:val="single" w:sz="8" w:color="F0FFFF"/>
            </w:tcBorders>
          </w:tcPr>
          <w:p>
            <w:pPr>
              <w:spacing w:after="0"/>
              <w:rPr>
                <w:sz w:val="16"/>
                <w:szCs w:val="16"/>
                <w:color w:val="auto"/>
              </w:rPr>
            </w:pPr>
          </w:p>
        </w:tc>
      </w:tr>
      <w:tr>
        <w:trPr>
          <w:trHeight w:val="223"/>
        </w:trPr>
        <w:tc>
          <w:tcPr>
            <w:tcW w:w="3040" w:type="dxa"/>
            <w:vAlign w:val="bottom"/>
          </w:tcPr>
          <w:p>
            <w:pPr>
              <w:ind w:left="460"/>
              <w:spacing w:after="0"/>
              <w:rPr>
                <w:sz w:val="20"/>
                <w:szCs w:val="20"/>
                <w:color w:val="auto"/>
              </w:rPr>
            </w:pPr>
            <w:r>
              <w:rPr>
                <w:rFonts w:ascii="Arial" w:cs="Arial" w:eastAsia="Arial" w:hAnsi="Arial"/>
                <w:sz w:val="17"/>
                <w:szCs w:val="17"/>
                <w:color w:val="auto"/>
              </w:rPr>
              <w:t>recorded</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33,950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29,942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28,922</w:t>
            </w:r>
          </w:p>
        </w:tc>
        <w:tc>
          <w:tcPr>
            <w:tcW w:w="1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25,488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41,371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30,711</w:t>
            </w: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05"/>
        </w:trPr>
        <w:tc>
          <w:tcPr>
            <w:tcW w:w="3040" w:type="dxa"/>
            <w:vAlign w:val="bottom"/>
            <w:shd w:val="clear" w:color="auto" w:fill="F0FFFF"/>
          </w:tcPr>
          <w:p>
            <w:pPr>
              <w:spacing w:after="0"/>
              <w:rPr>
                <w:sz w:val="20"/>
                <w:szCs w:val="20"/>
                <w:color w:val="auto"/>
              </w:rPr>
            </w:pPr>
            <w:r>
              <w:rPr>
                <w:rFonts w:ascii="Arial" w:cs="Arial" w:eastAsia="Arial" w:hAnsi="Arial"/>
                <w:sz w:val="17"/>
                <w:szCs w:val="17"/>
                <w:color w:val="auto"/>
              </w:rPr>
              <w:t>With an allowance recorded:</w:t>
            </w:r>
          </w:p>
        </w:tc>
        <w:tc>
          <w:tcPr>
            <w:tcW w:w="120" w:type="dxa"/>
            <w:vAlign w:val="bottom"/>
            <w:tcBorders>
              <w:top w:val="single" w:sz="8" w:color="auto"/>
            </w:tcBorders>
            <w:shd w:val="clear" w:color="auto" w:fill="F0FFFF"/>
          </w:tcPr>
          <w:p>
            <w:pPr>
              <w:spacing w:after="0"/>
              <w:rPr>
                <w:sz w:val="17"/>
                <w:szCs w:val="17"/>
                <w:color w:val="auto"/>
              </w:rPr>
            </w:pPr>
          </w:p>
        </w:tc>
        <w:tc>
          <w:tcPr>
            <w:tcW w:w="580" w:type="dxa"/>
            <w:vAlign w:val="bottom"/>
            <w:tcBorders>
              <w:top w:val="single" w:sz="8" w:color="auto"/>
            </w:tcBorders>
            <w:shd w:val="clear" w:color="auto" w:fill="F0FFFF"/>
          </w:tcPr>
          <w:p>
            <w:pPr>
              <w:spacing w:after="0"/>
              <w:rPr>
                <w:sz w:val="17"/>
                <w:szCs w:val="17"/>
                <w:color w:val="auto"/>
              </w:rPr>
            </w:pPr>
          </w:p>
        </w:tc>
        <w:tc>
          <w:tcPr>
            <w:tcW w:w="140" w:type="dxa"/>
            <w:vAlign w:val="bottom"/>
            <w:tcBorders>
              <w:left w:val="single" w:sz="8" w:color="F0FFFF"/>
            </w:tcBorders>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660" w:type="dxa"/>
            <w:vAlign w:val="bottom"/>
            <w:tcBorders>
              <w:top w:val="single" w:sz="8" w:color="auto"/>
            </w:tcBorders>
            <w:shd w:val="clear" w:color="auto" w:fill="F0FFFF"/>
          </w:tcPr>
          <w:p>
            <w:pPr>
              <w:spacing w:after="0"/>
              <w:rPr>
                <w:sz w:val="17"/>
                <w:szCs w:val="17"/>
                <w:color w:val="auto"/>
              </w:rPr>
            </w:pPr>
          </w:p>
        </w:tc>
        <w:tc>
          <w:tcPr>
            <w:tcW w:w="120" w:type="dxa"/>
            <w:vAlign w:val="bottom"/>
            <w:tcBorders>
              <w:left w:val="single" w:sz="8" w:color="F0FFFF"/>
            </w:tcBorders>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720" w:type="dxa"/>
            <w:vAlign w:val="bottom"/>
            <w:tcBorders>
              <w:top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640" w:type="dxa"/>
            <w:vAlign w:val="bottom"/>
            <w:tcBorders>
              <w:top w:val="single" w:sz="8" w:color="auto"/>
            </w:tcBorders>
            <w:shd w:val="clear" w:color="auto" w:fill="F0FFFF"/>
          </w:tcPr>
          <w:p>
            <w:pPr>
              <w:spacing w:after="0"/>
              <w:rPr>
                <w:sz w:val="17"/>
                <w:szCs w:val="17"/>
                <w:color w:val="auto"/>
              </w:rPr>
            </w:pPr>
          </w:p>
        </w:tc>
        <w:tc>
          <w:tcPr>
            <w:tcW w:w="140" w:type="dxa"/>
            <w:vAlign w:val="bottom"/>
            <w:tcBorders>
              <w:right w:val="single" w:sz="8" w:color="F0FFFF"/>
            </w:tcBorders>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660" w:type="dxa"/>
            <w:vAlign w:val="bottom"/>
            <w:tcBorders>
              <w:top w:val="single" w:sz="8" w:color="auto"/>
            </w:tcBorders>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tcBorders>
              <w:top w:val="single" w:sz="8" w:color="auto"/>
            </w:tcBorders>
            <w:shd w:val="clear" w:color="auto" w:fill="F0FFFF"/>
          </w:tcPr>
          <w:p>
            <w:pPr>
              <w:spacing w:after="0"/>
              <w:rPr>
                <w:sz w:val="17"/>
                <w:szCs w:val="17"/>
                <w:color w:val="auto"/>
              </w:rPr>
            </w:pPr>
          </w:p>
        </w:tc>
        <w:tc>
          <w:tcPr>
            <w:tcW w:w="720" w:type="dxa"/>
            <w:vAlign w:val="bottom"/>
            <w:tcBorders>
              <w:top w:val="single" w:sz="8" w:color="auto"/>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0" w:type="dxa"/>
            <w:vAlign w:val="bottom"/>
            <w:tcBorders>
              <w:top w:val="single" w:sz="8" w:color="auto"/>
            </w:tcBorders>
            <w:shd w:val="clear" w:color="auto" w:fill="F0FFFF"/>
          </w:tcPr>
          <w:p>
            <w:pPr>
              <w:spacing w:after="0"/>
              <w:rPr>
                <w:sz w:val="17"/>
                <w:szCs w:val="17"/>
                <w:color w:val="auto"/>
              </w:rPr>
            </w:pPr>
          </w:p>
        </w:tc>
        <w:tc>
          <w:tcPr>
            <w:tcW w:w="680" w:type="dxa"/>
            <w:vAlign w:val="bottom"/>
            <w:tcBorders>
              <w:top w:val="single" w:sz="8" w:color="auto"/>
            </w:tcBorders>
            <w:shd w:val="clear" w:color="auto" w:fill="F0FFFF"/>
          </w:tcPr>
          <w:p>
            <w:pPr>
              <w:spacing w:after="0"/>
              <w:rPr>
                <w:sz w:val="17"/>
                <w:szCs w:val="17"/>
                <w:color w:val="auto"/>
              </w:rPr>
            </w:pPr>
          </w:p>
        </w:tc>
        <w:tc>
          <w:tcPr>
            <w:tcW w:w="140" w:type="dxa"/>
            <w:vAlign w:val="bottom"/>
            <w:tcBorders>
              <w:left w:val="single" w:sz="8" w:color="F0FFFF"/>
            </w:tcBorders>
            <w:shd w:val="clear" w:color="auto" w:fill="F0FFFF"/>
          </w:tcPr>
          <w:p>
            <w:pPr>
              <w:spacing w:after="0"/>
              <w:rPr>
                <w:sz w:val="17"/>
                <w:szCs w:val="17"/>
                <w:color w:val="auto"/>
              </w:rPr>
            </w:pPr>
          </w:p>
        </w:tc>
        <w:tc>
          <w:tcPr>
            <w:tcW w:w="200" w:type="dxa"/>
            <w:vAlign w:val="bottom"/>
            <w:tcBorders>
              <w:top w:val="single" w:sz="8" w:color="auto"/>
            </w:tcBorders>
            <w:shd w:val="clear" w:color="auto" w:fill="F0FFFF"/>
          </w:tcPr>
          <w:p>
            <w:pPr>
              <w:spacing w:after="0"/>
              <w:rPr>
                <w:sz w:val="17"/>
                <w:szCs w:val="17"/>
                <w:color w:val="auto"/>
              </w:rPr>
            </w:pPr>
          </w:p>
        </w:tc>
        <w:tc>
          <w:tcPr>
            <w:tcW w:w="660" w:type="dxa"/>
            <w:vAlign w:val="bottom"/>
            <w:tcBorders>
              <w:top w:val="single" w:sz="8" w:color="auto"/>
            </w:tcBorders>
            <w:shd w:val="clear" w:color="auto" w:fill="F0FFFF"/>
          </w:tcPr>
          <w:p>
            <w:pPr>
              <w:spacing w:after="0"/>
              <w:rPr>
                <w:sz w:val="17"/>
                <w:szCs w:val="17"/>
                <w:color w:val="auto"/>
              </w:rPr>
            </w:pPr>
          </w:p>
        </w:tc>
        <w:tc>
          <w:tcPr>
            <w:tcW w:w="140" w:type="dxa"/>
            <w:vAlign w:val="bottom"/>
            <w:tcBorders>
              <w:right w:val="single" w:sz="8" w:color="F0FFFF"/>
            </w:tcBorders>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720" w:type="dxa"/>
            <w:vAlign w:val="bottom"/>
            <w:tcBorders>
              <w:top w:val="single" w:sz="8" w:color="auto"/>
            </w:tcBorders>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r>
      <w:tr>
        <w:trPr>
          <w:trHeight w:val="205"/>
        </w:trPr>
        <w:tc>
          <w:tcPr>
            <w:tcW w:w="3040" w:type="dxa"/>
            <w:vAlign w:val="bottom"/>
          </w:tcPr>
          <w:p>
            <w:pPr>
              <w:ind w:left="160"/>
              <w:spacing w:after="0"/>
              <w:rPr>
                <w:sz w:val="20"/>
                <w:szCs w:val="20"/>
                <w:color w:val="auto"/>
              </w:rPr>
            </w:pPr>
            <w:r>
              <w:rPr>
                <w:rFonts w:ascii="Arial" w:cs="Arial" w:eastAsia="Arial" w:hAnsi="Arial"/>
                <w:sz w:val="17"/>
                <w:szCs w:val="17"/>
                <w:color w:val="auto"/>
                <w:w w:val="95"/>
              </w:rPr>
              <w:t>Owner occupied commercial real estate</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22,494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20,867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1,758</w:t>
            </w: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24,728</w:t>
            </w:r>
          </w:p>
        </w:tc>
        <w:tc>
          <w:tcPr>
            <w:tcW w:w="1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23,329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2,737</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15,157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17,072</w:t>
            </w:r>
          </w:p>
        </w:tc>
        <w:tc>
          <w:tcPr>
            <w:tcW w:w="1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855</w:t>
            </w:r>
          </w:p>
        </w:tc>
      </w:tr>
      <w:tr>
        <w:trPr>
          <w:trHeight w:val="205"/>
        </w:trPr>
        <w:tc>
          <w:tcPr>
            <w:tcW w:w="3040" w:type="dxa"/>
            <w:vAlign w:val="bottom"/>
            <w:shd w:val="clear" w:color="auto" w:fill="F0FFFF"/>
          </w:tcPr>
          <w:p>
            <w:pPr>
              <w:ind w:left="160"/>
              <w:spacing w:after="0"/>
              <w:rPr>
                <w:sz w:val="20"/>
                <w:szCs w:val="20"/>
                <w:color w:val="auto"/>
              </w:rPr>
            </w:pPr>
            <w:r>
              <w:rPr>
                <w:rFonts w:ascii="Arial" w:cs="Arial" w:eastAsia="Arial" w:hAnsi="Arial"/>
                <w:sz w:val="17"/>
                <w:szCs w:val="17"/>
                <w:color w:val="auto"/>
                <w:w w:val="91"/>
              </w:rPr>
              <w:t>Income producing commercial real estate</w:t>
            </w:r>
          </w:p>
        </w:tc>
        <w:tc>
          <w:tcPr>
            <w:tcW w:w="120" w:type="dxa"/>
            <w:vAlign w:val="bottom"/>
            <w:shd w:val="clear" w:color="auto" w:fill="F0FFFF"/>
          </w:tcPr>
          <w:p>
            <w:pPr>
              <w:spacing w:after="0"/>
              <w:rPr>
                <w:sz w:val="17"/>
                <w:szCs w:val="17"/>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12,789</w:t>
            </w:r>
          </w:p>
        </w:tc>
        <w:tc>
          <w:tcPr>
            <w:tcW w:w="140" w:type="dxa"/>
            <w:vAlign w:val="bottom"/>
            <w:tcBorders>
              <w:lef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12,783</w:t>
            </w:r>
          </w:p>
        </w:tc>
        <w:tc>
          <w:tcPr>
            <w:tcW w:w="120" w:type="dxa"/>
            <w:vAlign w:val="bottom"/>
            <w:tcBorders>
              <w:lef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866</w:t>
            </w:r>
          </w:p>
        </w:tc>
        <w:tc>
          <w:tcPr>
            <w:tcW w:w="100" w:type="dxa"/>
            <w:vAlign w:val="bottom"/>
            <w:shd w:val="clear" w:color="auto" w:fill="F0FFFF"/>
          </w:tcPr>
          <w:p>
            <w:pPr>
              <w:spacing w:after="0"/>
              <w:rPr>
                <w:sz w:val="17"/>
                <w:szCs w:val="17"/>
                <w:color w:val="auto"/>
              </w:rPr>
            </w:pPr>
          </w:p>
        </w:tc>
        <w:tc>
          <w:tcPr>
            <w:tcW w:w="78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16,352</w:t>
            </w:r>
          </w:p>
        </w:tc>
        <w:tc>
          <w:tcPr>
            <w:tcW w:w="180" w:type="dxa"/>
            <w:vAlign w:val="bottom"/>
            <w:shd w:val="clear" w:color="auto" w:fill="F0FFFF"/>
          </w:tcPr>
          <w:p>
            <w:pPr>
              <w:spacing w:after="0"/>
              <w:rPr>
                <w:sz w:val="17"/>
                <w:szCs w:val="17"/>
                <w:color w:val="auto"/>
              </w:rPr>
            </w:pP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16,173</w:t>
            </w: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1,917</w:t>
            </w:r>
          </w:p>
        </w:tc>
        <w:tc>
          <w:tcPr>
            <w:tcW w:w="80" w:type="dxa"/>
            <w:vAlign w:val="bottom"/>
            <w:shd w:val="clear" w:color="auto" w:fill="F0FFFF"/>
          </w:tcPr>
          <w:p>
            <w:pPr>
              <w:spacing w:after="0"/>
              <w:rPr>
                <w:sz w:val="17"/>
                <w:szCs w:val="17"/>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24,220</w:t>
            </w:r>
          </w:p>
        </w:tc>
        <w:tc>
          <w:tcPr>
            <w:tcW w:w="140" w:type="dxa"/>
            <w:vAlign w:val="bottom"/>
            <w:tcBorders>
              <w:left w:val="single" w:sz="8" w:color="F0FFFF"/>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0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20,084</w:t>
            </w:r>
          </w:p>
        </w:tc>
        <w:tc>
          <w:tcPr>
            <w:tcW w:w="100" w:type="dxa"/>
            <w:vAlign w:val="bottom"/>
            <w:shd w:val="clear" w:color="auto" w:fill="F0FFFF"/>
          </w:tcPr>
          <w:p>
            <w:pPr>
              <w:spacing w:after="0"/>
              <w:rPr>
                <w:sz w:val="17"/>
                <w:szCs w:val="17"/>
                <w:color w:val="auto"/>
              </w:rPr>
            </w:pPr>
          </w:p>
        </w:tc>
        <w:tc>
          <w:tcPr>
            <w:tcW w:w="80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2,404</w:t>
            </w:r>
          </w:p>
        </w:tc>
      </w:tr>
      <w:tr>
        <w:trPr>
          <w:trHeight w:val="205"/>
        </w:trPr>
        <w:tc>
          <w:tcPr>
            <w:tcW w:w="3040" w:type="dxa"/>
            <w:vAlign w:val="bottom"/>
          </w:tcPr>
          <w:p>
            <w:pPr>
              <w:ind w:left="160"/>
              <w:spacing w:after="0"/>
              <w:rPr>
                <w:sz w:val="20"/>
                <w:szCs w:val="20"/>
                <w:color w:val="auto"/>
              </w:rPr>
            </w:pPr>
            <w:r>
              <w:rPr>
                <w:rFonts w:ascii="Arial" w:cs="Arial" w:eastAsia="Arial" w:hAnsi="Arial"/>
                <w:sz w:val="17"/>
                <w:szCs w:val="17"/>
                <w:color w:val="auto"/>
              </w:rPr>
              <w:t>Commercial &amp; industrial</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2,945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2,937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2,936</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2,935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2,598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2,316</w:t>
            </w:r>
          </w:p>
        </w:tc>
        <w:tc>
          <w:tcPr>
            <w:tcW w:w="1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253</w:t>
            </w:r>
          </w:p>
        </w:tc>
      </w:tr>
      <w:tr>
        <w:trPr>
          <w:trHeight w:val="205"/>
        </w:trPr>
        <w:tc>
          <w:tcPr>
            <w:tcW w:w="3040" w:type="dxa"/>
            <w:vAlign w:val="bottom"/>
            <w:shd w:val="clear" w:color="auto" w:fill="F0FFFF"/>
          </w:tcPr>
          <w:p>
            <w:pPr>
              <w:ind w:left="160"/>
              <w:spacing w:after="0"/>
              <w:rPr>
                <w:sz w:val="20"/>
                <w:szCs w:val="20"/>
                <w:color w:val="auto"/>
              </w:rPr>
            </w:pPr>
            <w:r>
              <w:rPr>
                <w:rFonts w:ascii="Arial" w:cs="Arial" w:eastAsia="Arial" w:hAnsi="Arial"/>
                <w:sz w:val="17"/>
                <w:szCs w:val="17"/>
                <w:color w:val="auto"/>
              </w:rPr>
              <w:t>Commercial construction</w:t>
            </w:r>
          </w:p>
        </w:tc>
        <w:tc>
          <w:tcPr>
            <w:tcW w:w="120" w:type="dxa"/>
            <w:vAlign w:val="bottom"/>
            <w:shd w:val="clear" w:color="auto" w:fill="F0FFFF"/>
          </w:tcPr>
          <w:p>
            <w:pPr>
              <w:spacing w:after="0"/>
              <w:rPr>
                <w:sz w:val="17"/>
                <w:szCs w:val="17"/>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12,302</w:t>
            </w:r>
          </w:p>
        </w:tc>
        <w:tc>
          <w:tcPr>
            <w:tcW w:w="140" w:type="dxa"/>
            <w:vAlign w:val="bottom"/>
            <w:tcBorders>
              <w:lef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12,222</w:t>
            </w:r>
          </w:p>
        </w:tc>
        <w:tc>
          <w:tcPr>
            <w:tcW w:w="120" w:type="dxa"/>
            <w:vAlign w:val="bottom"/>
            <w:tcBorders>
              <w:lef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598</w:t>
            </w:r>
          </w:p>
        </w:tc>
        <w:tc>
          <w:tcPr>
            <w:tcW w:w="100" w:type="dxa"/>
            <w:vAlign w:val="bottom"/>
            <w:shd w:val="clear" w:color="auto" w:fill="F0FFFF"/>
          </w:tcPr>
          <w:p>
            <w:pPr>
              <w:spacing w:after="0"/>
              <w:rPr>
                <w:sz w:val="17"/>
                <w:szCs w:val="17"/>
                <w:color w:val="auto"/>
              </w:rPr>
            </w:pPr>
          </w:p>
        </w:tc>
        <w:tc>
          <w:tcPr>
            <w:tcW w:w="78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12,401</w:t>
            </w:r>
          </w:p>
        </w:tc>
        <w:tc>
          <w:tcPr>
            <w:tcW w:w="180" w:type="dxa"/>
            <w:vAlign w:val="bottom"/>
            <w:shd w:val="clear" w:color="auto" w:fill="F0FFFF"/>
          </w:tcPr>
          <w:p>
            <w:pPr>
              <w:spacing w:after="0"/>
              <w:rPr>
                <w:sz w:val="17"/>
                <w:szCs w:val="17"/>
                <w:color w:val="auto"/>
              </w:rPr>
            </w:pP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12,321</w:t>
            </w: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729</w:t>
            </w:r>
          </w:p>
        </w:tc>
        <w:tc>
          <w:tcPr>
            <w:tcW w:w="80" w:type="dxa"/>
            <w:vAlign w:val="bottom"/>
            <w:shd w:val="clear" w:color="auto" w:fill="F0FFFF"/>
          </w:tcPr>
          <w:p>
            <w:pPr>
              <w:spacing w:after="0"/>
              <w:rPr>
                <w:sz w:val="17"/>
                <w:szCs w:val="17"/>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11,079</w:t>
            </w:r>
          </w:p>
        </w:tc>
        <w:tc>
          <w:tcPr>
            <w:tcW w:w="140" w:type="dxa"/>
            <w:vAlign w:val="bottom"/>
            <w:tcBorders>
              <w:left w:val="single" w:sz="8" w:color="F0FFFF"/>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0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11,000</w:t>
            </w:r>
          </w:p>
        </w:tc>
        <w:tc>
          <w:tcPr>
            <w:tcW w:w="100" w:type="dxa"/>
            <w:vAlign w:val="bottom"/>
            <w:shd w:val="clear" w:color="auto" w:fill="F0FFFF"/>
          </w:tcPr>
          <w:p>
            <w:pPr>
              <w:spacing w:after="0"/>
              <w:rPr>
                <w:sz w:val="17"/>
                <w:szCs w:val="17"/>
                <w:color w:val="auto"/>
              </w:rPr>
            </w:pPr>
          </w:p>
        </w:tc>
        <w:tc>
          <w:tcPr>
            <w:tcW w:w="80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469</w:t>
            </w:r>
          </w:p>
        </w:tc>
      </w:tr>
      <w:tr>
        <w:trPr>
          <w:trHeight w:val="26"/>
        </w:trPr>
        <w:tc>
          <w:tcPr>
            <w:tcW w:w="30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Borders>
              <w:lef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Borders>
              <w:lef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Borders>
              <w:left w:val="single" w:sz="8" w:color="F0FFFF"/>
            </w:tcBorders>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r>
      <w:tr>
        <w:trPr>
          <w:trHeight w:val="205"/>
        </w:trPr>
        <w:tc>
          <w:tcPr>
            <w:tcW w:w="3040" w:type="dxa"/>
            <w:vAlign w:val="bottom"/>
          </w:tcPr>
          <w:p>
            <w:pPr>
              <w:ind w:left="320"/>
              <w:spacing w:after="0"/>
              <w:rPr>
                <w:sz w:val="20"/>
                <w:szCs w:val="20"/>
                <w:color w:val="auto"/>
              </w:rPr>
            </w:pPr>
            <w:r>
              <w:rPr>
                <w:rFonts w:ascii="Arial" w:cs="Arial" w:eastAsia="Arial" w:hAnsi="Arial"/>
                <w:sz w:val="17"/>
                <w:szCs w:val="17"/>
                <w:color w:val="auto"/>
              </w:rPr>
              <w:t>Total commercial</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50,530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48,809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3,230</w:t>
            </w: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56,417</w:t>
            </w:r>
          </w:p>
        </w:tc>
        <w:tc>
          <w:tcPr>
            <w:tcW w:w="1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54,758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5,398</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53,054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50,472</w:t>
            </w:r>
          </w:p>
        </w:tc>
        <w:tc>
          <w:tcPr>
            <w:tcW w:w="1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3,981</w:t>
            </w:r>
          </w:p>
        </w:tc>
      </w:tr>
      <w:tr>
        <w:trPr>
          <w:trHeight w:val="205"/>
        </w:trPr>
        <w:tc>
          <w:tcPr>
            <w:tcW w:w="3040" w:type="dxa"/>
            <w:vAlign w:val="bottom"/>
            <w:shd w:val="clear" w:color="auto" w:fill="F0FFFF"/>
          </w:tcPr>
          <w:p>
            <w:pPr>
              <w:ind w:left="160"/>
              <w:spacing w:after="0"/>
              <w:rPr>
                <w:sz w:val="20"/>
                <w:szCs w:val="20"/>
                <w:color w:val="auto"/>
              </w:rPr>
            </w:pPr>
            <w:r>
              <w:rPr>
                <w:rFonts w:ascii="Arial" w:cs="Arial" w:eastAsia="Arial" w:hAnsi="Arial"/>
                <w:sz w:val="17"/>
                <w:szCs w:val="17"/>
                <w:color w:val="auto"/>
              </w:rPr>
              <w:t>Residential mortgage</w:t>
            </w:r>
          </w:p>
        </w:tc>
        <w:tc>
          <w:tcPr>
            <w:tcW w:w="120" w:type="dxa"/>
            <w:vAlign w:val="bottom"/>
            <w:shd w:val="clear" w:color="auto" w:fill="F0FFFF"/>
          </w:tcPr>
          <w:p>
            <w:pPr>
              <w:spacing w:after="0"/>
              <w:rPr>
                <w:sz w:val="17"/>
                <w:szCs w:val="17"/>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21,872</w:t>
            </w:r>
          </w:p>
        </w:tc>
        <w:tc>
          <w:tcPr>
            <w:tcW w:w="140" w:type="dxa"/>
            <w:vAlign w:val="bottom"/>
            <w:tcBorders>
              <w:lef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20,141</w:t>
            </w:r>
          </w:p>
        </w:tc>
        <w:tc>
          <w:tcPr>
            <w:tcW w:w="120" w:type="dxa"/>
            <w:vAlign w:val="bottom"/>
            <w:tcBorders>
              <w:lef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3,174</w:t>
            </w:r>
          </w:p>
        </w:tc>
        <w:tc>
          <w:tcPr>
            <w:tcW w:w="100" w:type="dxa"/>
            <w:vAlign w:val="bottom"/>
            <w:shd w:val="clear" w:color="auto" w:fill="F0FFFF"/>
          </w:tcPr>
          <w:p>
            <w:pPr>
              <w:spacing w:after="0"/>
              <w:rPr>
                <w:sz w:val="17"/>
                <w:szCs w:val="17"/>
                <w:color w:val="auto"/>
              </w:rPr>
            </w:pPr>
          </w:p>
        </w:tc>
        <w:tc>
          <w:tcPr>
            <w:tcW w:w="78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17,732</w:t>
            </w:r>
          </w:p>
        </w:tc>
        <w:tc>
          <w:tcPr>
            <w:tcW w:w="180" w:type="dxa"/>
            <w:vAlign w:val="bottom"/>
            <w:shd w:val="clear" w:color="auto" w:fill="F0FFFF"/>
          </w:tcPr>
          <w:p>
            <w:pPr>
              <w:spacing w:after="0"/>
              <w:rPr>
                <w:sz w:val="17"/>
                <w:szCs w:val="17"/>
                <w:color w:val="auto"/>
              </w:rPr>
            </w:pPr>
          </w:p>
        </w:tc>
        <w:tc>
          <w:tcPr>
            <w:tcW w:w="74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17,303</w:t>
            </w: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3,227</w:t>
            </w:r>
          </w:p>
        </w:tc>
        <w:tc>
          <w:tcPr>
            <w:tcW w:w="80" w:type="dxa"/>
            <w:vAlign w:val="bottom"/>
            <w:shd w:val="clear" w:color="auto" w:fill="F0FFFF"/>
          </w:tcPr>
          <w:p>
            <w:pPr>
              <w:spacing w:after="0"/>
              <w:rPr>
                <w:sz w:val="17"/>
                <w:szCs w:val="17"/>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16,688</w:t>
            </w:r>
          </w:p>
        </w:tc>
        <w:tc>
          <w:tcPr>
            <w:tcW w:w="140" w:type="dxa"/>
            <w:vAlign w:val="bottom"/>
            <w:tcBorders>
              <w:left w:val="single" w:sz="8" w:color="F0FFFF"/>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0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15,939</w:t>
            </w:r>
          </w:p>
        </w:tc>
        <w:tc>
          <w:tcPr>
            <w:tcW w:w="100" w:type="dxa"/>
            <w:vAlign w:val="bottom"/>
            <w:shd w:val="clear" w:color="auto" w:fill="F0FFFF"/>
          </w:tcPr>
          <w:p>
            <w:pPr>
              <w:spacing w:after="0"/>
              <w:rPr>
                <w:sz w:val="17"/>
                <w:szCs w:val="17"/>
                <w:color w:val="auto"/>
              </w:rPr>
            </w:pPr>
          </w:p>
        </w:tc>
        <w:tc>
          <w:tcPr>
            <w:tcW w:w="80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3,079</w:t>
            </w:r>
          </w:p>
        </w:tc>
      </w:tr>
      <w:tr>
        <w:trPr>
          <w:trHeight w:val="205"/>
        </w:trPr>
        <w:tc>
          <w:tcPr>
            <w:tcW w:w="3040" w:type="dxa"/>
            <w:vAlign w:val="bottom"/>
          </w:tcPr>
          <w:p>
            <w:pPr>
              <w:ind w:left="160"/>
              <w:spacing w:after="0"/>
              <w:rPr>
                <w:sz w:val="20"/>
                <w:szCs w:val="20"/>
                <w:color w:val="auto"/>
              </w:rPr>
            </w:pPr>
            <w:r>
              <w:rPr>
                <w:rFonts w:ascii="Arial" w:cs="Arial" w:eastAsia="Arial" w:hAnsi="Arial"/>
                <w:sz w:val="17"/>
                <w:szCs w:val="17"/>
                <w:color w:val="auto"/>
              </w:rPr>
              <w:t>Home equity lines of credit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478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478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478</w:t>
            </w:r>
          </w:p>
        </w:tc>
        <w:tc>
          <w:tcPr>
            <w:tcW w:w="1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478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47</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505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505</w:t>
            </w:r>
          </w:p>
        </w:tc>
        <w:tc>
          <w:tcPr>
            <w:tcW w:w="1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67</w:t>
            </w:r>
          </w:p>
        </w:tc>
      </w:tr>
      <w:tr>
        <w:trPr>
          <w:trHeight w:val="205"/>
        </w:trPr>
        <w:tc>
          <w:tcPr>
            <w:tcW w:w="3040" w:type="dxa"/>
            <w:vAlign w:val="bottom"/>
            <w:shd w:val="clear" w:color="auto" w:fill="F0FFFF"/>
          </w:tcPr>
          <w:p>
            <w:pPr>
              <w:ind w:left="160"/>
              <w:spacing w:after="0"/>
              <w:rPr>
                <w:sz w:val="20"/>
                <w:szCs w:val="20"/>
                <w:color w:val="auto"/>
              </w:rPr>
            </w:pPr>
            <w:r>
              <w:rPr>
                <w:rFonts w:ascii="Arial" w:cs="Arial" w:eastAsia="Arial" w:hAnsi="Arial"/>
                <w:sz w:val="17"/>
                <w:szCs w:val="17"/>
                <w:color w:val="auto"/>
              </w:rPr>
              <w:t>Residential construction</w:t>
            </w:r>
          </w:p>
        </w:tc>
        <w:tc>
          <w:tcPr>
            <w:tcW w:w="120" w:type="dxa"/>
            <w:vAlign w:val="bottom"/>
            <w:shd w:val="clear" w:color="auto" w:fill="F0FFFF"/>
          </w:tcPr>
          <w:p>
            <w:pPr>
              <w:spacing w:after="0"/>
              <w:rPr>
                <w:sz w:val="17"/>
                <w:szCs w:val="17"/>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9,180</w:t>
            </w:r>
          </w:p>
        </w:tc>
        <w:tc>
          <w:tcPr>
            <w:tcW w:w="140" w:type="dxa"/>
            <w:vAlign w:val="bottom"/>
            <w:tcBorders>
              <w:lef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7,388</w:t>
            </w:r>
          </w:p>
        </w:tc>
        <w:tc>
          <w:tcPr>
            <w:tcW w:w="120" w:type="dxa"/>
            <w:vAlign w:val="bottom"/>
            <w:tcBorders>
              <w:lef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1,152</w:t>
            </w:r>
          </w:p>
        </w:tc>
        <w:tc>
          <w:tcPr>
            <w:tcW w:w="100" w:type="dxa"/>
            <w:vAlign w:val="bottom"/>
            <w:shd w:val="clear" w:color="auto" w:fill="F0FFFF"/>
          </w:tcPr>
          <w:p>
            <w:pPr>
              <w:spacing w:after="0"/>
              <w:rPr>
                <w:sz w:val="17"/>
                <w:szCs w:val="17"/>
                <w:color w:val="auto"/>
              </w:rPr>
            </w:pPr>
          </w:p>
        </w:tc>
        <w:tc>
          <w:tcPr>
            <w:tcW w:w="78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8,962</w:t>
            </w:r>
          </w:p>
        </w:tc>
        <w:tc>
          <w:tcPr>
            <w:tcW w:w="180" w:type="dxa"/>
            <w:vAlign w:val="bottom"/>
            <w:shd w:val="clear" w:color="auto" w:fill="F0FFFF"/>
          </w:tcPr>
          <w:p>
            <w:pPr>
              <w:spacing w:after="0"/>
              <w:rPr>
                <w:sz w:val="17"/>
                <w:szCs w:val="17"/>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8,266</w:t>
            </w: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1,192</w:t>
            </w:r>
          </w:p>
        </w:tc>
        <w:tc>
          <w:tcPr>
            <w:tcW w:w="80" w:type="dxa"/>
            <w:vAlign w:val="bottom"/>
            <w:shd w:val="clear" w:color="auto" w:fill="F0FFFF"/>
          </w:tcPr>
          <w:p>
            <w:pPr>
              <w:spacing w:after="0"/>
              <w:rPr>
                <w:sz w:val="17"/>
                <w:szCs w:val="17"/>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8,615</w:t>
            </w:r>
          </w:p>
        </w:tc>
        <w:tc>
          <w:tcPr>
            <w:tcW w:w="140" w:type="dxa"/>
            <w:vAlign w:val="bottom"/>
            <w:tcBorders>
              <w:left w:val="single" w:sz="8" w:color="F0FFFF"/>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0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7,235</w:t>
            </w:r>
          </w:p>
        </w:tc>
        <w:tc>
          <w:tcPr>
            <w:tcW w:w="100" w:type="dxa"/>
            <w:vAlign w:val="bottom"/>
            <w:shd w:val="clear" w:color="auto" w:fill="F0FFFF"/>
          </w:tcPr>
          <w:p>
            <w:pPr>
              <w:spacing w:after="0"/>
              <w:rPr>
                <w:sz w:val="17"/>
                <w:szCs w:val="17"/>
                <w:color w:val="auto"/>
              </w:rPr>
            </w:pPr>
          </w:p>
        </w:tc>
        <w:tc>
          <w:tcPr>
            <w:tcW w:w="80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1,253</w:t>
            </w:r>
          </w:p>
        </w:tc>
      </w:tr>
      <w:tr>
        <w:trPr>
          <w:trHeight w:val="205"/>
        </w:trPr>
        <w:tc>
          <w:tcPr>
            <w:tcW w:w="3040" w:type="dxa"/>
            <w:vAlign w:val="bottom"/>
          </w:tcPr>
          <w:p>
            <w:pPr>
              <w:ind w:left="160"/>
              <w:spacing w:after="0"/>
              <w:rPr>
                <w:sz w:val="20"/>
                <w:szCs w:val="20"/>
                <w:color w:val="auto"/>
              </w:rPr>
            </w:pPr>
            <w:r>
              <w:rPr>
                <w:rFonts w:ascii="Arial" w:cs="Arial" w:eastAsia="Arial" w:hAnsi="Arial"/>
                <w:sz w:val="17"/>
                <w:szCs w:val="17"/>
                <w:color w:val="auto"/>
              </w:rPr>
              <w:t>Consumer installment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179</w:t>
            </w:r>
          </w:p>
        </w:tc>
        <w:tc>
          <w:tcPr>
            <w:tcW w:w="1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179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360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258</w:t>
            </w:r>
          </w:p>
        </w:tc>
        <w:tc>
          <w:tcPr>
            <w:tcW w:w="1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19</w:t>
            </w:r>
          </w:p>
        </w:tc>
      </w:tr>
      <w:tr>
        <w:trPr>
          <w:trHeight w:val="205"/>
        </w:trPr>
        <w:tc>
          <w:tcPr>
            <w:tcW w:w="3040" w:type="dxa"/>
            <w:vAlign w:val="bottom"/>
            <w:shd w:val="clear" w:color="auto" w:fill="F0FFFF"/>
          </w:tcPr>
          <w:p>
            <w:pPr>
              <w:ind w:left="160"/>
              <w:spacing w:after="0"/>
              <w:rPr>
                <w:sz w:val="20"/>
                <w:szCs w:val="20"/>
                <w:color w:val="auto"/>
              </w:rPr>
            </w:pPr>
            <w:r>
              <w:rPr>
                <w:rFonts w:ascii="Arial" w:cs="Arial" w:eastAsia="Arial" w:hAnsi="Arial"/>
                <w:sz w:val="17"/>
                <w:szCs w:val="17"/>
                <w:color w:val="auto"/>
              </w:rPr>
              <w:t>Indirect auto</w:t>
            </w:r>
          </w:p>
        </w:tc>
        <w:tc>
          <w:tcPr>
            <w:tcW w:w="120" w:type="dxa"/>
            <w:vAlign w:val="bottom"/>
            <w:shd w:val="clear" w:color="auto" w:fill="F0FFFF"/>
          </w:tcPr>
          <w:p>
            <w:pPr>
              <w:spacing w:after="0"/>
              <w:rPr>
                <w:sz w:val="17"/>
                <w:szCs w:val="17"/>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lef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lef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78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F0FFFF"/>
          </w:tcPr>
          <w:p>
            <w:pPr>
              <w:spacing w:after="0"/>
              <w:rPr>
                <w:sz w:val="17"/>
                <w:szCs w:val="17"/>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F0FFFF"/>
          </w:tcPr>
          <w:p>
            <w:pPr>
              <w:spacing w:after="0"/>
              <w:rPr>
                <w:sz w:val="17"/>
                <w:szCs w:val="17"/>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left w:val="single" w:sz="8" w:color="F0FFFF"/>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0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80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w:t>
            </w:r>
          </w:p>
        </w:tc>
      </w:tr>
      <w:tr>
        <w:trPr>
          <w:trHeight w:val="26"/>
        </w:trPr>
        <w:tc>
          <w:tcPr>
            <w:tcW w:w="30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Borders>
              <w:lef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Borders>
              <w:lef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Borders>
              <w:left w:val="single" w:sz="8" w:color="F0FFFF"/>
            </w:tcBorders>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r>
      <w:tr>
        <w:trPr>
          <w:trHeight w:val="205"/>
        </w:trPr>
        <w:tc>
          <w:tcPr>
            <w:tcW w:w="3040" w:type="dxa"/>
            <w:vAlign w:val="bottom"/>
          </w:tcPr>
          <w:p>
            <w:pPr>
              <w:ind w:left="320"/>
              <w:spacing w:after="0"/>
              <w:rPr>
                <w:sz w:val="20"/>
                <w:szCs w:val="20"/>
                <w:color w:val="auto"/>
              </w:rPr>
            </w:pPr>
            <w:r>
              <w:rPr>
                <w:rFonts w:ascii="Arial" w:cs="Arial" w:eastAsia="Arial" w:hAnsi="Arial"/>
                <w:sz w:val="17"/>
                <w:szCs w:val="17"/>
                <w:color w:val="auto"/>
              </w:rPr>
              <w:t>Total with an allowance recorded</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82,211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76,964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7,594</w:t>
            </w: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83,768</w:t>
            </w:r>
          </w:p>
        </w:tc>
        <w:tc>
          <w:tcPr>
            <w:tcW w:w="18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80,984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9,882</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79,222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74,409</w:t>
            </w:r>
          </w:p>
        </w:tc>
        <w:tc>
          <w:tcPr>
            <w:tcW w:w="1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8,399</w:t>
            </w:r>
          </w:p>
        </w:tc>
      </w:tr>
      <w:tr>
        <w:trPr>
          <w:trHeight w:val="26"/>
        </w:trPr>
        <w:tc>
          <w:tcPr>
            <w:tcW w:w="3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5"/>
        </w:trPr>
        <w:tc>
          <w:tcPr>
            <w:tcW w:w="3040" w:type="dxa"/>
            <w:vAlign w:val="bottom"/>
            <w:shd w:val="clear" w:color="auto" w:fill="F0FFFF"/>
          </w:tcPr>
          <w:p>
            <w:pPr>
              <w:ind w:left="46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F0FFFF"/>
          </w:tcPr>
          <w:p>
            <w:pPr>
              <w:spacing w:after="0"/>
              <w:rPr>
                <w:sz w:val="20"/>
                <w:szCs w:val="20"/>
                <w:color w:val="auto"/>
              </w:rPr>
            </w:pPr>
            <w:r>
              <w:rPr>
                <w:rFonts w:ascii="Arial" w:cs="Arial" w:eastAsia="Arial" w:hAnsi="Arial"/>
                <w:sz w:val="17"/>
                <w:szCs w:val="17"/>
                <w:color w:val="auto"/>
              </w:rPr>
              <w:t>$</w:t>
            </w:r>
          </w:p>
        </w:tc>
        <w:tc>
          <w:tcPr>
            <w:tcW w:w="580" w:type="dxa"/>
            <w:vAlign w:val="bottom"/>
            <w:shd w:val="clear" w:color="auto" w:fill="F0FFFF"/>
          </w:tcPr>
          <w:p>
            <w:pPr>
              <w:jc w:val="right"/>
              <w:spacing w:after="0"/>
              <w:rPr>
                <w:sz w:val="20"/>
                <w:szCs w:val="20"/>
                <w:color w:val="auto"/>
              </w:rPr>
            </w:pPr>
            <w:r>
              <w:rPr>
                <w:rFonts w:ascii="Arial" w:cs="Arial" w:eastAsia="Arial" w:hAnsi="Arial"/>
                <w:sz w:val="17"/>
                <w:szCs w:val="17"/>
                <w:color w:val="auto"/>
                <w:w w:val="91"/>
              </w:rPr>
              <w:t>116,161</w:t>
            </w:r>
          </w:p>
        </w:tc>
        <w:tc>
          <w:tcPr>
            <w:tcW w:w="320" w:type="dxa"/>
            <w:vAlign w:val="bottom"/>
            <w:tcBorders>
              <w:left w:val="single" w:sz="8" w:color="F0FFFF"/>
            </w:tcBorders>
            <w:gridSpan w:val="2"/>
            <w:shd w:val="clear" w:color="auto" w:fill="F0FFFF"/>
          </w:tcPr>
          <w:p>
            <w:pPr>
              <w:ind w:left="140"/>
              <w:spacing w:after="0"/>
              <w:rPr>
                <w:sz w:val="20"/>
                <w:szCs w:val="20"/>
                <w:color w:val="auto"/>
              </w:rPr>
            </w:pPr>
            <w:r>
              <w:rPr>
                <w:rFonts w:ascii="Arial" w:cs="Arial" w:eastAsia="Arial" w:hAnsi="Arial"/>
                <w:sz w:val="17"/>
                <w:szCs w:val="17"/>
                <w:color w:val="auto"/>
              </w:rPr>
              <w:t>$</w:t>
            </w:r>
          </w:p>
        </w:tc>
        <w:tc>
          <w:tcPr>
            <w:tcW w:w="6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106,906</w:t>
            </w:r>
          </w:p>
        </w:tc>
        <w:tc>
          <w:tcPr>
            <w:tcW w:w="220" w:type="dxa"/>
            <w:vAlign w:val="bottom"/>
            <w:tcBorders>
              <w:left w:val="single" w:sz="8" w:color="F0FFFF"/>
            </w:tcBorders>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7,594</w:t>
            </w:r>
          </w:p>
        </w:tc>
        <w:tc>
          <w:tcPr>
            <w:tcW w:w="10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112,690</w:t>
            </w:r>
          </w:p>
        </w:tc>
        <w:tc>
          <w:tcPr>
            <w:tcW w:w="180" w:type="dxa"/>
            <w:vAlign w:val="bottom"/>
            <w:shd w:val="clear" w:color="auto" w:fill="F0FFFF"/>
          </w:tcPr>
          <w:p>
            <w:pPr>
              <w:spacing w:after="0"/>
              <w:rPr>
                <w:sz w:val="20"/>
                <w:szCs w:val="20"/>
                <w:color w:val="auto"/>
              </w:rPr>
            </w:pPr>
            <w:r>
              <w:rPr>
                <w:rFonts w:ascii="Arial" w:cs="Arial" w:eastAsia="Arial" w:hAnsi="Arial"/>
                <w:sz w:val="17"/>
                <w:szCs w:val="17"/>
                <w:color w:val="auto"/>
              </w:rPr>
              <w:t>$</w:t>
            </w:r>
          </w:p>
        </w:tc>
        <w:tc>
          <w:tcPr>
            <w:tcW w:w="6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106,472</w:t>
            </w:r>
          </w:p>
        </w:tc>
        <w:tc>
          <w:tcPr>
            <w:tcW w:w="80" w:type="dxa"/>
            <w:vAlign w:val="bottom"/>
            <w:shd w:val="clear" w:color="auto" w:fill="F0FFFF"/>
          </w:tcPr>
          <w:p>
            <w:pPr>
              <w:spacing w:after="0"/>
              <w:rPr>
                <w:sz w:val="19"/>
                <w:szCs w:val="19"/>
                <w:color w:val="auto"/>
              </w:rPr>
            </w:pP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9,882</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120,593</w:t>
            </w:r>
          </w:p>
        </w:tc>
        <w:tc>
          <w:tcPr>
            <w:tcW w:w="340" w:type="dxa"/>
            <w:vAlign w:val="bottom"/>
            <w:tcBorders>
              <w:left w:val="single" w:sz="8" w:color="F0FFFF"/>
            </w:tcBorders>
            <w:gridSpan w:val="2"/>
            <w:shd w:val="clear" w:color="auto" w:fill="F0FFFF"/>
          </w:tcPr>
          <w:p>
            <w:pPr>
              <w:ind w:left="140"/>
              <w:spacing w:after="0"/>
              <w:rPr>
                <w:sz w:val="20"/>
                <w:szCs w:val="20"/>
                <w:color w:val="auto"/>
              </w:rPr>
            </w:pPr>
            <w:r>
              <w:rPr>
                <w:rFonts w:ascii="Arial" w:cs="Arial" w:eastAsia="Arial" w:hAnsi="Arial"/>
                <w:sz w:val="17"/>
                <w:szCs w:val="17"/>
                <w:color w:val="auto"/>
              </w:rPr>
              <w:t>$</w:t>
            </w:r>
          </w:p>
        </w:tc>
        <w:tc>
          <w:tcPr>
            <w:tcW w:w="800" w:type="dxa"/>
            <w:vAlign w:val="bottom"/>
            <w:tcBorders>
              <w:right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105,120</w:t>
            </w:r>
          </w:p>
        </w:tc>
        <w:tc>
          <w:tcPr>
            <w:tcW w:w="10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8,399</w:t>
            </w:r>
          </w:p>
        </w:tc>
      </w:tr>
      <w:tr>
        <w:trPr>
          <w:trHeight w:val="20"/>
        </w:trPr>
        <w:tc>
          <w:tcPr>
            <w:tcW w:w="30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left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left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left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r>
    </w:tbl>
    <w:p>
      <w:pPr>
        <w:spacing w:after="0" w:line="193"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There were no loans more than 90 days past due and still accruing interest at March 31, 2015, December 31, 2014 or March 31, 2014. Nonaccrual loans include both homogeneous loans that are collectively evaluated for impairment and individually evaluated impaired loans. 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outstanding principal.</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gross additional interest revenue that would have been earned if the loans classified as nonaccrual had performed in accordance with the original terms was approximately $260,000 and $460,000 for the three months ended March 31, 2015 and 2014, respectively. The gross additional interest revenue that would have been earned for the three months ended March 31, 2015 and 2014 had performing TDRs performed in accordance with the original terms is immaterial.</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The average balances of impaired loans and income recognized on impaired loans while they were considered impaired are presented below for the three months ended March 31, 2015 and 2014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89"/>
              </w:rPr>
              <w:t>2015</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3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60"/>
              <w:spacing w:after="0" w:line="189" w:lineRule="exact"/>
              <w:rPr>
                <w:sz w:val="20"/>
                <w:szCs w:val="20"/>
                <w:color w:val="auto"/>
              </w:rPr>
            </w:pPr>
            <w:r>
              <w:rPr>
                <w:rFonts w:ascii="Arial" w:cs="Arial" w:eastAsia="Arial" w:hAnsi="Arial"/>
                <w:sz w:val="17"/>
                <w:szCs w:val="17"/>
                <w:b w:val="1"/>
                <w:bCs w:val="1"/>
                <w:color w:val="auto"/>
                <w:w w:val="91"/>
              </w:rPr>
              <w:t>Interest</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line="189" w:lineRule="exact"/>
              <w:rPr>
                <w:sz w:val="20"/>
                <w:szCs w:val="20"/>
                <w:color w:val="auto"/>
              </w:rPr>
            </w:pPr>
            <w:r>
              <w:rPr>
                <w:rFonts w:ascii="Arial" w:cs="Arial" w:eastAsia="Arial" w:hAnsi="Arial"/>
                <w:sz w:val="17"/>
                <w:szCs w:val="17"/>
                <w:b w:val="1"/>
                <w:bCs w:val="1"/>
                <w:color w:val="auto"/>
                <w:w w:val="91"/>
              </w:rPr>
              <w:t>Interest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7"/>
              </w:rPr>
              <w:t>Revenue</w:t>
            </w:r>
          </w:p>
        </w:tc>
        <w:tc>
          <w:tcPr>
            <w:tcW w:w="12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5"/>
              </w:rPr>
              <w:t>Cash Basis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7"/>
              </w:rPr>
              <w:t>Revenue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7"/>
              </w:rPr>
              <w:t>Cash Basis</w:t>
            </w:r>
          </w:p>
        </w:tc>
      </w:tr>
      <w:tr>
        <w:trPr>
          <w:trHeight w:val="205"/>
        </w:trPr>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7"/>
              </w:rPr>
              <w:t>Recognized</w:t>
            </w:r>
          </w:p>
        </w:tc>
        <w:tc>
          <w:tcPr>
            <w:tcW w:w="12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4"/>
              </w:rPr>
              <w:t>Interest</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7"/>
              </w:rPr>
              <w:t>Recognized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Interest</w:t>
            </w:r>
          </w:p>
        </w:tc>
      </w:tr>
      <w:tr>
        <w:trPr>
          <w:trHeight w:val="205"/>
        </w:trPr>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7"/>
                <w:szCs w:val="17"/>
                <w:b w:val="1"/>
                <w:bCs w:val="1"/>
                <w:color w:val="auto"/>
              </w:rPr>
              <w:t>Average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4"/>
              </w:rPr>
              <w:t>During</w:t>
            </w:r>
          </w:p>
        </w:tc>
        <w:tc>
          <w:tcPr>
            <w:tcW w:w="12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7"/>
              </w:rPr>
              <w:t>Revenue</w:t>
            </w:r>
          </w:p>
        </w:tc>
        <w:tc>
          <w:tcPr>
            <w:tcW w:w="18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Arial" w:cs="Arial" w:eastAsia="Arial" w:hAnsi="Arial"/>
                <w:sz w:val="17"/>
                <w:szCs w:val="17"/>
                <w:b w:val="1"/>
                <w:bCs w:val="1"/>
                <w:color w:val="auto"/>
              </w:rPr>
              <w:t>Average</w:t>
            </w: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4"/>
              </w:rPr>
              <w:t>During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Revenue</w:t>
            </w:r>
          </w:p>
        </w:tc>
      </w:tr>
      <w:tr>
        <w:trPr>
          <w:trHeight w:val="227"/>
        </w:trPr>
        <w:tc>
          <w:tcPr>
            <w:tcW w:w="3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Balance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b w:val="1"/>
                <w:bCs w:val="1"/>
                <w:color w:val="auto"/>
                <w:w w:val="95"/>
              </w:rPr>
              <w:t>Impairment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b w:val="1"/>
                <w:bCs w:val="1"/>
                <w:color w:val="auto"/>
                <w:w w:val="88"/>
              </w:rPr>
              <w:t>Received</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Balance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95"/>
              </w:rPr>
              <w:t>Impairment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b w:val="1"/>
                <w:bCs w:val="1"/>
                <w:color w:val="auto"/>
                <w:w w:val="85"/>
              </w:rPr>
              <w:t>Received</w:t>
            </w:r>
          </w:p>
        </w:tc>
        <w:tc>
          <w:tcPr>
            <w:tcW w:w="100" w:type="dxa"/>
            <w:vAlign w:val="bottom"/>
          </w:tcPr>
          <w:p>
            <w:pPr>
              <w:spacing w:after="0"/>
              <w:rPr>
                <w:sz w:val="19"/>
                <w:szCs w:val="19"/>
                <w:color w:val="auto"/>
              </w:rPr>
            </w:pPr>
          </w:p>
        </w:tc>
      </w:tr>
      <w:tr>
        <w:trPr>
          <w:trHeight w:val="205"/>
        </w:trPr>
        <w:tc>
          <w:tcPr>
            <w:tcW w:w="3080" w:type="dxa"/>
            <w:vAlign w:val="bottom"/>
            <w:shd w:val="clear" w:color="auto" w:fill="F0FFFF"/>
          </w:tcPr>
          <w:p>
            <w:pPr>
              <w:spacing w:after="0"/>
              <w:rPr>
                <w:sz w:val="20"/>
                <w:szCs w:val="20"/>
                <w:color w:val="auto"/>
              </w:rPr>
            </w:pPr>
            <w:r>
              <w:rPr>
                <w:rFonts w:ascii="Arial" w:cs="Arial" w:eastAsia="Arial" w:hAnsi="Arial"/>
                <w:sz w:val="17"/>
                <w:szCs w:val="17"/>
                <w:color w:val="auto"/>
              </w:rPr>
              <w:t>Owner occupied commercial real estate</w:t>
            </w:r>
          </w:p>
        </w:tc>
        <w:tc>
          <w:tcPr>
            <w:tcW w:w="420" w:type="dxa"/>
            <w:vAlign w:val="bottom"/>
            <w:gridSpan w:val="2"/>
            <w:shd w:val="clear" w:color="auto" w:fill="F0FFFF"/>
          </w:tcPr>
          <w:p>
            <w:pPr>
              <w:jc w:val="right"/>
              <w:ind w:right="25"/>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36,989</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460</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459</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29,109</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358</w:t>
            </w:r>
          </w:p>
        </w:tc>
        <w:tc>
          <w:tcPr>
            <w:tcW w:w="22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380</w:t>
            </w:r>
          </w:p>
        </w:tc>
      </w:tr>
      <w:tr>
        <w:trPr>
          <w:trHeight w:val="205"/>
        </w:trPr>
        <w:tc>
          <w:tcPr>
            <w:tcW w:w="3080" w:type="dxa"/>
            <w:vAlign w:val="bottom"/>
          </w:tcPr>
          <w:p>
            <w:pPr>
              <w:spacing w:after="0"/>
              <w:rPr>
                <w:sz w:val="20"/>
                <w:szCs w:val="20"/>
                <w:color w:val="auto"/>
              </w:rPr>
            </w:pPr>
            <w:r>
              <w:rPr>
                <w:rFonts w:ascii="Arial" w:cs="Arial" w:eastAsia="Arial" w:hAnsi="Arial"/>
                <w:sz w:val="17"/>
                <w:szCs w:val="17"/>
                <w:color w:val="auto"/>
                <w:w w:val="98"/>
              </w:rPr>
              <w:t>Income producing commercial real estate</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21,424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267</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275</w:t>
            </w: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25,860</w:t>
            </w: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312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333</w:t>
            </w:r>
          </w:p>
        </w:tc>
      </w:tr>
      <w:tr>
        <w:trPr>
          <w:trHeight w:val="205"/>
        </w:trPr>
        <w:tc>
          <w:tcPr>
            <w:tcW w:w="3080" w:type="dxa"/>
            <w:vAlign w:val="bottom"/>
            <w:shd w:val="clear" w:color="auto" w:fill="F0FFFF"/>
          </w:tcPr>
          <w:p>
            <w:pPr>
              <w:spacing w:after="0"/>
              <w:rPr>
                <w:sz w:val="20"/>
                <w:szCs w:val="20"/>
                <w:color w:val="auto"/>
              </w:rPr>
            </w:pPr>
            <w:r>
              <w:rPr>
                <w:rFonts w:ascii="Arial" w:cs="Arial" w:eastAsia="Arial" w:hAnsi="Arial"/>
                <w:sz w:val="17"/>
                <w:szCs w:val="17"/>
                <w:color w:val="auto"/>
              </w:rPr>
              <w:t>Commercial &amp; industrial</w:t>
            </w:r>
          </w:p>
        </w:tc>
        <w:tc>
          <w:tcPr>
            <w:tcW w:w="2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4,023</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38</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37</w:t>
            </w:r>
          </w:p>
        </w:tc>
        <w:tc>
          <w:tcPr>
            <w:tcW w:w="2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4,560</w:t>
            </w:r>
          </w:p>
        </w:tc>
        <w:tc>
          <w:tcPr>
            <w:tcW w:w="2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53</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F0FFFF"/>
          </w:tcPr>
          <w:p>
            <w:pPr>
              <w:spacing w:after="0"/>
              <w:rPr>
                <w:sz w:val="17"/>
                <w:szCs w:val="17"/>
                <w:color w:val="auto"/>
              </w:rPr>
            </w:pPr>
          </w:p>
        </w:tc>
      </w:tr>
      <w:tr>
        <w:trPr>
          <w:trHeight w:val="205"/>
        </w:trPr>
        <w:tc>
          <w:tcPr>
            <w:tcW w:w="3080" w:type="dxa"/>
            <w:vAlign w:val="bottom"/>
          </w:tcPr>
          <w:p>
            <w:pPr>
              <w:spacing w:after="0"/>
              <w:rPr>
                <w:sz w:val="20"/>
                <w:szCs w:val="20"/>
                <w:color w:val="auto"/>
              </w:rPr>
            </w:pPr>
            <w:r>
              <w:rPr>
                <w:rFonts w:ascii="Arial" w:cs="Arial" w:eastAsia="Arial" w:hAnsi="Arial"/>
                <w:sz w:val="17"/>
                <w:szCs w:val="17"/>
                <w:color w:val="auto"/>
              </w:rPr>
              <w:t>Commercial construction</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12,273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116</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121</w:t>
            </w: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12,714</w:t>
            </w: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135</w:t>
            </w:r>
          </w:p>
        </w:tc>
      </w:tr>
      <w:tr>
        <w:trPr>
          <w:trHeight w:val="26"/>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3080" w:type="dxa"/>
            <w:vAlign w:val="bottom"/>
            <w:shd w:val="clear" w:color="auto" w:fill="F0FFFF"/>
          </w:tcPr>
          <w:p>
            <w:pPr>
              <w:ind w:left="160"/>
              <w:spacing w:after="0"/>
              <w:rPr>
                <w:sz w:val="20"/>
                <w:szCs w:val="20"/>
                <w:color w:val="auto"/>
              </w:rPr>
            </w:pPr>
            <w:r>
              <w:rPr>
                <w:rFonts w:ascii="Arial" w:cs="Arial" w:eastAsia="Arial" w:hAnsi="Arial"/>
                <w:sz w:val="17"/>
                <w:szCs w:val="17"/>
                <w:color w:val="auto"/>
              </w:rPr>
              <w:t>Total commercial</w:t>
            </w:r>
          </w:p>
        </w:tc>
        <w:tc>
          <w:tcPr>
            <w:tcW w:w="2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74,709</w:t>
            </w: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881</w:t>
            </w: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892</w:t>
            </w:r>
          </w:p>
        </w:tc>
        <w:tc>
          <w:tcPr>
            <w:tcW w:w="18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72,243</w:t>
            </w:r>
          </w:p>
        </w:tc>
        <w:tc>
          <w:tcPr>
            <w:tcW w:w="10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835</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899</w:t>
            </w:r>
          </w:p>
        </w:tc>
      </w:tr>
      <w:tr>
        <w:trPr>
          <w:trHeight w:val="205"/>
        </w:trPr>
        <w:tc>
          <w:tcPr>
            <w:tcW w:w="3080" w:type="dxa"/>
            <w:vAlign w:val="bottom"/>
          </w:tcPr>
          <w:p>
            <w:pPr>
              <w:spacing w:after="0"/>
              <w:rPr>
                <w:sz w:val="20"/>
                <w:szCs w:val="20"/>
                <w:color w:val="auto"/>
              </w:rPr>
            </w:pPr>
            <w:r>
              <w:rPr>
                <w:rFonts w:ascii="Arial" w:cs="Arial" w:eastAsia="Arial" w:hAnsi="Arial"/>
                <w:sz w:val="17"/>
                <w:szCs w:val="17"/>
                <w:color w:val="auto"/>
              </w:rPr>
              <w:t>Residential mortgage</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22,085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226</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233</w:t>
            </w: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21,321</w:t>
            </w: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229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238</w:t>
            </w:r>
          </w:p>
        </w:tc>
      </w:tr>
      <w:tr>
        <w:trPr>
          <w:trHeight w:val="205"/>
        </w:trPr>
        <w:tc>
          <w:tcPr>
            <w:tcW w:w="3080" w:type="dxa"/>
            <w:vAlign w:val="bottom"/>
            <w:shd w:val="clear" w:color="auto" w:fill="F0FFFF"/>
          </w:tcPr>
          <w:p>
            <w:pPr>
              <w:spacing w:after="0"/>
              <w:rPr>
                <w:sz w:val="20"/>
                <w:szCs w:val="20"/>
                <w:color w:val="auto"/>
              </w:rPr>
            </w:pPr>
            <w:r>
              <w:rPr>
                <w:rFonts w:ascii="Arial" w:cs="Arial" w:eastAsia="Arial" w:hAnsi="Arial"/>
                <w:sz w:val="17"/>
                <w:szCs w:val="17"/>
                <w:color w:val="auto"/>
              </w:rPr>
              <w:t>Home equity lines of credit</w:t>
            </w:r>
          </w:p>
        </w:tc>
        <w:tc>
          <w:tcPr>
            <w:tcW w:w="2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478</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5</w:t>
            </w: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5</w:t>
            </w:r>
          </w:p>
        </w:tc>
        <w:tc>
          <w:tcPr>
            <w:tcW w:w="18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505</w:t>
            </w:r>
          </w:p>
        </w:tc>
        <w:tc>
          <w:tcPr>
            <w:tcW w:w="10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5</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6</w:t>
            </w:r>
          </w:p>
        </w:tc>
      </w:tr>
      <w:tr>
        <w:trPr>
          <w:trHeight w:val="205"/>
        </w:trPr>
        <w:tc>
          <w:tcPr>
            <w:tcW w:w="3080" w:type="dxa"/>
            <w:vAlign w:val="bottom"/>
          </w:tcPr>
          <w:p>
            <w:pPr>
              <w:spacing w:after="0"/>
              <w:rPr>
                <w:sz w:val="20"/>
                <w:szCs w:val="20"/>
                <w:color w:val="auto"/>
              </w:rPr>
            </w:pPr>
            <w:r>
              <w:rPr>
                <w:rFonts w:ascii="Arial" w:cs="Arial" w:eastAsia="Arial" w:hAnsi="Arial"/>
                <w:sz w:val="17"/>
                <w:szCs w:val="17"/>
                <w:color w:val="auto"/>
              </w:rPr>
              <w:t>Residential construction</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10,575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120</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126</w:t>
            </w: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13,037</w:t>
            </w: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150</w:t>
            </w:r>
          </w:p>
        </w:tc>
      </w:tr>
      <w:tr>
        <w:trPr>
          <w:trHeight w:val="205"/>
        </w:trPr>
        <w:tc>
          <w:tcPr>
            <w:tcW w:w="3080" w:type="dxa"/>
            <w:vAlign w:val="bottom"/>
            <w:shd w:val="clear" w:color="auto" w:fill="F0FFFF"/>
          </w:tcPr>
          <w:p>
            <w:pPr>
              <w:spacing w:after="0"/>
              <w:rPr>
                <w:sz w:val="20"/>
                <w:szCs w:val="20"/>
                <w:color w:val="auto"/>
              </w:rPr>
            </w:pPr>
            <w:r>
              <w:rPr>
                <w:rFonts w:ascii="Arial" w:cs="Arial" w:eastAsia="Arial" w:hAnsi="Arial"/>
                <w:sz w:val="17"/>
                <w:szCs w:val="17"/>
                <w:color w:val="auto"/>
              </w:rPr>
              <w:t>Consumer installment</w:t>
            </w:r>
          </w:p>
        </w:tc>
        <w:tc>
          <w:tcPr>
            <w:tcW w:w="2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153</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3</w:t>
            </w: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3</w:t>
            </w:r>
          </w:p>
        </w:tc>
        <w:tc>
          <w:tcPr>
            <w:tcW w:w="18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448</w:t>
            </w:r>
          </w:p>
        </w:tc>
        <w:tc>
          <w:tcPr>
            <w:tcW w:w="10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6</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9</w:t>
            </w:r>
          </w:p>
        </w:tc>
      </w:tr>
      <w:tr>
        <w:trPr>
          <w:trHeight w:val="205"/>
        </w:trPr>
        <w:tc>
          <w:tcPr>
            <w:tcW w:w="3080" w:type="dxa"/>
            <w:vAlign w:val="bottom"/>
          </w:tcPr>
          <w:p>
            <w:pPr>
              <w:spacing w:after="0"/>
              <w:rPr>
                <w:sz w:val="20"/>
                <w:szCs w:val="20"/>
                <w:color w:val="auto"/>
              </w:rPr>
            </w:pPr>
            <w:r>
              <w:rPr>
                <w:rFonts w:ascii="Arial" w:cs="Arial" w:eastAsia="Arial" w:hAnsi="Arial"/>
                <w:sz w:val="17"/>
                <w:szCs w:val="17"/>
                <w:color w:val="auto"/>
              </w:rPr>
              <w:t>Indirect auto</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6"/>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3080" w:type="dxa"/>
            <w:vAlign w:val="bottom"/>
            <w:shd w:val="clear" w:color="auto" w:fill="F0FFFF"/>
          </w:tcPr>
          <w:p>
            <w:pPr>
              <w:ind w:left="160"/>
              <w:spacing w:after="0"/>
              <w:rPr>
                <w:sz w:val="20"/>
                <w:szCs w:val="20"/>
                <w:color w:val="auto"/>
              </w:rPr>
            </w:pPr>
            <w:r>
              <w:rPr>
                <w:rFonts w:ascii="Arial" w:cs="Arial" w:eastAsia="Arial" w:hAnsi="Arial"/>
                <w:sz w:val="17"/>
                <w:szCs w:val="17"/>
                <w:color w:val="auto"/>
              </w:rPr>
              <w:t>Total</w:t>
            </w:r>
          </w:p>
        </w:tc>
        <w:tc>
          <w:tcPr>
            <w:tcW w:w="240" w:type="dxa"/>
            <w:vAlign w:val="bottom"/>
            <w:shd w:val="clear" w:color="auto" w:fill="F0FFFF"/>
          </w:tcPr>
          <w:p>
            <w:pPr>
              <w:spacing w:after="0"/>
              <w:rPr>
                <w:sz w:val="21"/>
                <w:szCs w:val="21"/>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108,000</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1,235</w:t>
            </w:r>
          </w:p>
        </w:tc>
        <w:tc>
          <w:tcPr>
            <w:tcW w:w="240" w:type="dxa"/>
            <w:vAlign w:val="bottom"/>
            <w:shd w:val="clear" w:color="auto" w:fill="F0FFFF"/>
          </w:tcPr>
          <w:p>
            <w:pPr>
              <w:spacing w:after="0"/>
              <w:rPr>
                <w:sz w:val="21"/>
                <w:szCs w:val="21"/>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1,259</w:t>
            </w:r>
          </w:p>
        </w:tc>
        <w:tc>
          <w:tcPr>
            <w:tcW w:w="240" w:type="dxa"/>
            <w:vAlign w:val="bottom"/>
            <w:shd w:val="clear" w:color="auto" w:fill="F0FFFF"/>
          </w:tcPr>
          <w:p>
            <w:pPr>
              <w:spacing w:after="0"/>
              <w:rPr>
                <w:sz w:val="21"/>
                <w:szCs w:val="21"/>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107,554</w:t>
            </w:r>
          </w:p>
        </w:tc>
        <w:tc>
          <w:tcPr>
            <w:tcW w:w="220" w:type="dxa"/>
            <w:vAlign w:val="bottom"/>
            <w:shd w:val="clear" w:color="auto" w:fill="F0FFFF"/>
          </w:tcPr>
          <w:p>
            <w:pPr>
              <w:spacing w:after="0"/>
              <w:rPr>
                <w:sz w:val="21"/>
                <w:szCs w:val="21"/>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1,220</w:t>
            </w:r>
          </w:p>
        </w:tc>
        <w:tc>
          <w:tcPr>
            <w:tcW w:w="22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1,302</w:t>
            </w:r>
          </w:p>
        </w:tc>
      </w:tr>
      <w:tr>
        <w:trPr>
          <w:trHeight w:val="632"/>
        </w:trPr>
        <w:tc>
          <w:tcPr>
            <w:tcW w:w="3080" w:type="dxa"/>
            <w:vAlign w:val="bottom"/>
            <w:tcBorders>
              <w:top w:val="single" w:sz="8" w:color="F0FFFF"/>
              <w:bottom w:val="single" w:sz="8" w:color="DCDCDC"/>
            </w:tcBorders>
          </w:tcPr>
          <w:p>
            <w:pPr>
              <w:spacing w:after="0"/>
              <w:rPr>
                <w:sz w:val="24"/>
                <w:szCs w:val="24"/>
                <w:color w:val="auto"/>
              </w:rPr>
            </w:pPr>
          </w:p>
        </w:tc>
        <w:tc>
          <w:tcPr>
            <w:tcW w:w="240" w:type="dxa"/>
            <w:vAlign w:val="bottom"/>
            <w:tcBorders>
              <w:top w:val="single" w:sz="8" w:color="F0FFFF"/>
              <w:bottom w:val="single" w:sz="8" w:color="DCDCDC"/>
            </w:tcBorders>
          </w:tcPr>
          <w:p>
            <w:pPr>
              <w:spacing w:after="0"/>
              <w:rPr>
                <w:sz w:val="24"/>
                <w:szCs w:val="24"/>
                <w:color w:val="auto"/>
              </w:rPr>
            </w:pPr>
          </w:p>
        </w:tc>
        <w:tc>
          <w:tcPr>
            <w:tcW w:w="180" w:type="dxa"/>
            <w:vAlign w:val="bottom"/>
            <w:tcBorders>
              <w:top w:val="single" w:sz="8" w:color="auto"/>
              <w:bottom w:val="single" w:sz="8" w:color="DCDCDC"/>
            </w:tcBorders>
          </w:tcPr>
          <w:p>
            <w:pPr>
              <w:spacing w:after="0"/>
              <w:rPr>
                <w:sz w:val="24"/>
                <w:szCs w:val="24"/>
                <w:color w:val="auto"/>
              </w:rPr>
            </w:pPr>
          </w:p>
        </w:tc>
        <w:tc>
          <w:tcPr>
            <w:tcW w:w="980" w:type="dxa"/>
            <w:vAlign w:val="bottom"/>
            <w:tcBorders>
              <w:top w:val="single" w:sz="8" w:color="auto"/>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c>
          <w:tcPr>
            <w:tcW w:w="120" w:type="dxa"/>
            <w:vAlign w:val="bottom"/>
            <w:tcBorders>
              <w:top w:val="single" w:sz="8" w:color="auto"/>
              <w:bottom w:val="single" w:sz="8" w:color="DCDCDC"/>
            </w:tcBorders>
          </w:tcPr>
          <w:p>
            <w:pPr>
              <w:spacing w:after="0"/>
              <w:rPr>
                <w:sz w:val="24"/>
                <w:szCs w:val="24"/>
                <w:color w:val="auto"/>
              </w:rPr>
            </w:pPr>
          </w:p>
        </w:tc>
        <w:tc>
          <w:tcPr>
            <w:tcW w:w="1040" w:type="dxa"/>
            <w:vAlign w:val="bottom"/>
            <w:tcBorders>
              <w:top w:val="single" w:sz="8" w:color="auto"/>
              <w:bottom w:val="single" w:sz="8" w:color="DCDCDC"/>
            </w:tcBorders>
          </w:tcPr>
          <w:p>
            <w:pPr>
              <w:jc w:val="right"/>
              <w:spacing w:after="0"/>
              <w:rPr>
                <w:sz w:val="20"/>
                <w:szCs w:val="20"/>
                <w:color w:val="auto"/>
              </w:rPr>
            </w:pPr>
            <w:r>
              <w:rPr>
                <w:rFonts w:ascii="Arial" w:cs="Arial" w:eastAsia="Arial" w:hAnsi="Arial"/>
                <w:sz w:val="17"/>
                <w:szCs w:val="17"/>
                <w:color w:val="auto"/>
              </w:rPr>
              <w:t>17</w:t>
            </w:r>
          </w:p>
        </w:tc>
        <w:tc>
          <w:tcPr>
            <w:tcW w:w="240" w:type="dxa"/>
            <w:vAlign w:val="bottom"/>
            <w:tcBorders>
              <w:top w:val="single" w:sz="8" w:color="F0FFFF"/>
              <w:bottom w:val="single" w:sz="8" w:color="DCDCDC"/>
            </w:tcBorders>
          </w:tcPr>
          <w:p>
            <w:pPr>
              <w:spacing w:after="0"/>
              <w:rPr>
                <w:sz w:val="24"/>
                <w:szCs w:val="24"/>
                <w:color w:val="auto"/>
              </w:rPr>
            </w:pPr>
          </w:p>
        </w:tc>
        <w:tc>
          <w:tcPr>
            <w:tcW w:w="120" w:type="dxa"/>
            <w:vAlign w:val="bottom"/>
            <w:tcBorders>
              <w:top w:val="single" w:sz="8" w:color="auto"/>
              <w:bottom w:val="single" w:sz="8" w:color="DCDCDC"/>
            </w:tcBorders>
          </w:tcPr>
          <w:p>
            <w:pPr>
              <w:spacing w:after="0"/>
              <w:rPr>
                <w:sz w:val="24"/>
                <w:szCs w:val="24"/>
                <w:color w:val="auto"/>
              </w:rPr>
            </w:pPr>
          </w:p>
        </w:tc>
        <w:tc>
          <w:tcPr>
            <w:tcW w:w="1020" w:type="dxa"/>
            <w:vAlign w:val="bottom"/>
            <w:tcBorders>
              <w:top w:val="single" w:sz="8" w:color="auto"/>
              <w:bottom w:val="single" w:sz="8" w:color="DCDCDC"/>
            </w:tcBorders>
          </w:tcPr>
          <w:p>
            <w:pPr>
              <w:spacing w:after="0"/>
              <w:rPr>
                <w:sz w:val="24"/>
                <w:szCs w:val="24"/>
                <w:color w:val="auto"/>
              </w:rPr>
            </w:pPr>
          </w:p>
        </w:tc>
        <w:tc>
          <w:tcPr>
            <w:tcW w:w="240" w:type="dxa"/>
            <w:vAlign w:val="bottom"/>
            <w:tcBorders>
              <w:top w:val="single" w:sz="8" w:color="F0FFFF"/>
              <w:bottom w:val="single" w:sz="8" w:color="DCDCDC"/>
            </w:tcBorders>
          </w:tcPr>
          <w:p>
            <w:pPr>
              <w:spacing w:after="0"/>
              <w:rPr>
                <w:sz w:val="24"/>
                <w:szCs w:val="24"/>
                <w:color w:val="auto"/>
              </w:rPr>
            </w:pPr>
          </w:p>
        </w:tc>
        <w:tc>
          <w:tcPr>
            <w:tcW w:w="180" w:type="dxa"/>
            <w:vAlign w:val="bottom"/>
            <w:tcBorders>
              <w:top w:val="single" w:sz="8" w:color="auto"/>
              <w:bottom w:val="single" w:sz="8" w:color="DCDCDC"/>
            </w:tcBorders>
          </w:tcPr>
          <w:p>
            <w:pPr>
              <w:spacing w:after="0"/>
              <w:rPr>
                <w:sz w:val="24"/>
                <w:szCs w:val="24"/>
                <w:color w:val="auto"/>
              </w:rPr>
            </w:pPr>
          </w:p>
        </w:tc>
        <w:tc>
          <w:tcPr>
            <w:tcW w:w="980" w:type="dxa"/>
            <w:vAlign w:val="bottom"/>
            <w:tcBorders>
              <w:top w:val="single" w:sz="8" w:color="auto"/>
              <w:bottom w:val="single" w:sz="8" w:color="DCDCDC"/>
            </w:tcBorders>
          </w:tcPr>
          <w:p>
            <w:pPr>
              <w:spacing w:after="0"/>
              <w:rPr>
                <w:sz w:val="24"/>
                <w:szCs w:val="24"/>
                <w:color w:val="auto"/>
              </w:rPr>
            </w:pPr>
          </w:p>
        </w:tc>
        <w:tc>
          <w:tcPr>
            <w:tcW w:w="220" w:type="dxa"/>
            <w:vAlign w:val="bottom"/>
            <w:tcBorders>
              <w:top w:val="single" w:sz="8" w:color="F0FFFF"/>
              <w:bottom w:val="single" w:sz="8" w:color="DCDCDC"/>
            </w:tcBorders>
          </w:tcPr>
          <w:p>
            <w:pPr>
              <w:spacing w:after="0"/>
              <w:rPr>
                <w:sz w:val="24"/>
                <w:szCs w:val="24"/>
                <w:color w:val="auto"/>
              </w:rPr>
            </w:pPr>
          </w:p>
        </w:tc>
        <w:tc>
          <w:tcPr>
            <w:tcW w:w="100" w:type="dxa"/>
            <w:vAlign w:val="bottom"/>
            <w:tcBorders>
              <w:top w:val="single" w:sz="8" w:color="auto"/>
              <w:bottom w:val="single" w:sz="8" w:color="DCDCDC"/>
            </w:tcBorders>
          </w:tcPr>
          <w:p>
            <w:pPr>
              <w:spacing w:after="0"/>
              <w:rPr>
                <w:sz w:val="24"/>
                <w:szCs w:val="24"/>
                <w:color w:val="auto"/>
              </w:rPr>
            </w:pPr>
          </w:p>
        </w:tc>
        <w:tc>
          <w:tcPr>
            <w:tcW w:w="1020" w:type="dxa"/>
            <w:vAlign w:val="bottom"/>
            <w:tcBorders>
              <w:top w:val="single" w:sz="8" w:color="auto"/>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c>
          <w:tcPr>
            <w:tcW w:w="120" w:type="dxa"/>
            <w:vAlign w:val="bottom"/>
            <w:tcBorders>
              <w:top w:val="single" w:sz="8" w:color="auto"/>
              <w:bottom w:val="single" w:sz="8" w:color="DCDCDC"/>
            </w:tcBorders>
          </w:tcPr>
          <w:p>
            <w:pPr>
              <w:spacing w:after="0"/>
              <w:rPr>
                <w:sz w:val="24"/>
                <w:szCs w:val="24"/>
                <w:color w:val="auto"/>
              </w:rPr>
            </w:pPr>
          </w:p>
        </w:tc>
        <w:tc>
          <w:tcPr>
            <w:tcW w:w="1000" w:type="dxa"/>
            <w:vAlign w:val="bottom"/>
            <w:tcBorders>
              <w:top w:val="single" w:sz="8" w:color="auto"/>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r>
    </w:tbl>
    <w:p>
      <w:pPr>
        <w:sectPr>
          <w:pgSz w:w="11900" w:h="16838" w:orient="portrait"/>
          <w:cols w:equalWidth="0" w:num="1">
            <w:col w:w="11420"/>
          </w:cols>
          <w:pgMar w:left="240" w:top="649" w:right="239" w:bottom="493" w:gutter="0" w:footer="0" w:header="0"/>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t>UNITED COMMUNITY BANKS,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 xml:space="preserve">The following table presents the recorded investment (unpaid principal less amounts charged off) in nonaccrual loans by loan class as of March 31, 2015, December 31, 2014 and March 31, 2014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89"/>
              </w:rPr>
              <w:t>Nonaccrual Loans</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7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w w:val="99"/>
              </w:rPr>
              <w:t>March 31,</w:t>
            </w:r>
          </w:p>
        </w:tc>
        <w:tc>
          <w:tcPr>
            <w:tcW w:w="220" w:type="dxa"/>
            <w:vAlign w:val="bottom"/>
          </w:tcPr>
          <w:p>
            <w:pPr>
              <w:spacing w:after="0"/>
              <w:rPr>
                <w:sz w:val="16"/>
                <w:szCs w:val="16"/>
                <w:color w:val="auto"/>
              </w:rPr>
            </w:pPr>
          </w:p>
        </w:tc>
        <w:tc>
          <w:tcPr>
            <w:tcW w:w="1300" w:type="dxa"/>
            <w:vAlign w:val="bottom"/>
            <w:gridSpan w:val="3"/>
          </w:tcPr>
          <w:p>
            <w:pPr>
              <w:jc w:val="center"/>
              <w:ind w:right="140"/>
              <w:spacing w:after="0" w:line="189" w:lineRule="exact"/>
              <w:rPr>
                <w:sz w:val="20"/>
                <w:szCs w:val="20"/>
                <w:color w:val="auto"/>
              </w:rPr>
            </w:pPr>
            <w:r>
              <w:rPr>
                <w:rFonts w:ascii="Arial" w:cs="Arial" w:eastAsia="Arial" w:hAnsi="Arial"/>
                <w:sz w:val="17"/>
                <w:szCs w:val="17"/>
                <w:b w:val="1"/>
                <w:bCs w:val="1"/>
                <w:color w:val="auto"/>
                <w:w w:val="90"/>
              </w:rPr>
              <w:t>December 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w w:val="96"/>
              </w:rPr>
              <w:t>March 31,</w:t>
            </w:r>
          </w:p>
        </w:tc>
        <w:tc>
          <w:tcPr>
            <w:tcW w:w="100" w:type="dxa"/>
            <w:vAlign w:val="bottom"/>
          </w:tcPr>
          <w:p>
            <w:pPr>
              <w:spacing w:after="0"/>
              <w:rPr>
                <w:sz w:val="16"/>
                <w:szCs w:val="16"/>
                <w:color w:val="auto"/>
              </w:rPr>
            </w:pPr>
          </w:p>
        </w:tc>
      </w:tr>
      <w:tr>
        <w:trPr>
          <w:trHeight w:val="227"/>
        </w:trPr>
        <w:tc>
          <w:tcPr>
            <w:tcW w:w="7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2015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55"/>
              <w:spacing w:after="0"/>
              <w:rPr>
                <w:sz w:val="20"/>
                <w:szCs w:val="20"/>
                <w:color w:val="auto"/>
              </w:rPr>
            </w:pPr>
            <w:r>
              <w:rPr>
                <w:rFonts w:ascii="Arial" w:cs="Arial" w:eastAsia="Arial" w:hAnsi="Arial"/>
                <w:sz w:val="17"/>
                <w:szCs w:val="17"/>
                <w:b w:val="1"/>
                <w:bCs w:val="1"/>
                <w:color w:val="auto"/>
                <w:w w:val="95"/>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9"/>
                <w:szCs w:val="19"/>
                <w:color w:val="auto"/>
              </w:rPr>
            </w:pPr>
          </w:p>
        </w:tc>
      </w:tr>
      <w:tr>
        <w:trPr>
          <w:trHeight w:val="205"/>
        </w:trPr>
        <w:tc>
          <w:tcPr>
            <w:tcW w:w="7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F0FFFF"/>
          </w:tcPr>
          <w:p>
            <w:pPr>
              <w:spacing w:after="0"/>
              <w:rPr>
                <w:sz w:val="20"/>
                <w:szCs w:val="20"/>
                <w:color w:val="auto"/>
              </w:rPr>
            </w:pPr>
            <w:r>
              <w:rPr>
                <w:rFonts w:ascii="Arial" w:cs="Arial" w:eastAsia="Arial" w:hAnsi="Arial"/>
                <w:sz w:val="17"/>
                <w:szCs w:val="17"/>
                <w:color w:val="auto"/>
              </w:rPr>
              <w:t>Owner occupied commercial real estate</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4,360</w:t>
            </w:r>
          </w:p>
        </w:tc>
        <w:tc>
          <w:tcPr>
            <w:tcW w:w="460" w:type="dxa"/>
            <w:vAlign w:val="bottom"/>
            <w:tcBorders>
              <w:left w:val="single" w:sz="8" w:color="F0FFFF"/>
            </w:tcBorders>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4,133</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3,868</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Income producing commercial real estate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835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717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1,278</w:t>
            </w:r>
          </w:p>
        </w:tc>
      </w:tr>
      <w:tr>
        <w:trPr>
          <w:trHeight w:val="205"/>
        </w:trPr>
        <w:tc>
          <w:tcPr>
            <w:tcW w:w="7440" w:type="dxa"/>
            <w:vAlign w:val="bottom"/>
            <w:shd w:val="clear" w:color="auto" w:fill="F0FFFF"/>
          </w:tcPr>
          <w:p>
            <w:pPr>
              <w:spacing w:after="0"/>
              <w:rPr>
                <w:sz w:val="20"/>
                <w:szCs w:val="20"/>
                <w:color w:val="auto"/>
              </w:rPr>
            </w:pPr>
            <w:r>
              <w:rPr>
                <w:rFonts w:ascii="Arial" w:cs="Arial" w:eastAsia="Arial" w:hAnsi="Arial"/>
                <w:sz w:val="17"/>
                <w:szCs w:val="17"/>
                <w:color w:val="auto"/>
              </w:rPr>
              <w:t>Commercial &amp; industrial</w:t>
            </w: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1,629</w:t>
            </w:r>
          </w:p>
        </w:tc>
        <w:tc>
          <w:tcPr>
            <w:tcW w:w="220" w:type="dxa"/>
            <w:vAlign w:val="bottom"/>
            <w:tcBorders>
              <w:left w:val="single" w:sz="8" w:color="F0FFFF"/>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1,571</w:t>
            </w: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822</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Commercial construction</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479</w:t>
            </w:r>
          </w:p>
        </w:tc>
      </w:tr>
      <w:tr>
        <w:trPr>
          <w:trHeight w:val="26"/>
        </w:trPr>
        <w:tc>
          <w:tcPr>
            <w:tcW w:w="7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7440" w:type="dxa"/>
            <w:vAlign w:val="bottom"/>
            <w:shd w:val="clear" w:color="auto" w:fill="F0FFFF"/>
          </w:tcPr>
          <w:p>
            <w:pPr>
              <w:ind w:left="160"/>
              <w:spacing w:after="0"/>
              <w:rPr>
                <w:sz w:val="20"/>
                <w:szCs w:val="20"/>
                <w:color w:val="auto"/>
              </w:rPr>
            </w:pPr>
            <w:r>
              <w:rPr>
                <w:rFonts w:ascii="Arial" w:cs="Arial" w:eastAsia="Arial" w:hAnsi="Arial"/>
                <w:sz w:val="17"/>
                <w:szCs w:val="17"/>
                <w:color w:val="auto"/>
              </w:rPr>
              <w:t>Total commercial</w:t>
            </w: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6,884</w:t>
            </w:r>
          </w:p>
        </w:tc>
        <w:tc>
          <w:tcPr>
            <w:tcW w:w="220" w:type="dxa"/>
            <w:vAlign w:val="bottom"/>
            <w:tcBorders>
              <w:left w:val="single" w:sz="8" w:color="F0FFFF"/>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6,504</w:t>
            </w: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6,447</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Residential mortgage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8,669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8,196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13,307</w:t>
            </w:r>
          </w:p>
        </w:tc>
      </w:tr>
      <w:tr>
        <w:trPr>
          <w:trHeight w:val="205"/>
        </w:trPr>
        <w:tc>
          <w:tcPr>
            <w:tcW w:w="7440" w:type="dxa"/>
            <w:vAlign w:val="bottom"/>
            <w:shd w:val="clear" w:color="auto" w:fill="F0FFFF"/>
          </w:tcPr>
          <w:p>
            <w:pPr>
              <w:spacing w:after="0"/>
              <w:rPr>
                <w:sz w:val="20"/>
                <w:szCs w:val="20"/>
                <w:color w:val="auto"/>
              </w:rPr>
            </w:pPr>
            <w:r>
              <w:rPr>
                <w:rFonts w:ascii="Arial" w:cs="Arial" w:eastAsia="Arial" w:hAnsi="Arial"/>
                <w:sz w:val="17"/>
                <w:szCs w:val="17"/>
                <w:color w:val="auto"/>
              </w:rPr>
              <w:t>Home equity lines of credit</w:t>
            </w: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693</w:t>
            </w:r>
          </w:p>
        </w:tc>
        <w:tc>
          <w:tcPr>
            <w:tcW w:w="220" w:type="dxa"/>
            <w:vAlign w:val="bottom"/>
            <w:tcBorders>
              <w:left w:val="single" w:sz="8" w:color="F0FFFF"/>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695</w:t>
            </w: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1,106</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Residential construction</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2,127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2,006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3,805</w:t>
            </w:r>
          </w:p>
        </w:tc>
      </w:tr>
      <w:tr>
        <w:trPr>
          <w:trHeight w:val="205"/>
        </w:trPr>
        <w:tc>
          <w:tcPr>
            <w:tcW w:w="7440" w:type="dxa"/>
            <w:vAlign w:val="bottom"/>
            <w:shd w:val="clear" w:color="auto" w:fill="F0FFFF"/>
          </w:tcPr>
          <w:p>
            <w:pPr>
              <w:spacing w:after="0"/>
              <w:rPr>
                <w:sz w:val="20"/>
                <w:szCs w:val="20"/>
                <w:color w:val="auto"/>
              </w:rPr>
            </w:pPr>
            <w:r>
              <w:rPr>
                <w:rFonts w:ascii="Arial" w:cs="Arial" w:eastAsia="Arial" w:hAnsi="Arial"/>
                <w:sz w:val="17"/>
                <w:szCs w:val="17"/>
                <w:color w:val="auto"/>
              </w:rPr>
              <w:t>Consumer installment</w:t>
            </w: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142</w:t>
            </w:r>
          </w:p>
        </w:tc>
        <w:tc>
          <w:tcPr>
            <w:tcW w:w="220" w:type="dxa"/>
            <w:vAlign w:val="bottom"/>
            <w:tcBorders>
              <w:left w:val="single" w:sz="8" w:color="F0FFFF"/>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134</w:t>
            </w: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291</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Indirect auto</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500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294</w:t>
            </w:r>
          </w:p>
        </w:tc>
      </w:tr>
      <w:tr>
        <w:trPr>
          <w:trHeight w:val="26"/>
        </w:trPr>
        <w:tc>
          <w:tcPr>
            <w:tcW w:w="7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440" w:type="dxa"/>
            <w:vAlign w:val="bottom"/>
            <w:shd w:val="clear" w:color="auto" w:fill="F0FFFF"/>
          </w:tcPr>
          <w:p>
            <w:pPr>
              <w:ind w:left="16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19,015</w:t>
            </w:r>
          </w:p>
        </w:tc>
        <w:tc>
          <w:tcPr>
            <w:tcW w:w="220" w:type="dxa"/>
            <w:vAlign w:val="bottom"/>
            <w:tcBorders>
              <w:left w:val="single" w:sz="8" w:color="F0FFFF"/>
            </w:tcBorders>
            <w:shd w:val="clear" w:color="auto" w:fill="F0FFFF"/>
          </w:tcPr>
          <w:p>
            <w:pPr>
              <w:spacing w:after="0"/>
              <w:rPr>
                <w:sz w:val="19"/>
                <w:szCs w:val="19"/>
                <w:color w:val="auto"/>
              </w:rPr>
            </w:pPr>
          </w:p>
        </w:tc>
        <w:tc>
          <w:tcPr>
            <w:tcW w:w="240" w:type="dxa"/>
            <w:vAlign w:val="bottom"/>
            <w:shd w:val="clear" w:color="auto" w:fill="F0FFFF"/>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17,881</w:t>
            </w:r>
          </w:p>
        </w:tc>
        <w:tc>
          <w:tcPr>
            <w:tcW w:w="140" w:type="dxa"/>
            <w:vAlign w:val="bottom"/>
            <w:shd w:val="clear" w:color="auto" w:fill="F0FFFF"/>
          </w:tcPr>
          <w:p>
            <w:pPr>
              <w:spacing w:after="0"/>
              <w:rPr>
                <w:sz w:val="19"/>
                <w:szCs w:val="19"/>
                <w:color w:val="auto"/>
              </w:rPr>
            </w:pP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25,250</w:t>
            </w:r>
          </w:p>
        </w:tc>
      </w:tr>
      <w:tr>
        <w:trPr>
          <w:trHeight w:val="20"/>
        </w:trPr>
        <w:tc>
          <w:tcPr>
            <w:tcW w:w="744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left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r>
    </w:tbl>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The following table presents the aging of the recorded investment in past due loans as of March 31, 2015, December 31, 2014 and March 31, 2014 by class of loans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7"/>
                <w:szCs w:val="17"/>
                <w:b w:val="1"/>
                <w:bCs w:val="1"/>
                <w:color w:val="auto"/>
              </w:rPr>
              <w:t>Loans Past Due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3"/>
              </w:rPr>
              <w:t>Loans Not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7"/>
        </w:trPr>
        <w:tc>
          <w:tcPr>
            <w:tcW w:w="3080" w:type="dxa"/>
            <w:vAlign w:val="bottom"/>
            <w:gridSpan w:val="3"/>
          </w:tcPr>
          <w:p>
            <w:pPr>
              <w:spacing w:after="0" w:line="167" w:lineRule="exact"/>
              <w:rPr>
                <w:sz w:val="20"/>
                <w:szCs w:val="20"/>
                <w:color w:val="auto"/>
              </w:rPr>
            </w:pPr>
            <w:r>
              <w:rPr>
                <w:rFonts w:ascii="Arial" w:cs="Arial" w:eastAsia="Arial" w:hAnsi="Arial"/>
                <w:sz w:val="17"/>
                <w:szCs w:val="17"/>
                <w:b w:val="1"/>
                <w:bCs w:val="1"/>
                <w:color w:val="auto"/>
              </w:rPr>
              <w:t>As of March 31, 2015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20"/>
              <w:spacing w:after="0" w:line="167" w:lineRule="exact"/>
              <w:rPr>
                <w:sz w:val="20"/>
                <w:szCs w:val="20"/>
                <w:color w:val="auto"/>
              </w:rPr>
            </w:pPr>
            <w:r>
              <w:rPr>
                <w:rFonts w:ascii="Arial" w:cs="Arial" w:eastAsia="Arial" w:hAnsi="Arial"/>
                <w:sz w:val="17"/>
                <w:szCs w:val="17"/>
                <w:b w:val="1"/>
                <w:bCs w:val="1"/>
                <w:color w:val="auto"/>
              </w:rPr>
              <w:t>30 - 59 Days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380"/>
              <w:spacing w:after="0" w:line="167" w:lineRule="exact"/>
              <w:rPr>
                <w:sz w:val="20"/>
                <w:szCs w:val="20"/>
                <w:color w:val="auto"/>
              </w:rPr>
            </w:pPr>
            <w:r>
              <w:rPr>
                <w:rFonts w:ascii="Arial" w:cs="Arial" w:eastAsia="Arial" w:hAnsi="Arial"/>
                <w:sz w:val="17"/>
                <w:szCs w:val="17"/>
                <w:b w:val="1"/>
                <w:bCs w:val="1"/>
                <w:color w:val="auto"/>
                <w:w w:val="89"/>
              </w:rPr>
              <w:t>60 - 89 Days</w:t>
            </w:r>
          </w:p>
        </w:tc>
        <w:tc>
          <w:tcPr>
            <w:tcW w:w="140" w:type="dxa"/>
            <w:vAlign w:val="bottom"/>
          </w:tcPr>
          <w:p>
            <w:pPr>
              <w:spacing w:after="0"/>
              <w:rPr>
                <w:sz w:val="14"/>
                <w:szCs w:val="14"/>
                <w:color w:val="auto"/>
              </w:rPr>
            </w:pPr>
          </w:p>
        </w:tc>
        <w:tc>
          <w:tcPr>
            <w:tcW w:w="1240" w:type="dxa"/>
            <w:vAlign w:val="bottom"/>
            <w:gridSpan w:val="2"/>
          </w:tcPr>
          <w:p>
            <w:pPr>
              <w:jc w:val="right"/>
              <w:ind w:right="460"/>
              <w:spacing w:after="0" w:line="167" w:lineRule="exact"/>
              <w:rPr>
                <w:sz w:val="20"/>
                <w:szCs w:val="20"/>
                <w:color w:val="auto"/>
              </w:rPr>
            </w:pPr>
            <w:r>
              <w:rPr>
                <w:rFonts w:ascii="Arial" w:cs="Arial" w:eastAsia="Arial" w:hAnsi="Arial"/>
                <w:sz w:val="17"/>
                <w:szCs w:val="17"/>
                <w:b w:val="1"/>
                <w:bCs w:val="1"/>
                <w:color w:val="auto"/>
                <w:w w:val="96"/>
              </w:rPr>
              <w:t>&gt; 90 Days</w:t>
            </w:r>
          </w:p>
        </w:tc>
        <w:tc>
          <w:tcPr>
            <w:tcW w:w="240" w:type="dxa"/>
            <w:vAlign w:val="bottom"/>
          </w:tcPr>
          <w:p>
            <w:pPr>
              <w:spacing w:after="0"/>
              <w:rPr>
                <w:sz w:val="14"/>
                <w:szCs w:val="14"/>
                <w:color w:val="auto"/>
              </w:rPr>
            </w:pPr>
          </w:p>
        </w:tc>
        <w:tc>
          <w:tcPr>
            <w:tcW w:w="920" w:type="dxa"/>
            <w:vAlign w:val="bottom"/>
          </w:tcPr>
          <w:p>
            <w:pPr>
              <w:jc w:val="right"/>
              <w:ind w:right="315"/>
              <w:spacing w:after="0" w:line="167" w:lineRule="exact"/>
              <w:rPr>
                <w:sz w:val="20"/>
                <w:szCs w:val="20"/>
                <w:color w:val="auto"/>
              </w:rPr>
            </w:pPr>
            <w:r>
              <w:rPr>
                <w:rFonts w:ascii="Arial" w:cs="Arial" w:eastAsia="Arial" w:hAnsi="Arial"/>
                <w:sz w:val="17"/>
                <w:szCs w:val="17"/>
                <w:b w:val="1"/>
                <w:bCs w:val="1"/>
                <w:color w:val="auto"/>
              </w:rPr>
              <w:t>Total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40"/>
              <w:spacing w:after="0" w:line="167" w:lineRule="exact"/>
              <w:rPr>
                <w:sz w:val="20"/>
                <w:szCs w:val="20"/>
                <w:color w:val="auto"/>
              </w:rPr>
            </w:pPr>
            <w:r>
              <w:rPr>
                <w:rFonts w:ascii="Arial" w:cs="Arial" w:eastAsia="Arial" w:hAnsi="Arial"/>
                <w:sz w:val="17"/>
                <w:szCs w:val="17"/>
                <w:b w:val="1"/>
                <w:bCs w:val="1"/>
                <w:color w:val="auto"/>
              </w:rPr>
              <w:t>Past Due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480"/>
              <w:spacing w:after="0" w:line="167" w:lineRule="exact"/>
              <w:rPr>
                <w:sz w:val="20"/>
                <w:szCs w:val="20"/>
                <w:color w:val="auto"/>
              </w:rPr>
            </w:pPr>
            <w:r>
              <w:rPr>
                <w:rFonts w:ascii="Arial" w:cs="Arial" w:eastAsia="Arial" w:hAnsi="Arial"/>
                <w:sz w:val="17"/>
                <w:szCs w:val="17"/>
                <w:b w:val="1"/>
                <w:bCs w:val="1"/>
                <w:color w:val="auto"/>
              </w:rPr>
              <w:t>Total</w:t>
            </w:r>
          </w:p>
        </w:tc>
      </w:tr>
      <w:tr>
        <w:trPr>
          <w:trHeight w:val="24"/>
        </w:trPr>
        <w:tc>
          <w:tcPr>
            <w:tcW w:w="15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308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Owner occupied commercial real estate</w:t>
            </w:r>
          </w:p>
        </w:tc>
        <w:tc>
          <w:tcPr>
            <w:tcW w:w="36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1,965</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1,130</w:t>
            </w: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1,573</w:t>
            </w:r>
          </w:p>
        </w:tc>
        <w:tc>
          <w:tcPr>
            <w:tcW w:w="240" w:type="dxa"/>
            <w:vAlign w:val="bottom"/>
            <w:shd w:val="clear" w:color="auto" w:fill="F0FFFF"/>
          </w:tcPr>
          <w:p>
            <w:pPr>
              <w:spacing w:after="0"/>
              <w:rPr>
                <w:sz w:val="17"/>
                <w:szCs w:val="17"/>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4,668</w:t>
            </w:r>
          </w:p>
        </w:tc>
        <w:tc>
          <w:tcPr>
            <w:tcW w:w="220" w:type="dxa"/>
            <w:vAlign w:val="bottom"/>
            <w:shd w:val="clear" w:color="auto" w:fill="F0FFFF"/>
          </w:tcPr>
          <w:p>
            <w:pPr>
              <w:spacing w:after="0"/>
              <w:rPr>
                <w:sz w:val="17"/>
                <w:szCs w:val="17"/>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1,162,248</w:t>
            </w:r>
          </w:p>
        </w:tc>
        <w:tc>
          <w:tcPr>
            <w:tcW w:w="32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1,166,916</w:t>
            </w:r>
          </w:p>
        </w:tc>
        <w:tc>
          <w:tcPr>
            <w:tcW w:w="100" w:type="dxa"/>
            <w:vAlign w:val="bottom"/>
            <w:shd w:val="clear" w:color="auto" w:fill="F0FFFF"/>
          </w:tcPr>
          <w:p>
            <w:pPr>
              <w:spacing w:after="0"/>
              <w:rPr>
                <w:sz w:val="17"/>
                <w:szCs w:val="17"/>
                <w:color w:val="auto"/>
              </w:rPr>
            </w:pPr>
          </w:p>
        </w:tc>
      </w:tr>
      <w:tr>
        <w:trPr>
          <w:trHeight w:val="205"/>
        </w:trPr>
        <w:tc>
          <w:tcPr>
            <w:tcW w:w="3080" w:type="dxa"/>
            <w:vAlign w:val="bottom"/>
            <w:gridSpan w:val="3"/>
          </w:tcPr>
          <w:p>
            <w:pPr>
              <w:spacing w:after="0"/>
              <w:rPr>
                <w:sz w:val="20"/>
                <w:szCs w:val="20"/>
                <w:color w:val="auto"/>
              </w:rPr>
            </w:pPr>
            <w:r>
              <w:rPr>
                <w:rFonts w:ascii="Arial" w:cs="Arial" w:eastAsia="Arial" w:hAnsi="Arial"/>
                <w:sz w:val="17"/>
                <w:szCs w:val="17"/>
                <w:color w:val="auto"/>
                <w:w w:val="98"/>
              </w:rPr>
              <w:t>Income producing commercial real estate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440</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502</w:t>
            </w: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635,605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636,107</w:t>
            </w:r>
          </w:p>
        </w:tc>
      </w:tr>
      <w:tr>
        <w:trPr>
          <w:trHeight w:val="205"/>
        </w:trPr>
        <w:tc>
          <w:tcPr>
            <w:tcW w:w="308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Commercial &amp; industrial</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790</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1,001</w:t>
            </w: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1,405</w:t>
            </w:r>
          </w:p>
        </w:tc>
        <w:tc>
          <w:tcPr>
            <w:tcW w:w="2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3,196</w:t>
            </w:r>
          </w:p>
        </w:tc>
        <w:tc>
          <w:tcPr>
            <w:tcW w:w="2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713,085</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716,281</w:t>
            </w:r>
          </w:p>
        </w:tc>
      </w:tr>
      <w:tr>
        <w:trPr>
          <w:trHeight w:val="205"/>
        </w:trPr>
        <w:tc>
          <w:tcPr>
            <w:tcW w:w="3080" w:type="dxa"/>
            <w:vAlign w:val="bottom"/>
            <w:gridSpan w:val="3"/>
          </w:tcPr>
          <w:p>
            <w:pPr>
              <w:spacing w:after="0"/>
              <w:rPr>
                <w:sz w:val="20"/>
                <w:szCs w:val="20"/>
                <w:color w:val="auto"/>
              </w:rPr>
            </w:pPr>
            <w:r>
              <w:rPr>
                <w:rFonts w:ascii="Arial" w:cs="Arial" w:eastAsia="Arial" w:hAnsi="Arial"/>
                <w:sz w:val="17"/>
                <w:szCs w:val="17"/>
                <w:color w:val="auto"/>
              </w:rPr>
              <w:t>Commercial construction</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229,876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229,920</w:t>
            </w:r>
          </w:p>
        </w:tc>
      </w:tr>
      <w:tr>
        <w:trPr>
          <w:trHeight w:val="26"/>
        </w:trPr>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3080" w:type="dxa"/>
            <w:vAlign w:val="bottom"/>
            <w:gridSpan w:val="3"/>
            <w:shd w:val="clear" w:color="auto" w:fill="F0FFFF"/>
          </w:tcPr>
          <w:p>
            <w:pPr>
              <w:ind w:left="160"/>
              <w:spacing w:after="0"/>
              <w:rPr>
                <w:sz w:val="20"/>
                <w:szCs w:val="20"/>
                <w:color w:val="auto"/>
              </w:rPr>
            </w:pPr>
            <w:r>
              <w:rPr>
                <w:rFonts w:ascii="Arial" w:cs="Arial" w:eastAsia="Arial" w:hAnsi="Arial"/>
                <w:sz w:val="17"/>
                <w:szCs w:val="17"/>
                <w:color w:val="auto"/>
              </w:rPr>
              <w:t>Total commercial</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2,817</w:t>
            </w: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2,131</w:t>
            </w: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3,462</w:t>
            </w:r>
          </w:p>
        </w:tc>
        <w:tc>
          <w:tcPr>
            <w:tcW w:w="2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8,410</w:t>
            </w:r>
          </w:p>
        </w:tc>
        <w:tc>
          <w:tcPr>
            <w:tcW w:w="2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2,740,814</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2,749,224</w:t>
            </w:r>
          </w:p>
        </w:tc>
        <w:tc>
          <w:tcPr>
            <w:tcW w:w="100" w:type="dxa"/>
            <w:vAlign w:val="bottom"/>
            <w:shd w:val="clear" w:color="auto" w:fill="F0FFFF"/>
          </w:tcPr>
          <w:p>
            <w:pPr>
              <w:spacing w:after="0"/>
              <w:rPr>
                <w:sz w:val="17"/>
                <w:szCs w:val="17"/>
                <w:color w:val="auto"/>
              </w:rPr>
            </w:pPr>
          </w:p>
        </w:tc>
      </w:tr>
      <w:tr>
        <w:trPr>
          <w:trHeight w:val="205"/>
        </w:trPr>
        <w:tc>
          <w:tcPr>
            <w:tcW w:w="3080" w:type="dxa"/>
            <w:vAlign w:val="bottom"/>
            <w:gridSpan w:val="3"/>
          </w:tcPr>
          <w:p>
            <w:pPr>
              <w:spacing w:after="0"/>
              <w:rPr>
                <w:sz w:val="20"/>
                <w:szCs w:val="20"/>
                <w:color w:val="auto"/>
              </w:rPr>
            </w:pPr>
            <w:r>
              <w:rPr>
                <w:rFonts w:ascii="Arial" w:cs="Arial" w:eastAsia="Arial" w:hAnsi="Arial"/>
                <w:sz w:val="17"/>
                <w:szCs w:val="17"/>
                <w:color w:val="auto"/>
              </w:rPr>
              <w:t>Residential mortgage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4,290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1,566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2,558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8,414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854,897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863,311</w:t>
            </w:r>
          </w:p>
        </w:tc>
      </w:tr>
      <w:tr>
        <w:trPr>
          <w:trHeight w:val="205"/>
        </w:trPr>
        <w:tc>
          <w:tcPr>
            <w:tcW w:w="308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Home equity lines of credit</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1,470</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762</w:t>
            </w: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86</w:t>
            </w:r>
          </w:p>
        </w:tc>
        <w:tc>
          <w:tcPr>
            <w:tcW w:w="2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2,318</w:t>
            </w:r>
          </w:p>
        </w:tc>
        <w:tc>
          <w:tcPr>
            <w:tcW w:w="2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463,156</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465,474</w:t>
            </w:r>
          </w:p>
        </w:tc>
      </w:tr>
      <w:tr>
        <w:trPr>
          <w:trHeight w:val="205"/>
        </w:trPr>
        <w:tc>
          <w:tcPr>
            <w:tcW w:w="3080" w:type="dxa"/>
            <w:vAlign w:val="bottom"/>
            <w:gridSpan w:val="3"/>
          </w:tcPr>
          <w:p>
            <w:pPr>
              <w:spacing w:after="0"/>
              <w:rPr>
                <w:sz w:val="20"/>
                <w:szCs w:val="20"/>
                <w:color w:val="auto"/>
              </w:rPr>
            </w:pPr>
            <w:r>
              <w:rPr>
                <w:rFonts w:ascii="Arial" w:cs="Arial" w:eastAsia="Arial" w:hAnsi="Arial"/>
                <w:sz w:val="17"/>
                <w:szCs w:val="17"/>
                <w:color w:val="auto"/>
              </w:rPr>
              <w:t>Residential construction</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1,018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1,343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245</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2,606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288,653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291,259</w:t>
            </w:r>
          </w:p>
        </w:tc>
      </w:tr>
      <w:tr>
        <w:trPr>
          <w:trHeight w:val="205"/>
        </w:trPr>
        <w:tc>
          <w:tcPr>
            <w:tcW w:w="308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Consumer installment</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485</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61</w:t>
            </w: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80</w:t>
            </w:r>
          </w:p>
        </w:tc>
        <w:tc>
          <w:tcPr>
            <w:tcW w:w="2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626</w:t>
            </w:r>
          </w:p>
        </w:tc>
        <w:tc>
          <w:tcPr>
            <w:tcW w:w="12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101,959</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102,585</w:t>
            </w:r>
          </w:p>
        </w:tc>
      </w:tr>
      <w:tr>
        <w:trPr>
          <w:trHeight w:val="205"/>
        </w:trPr>
        <w:tc>
          <w:tcPr>
            <w:tcW w:w="3080" w:type="dxa"/>
            <w:vAlign w:val="bottom"/>
            <w:gridSpan w:val="3"/>
          </w:tcPr>
          <w:p>
            <w:pPr>
              <w:spacing w:after="0"/>
              <w:rPr>
                <w:sz w:val="20"/>
                <w:szCs w:val="20"/>
                <w:color w:val="auto"/>
              </w:rPr>
            </w:pPr>
            <w:r>
              <w:rPr>
                <w:rFonts w:ascii="Arial" w:cs="Arial" w:eastAsia="Arial" w:hAnsi="Arial"/>
                <w:sz w:val="17"/>
                <w:szCs w:val="17"/>
                <w:color w:val="auto"/>
              </w:rPr>
              <w:t>Indirect auto</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133</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202</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596</w:t>
            </w: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315,240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315,836</w:t>
            </w:r>
          </w:p>
        </w:tc>
      </w:tr>
      <w:tr>
        <w:trPr>
          <w:trHeight w:val="26"/>
        </w:trPr>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3080" w:type="dxa"/>
            <w:vAlign w:val="bottom"/>
            <w:gridSpan w:val="3"/>
            <w:shd w:val="clear" w:color="auto" w:fill="F0FFFF"/>
          </w:tcPr>
          <w:p>
            <w:pPr>
              <w:ind w:left="160"/>
              <w:spacing w:after="0"/>
              <w:rPr>
                <w:sz w:val="20"/>
                <w:szCs w:val="20"/>
                <w:color w:val="auto"/>
              </w:rPr>
            </w:pPr>
            <w:r>
              <w:rPr>
                <w:rFonts w:ascii="Arial" w:cs="Arial" w:eastAsia="Arial" w:hAnsi="Arial"/>
                <w:sz w:val="17"/>
                <w:szCs w:val="17"/>
                <w:color w:val="auto"/>
              </w:rPr>
              <w:t>Total loans</w:t>
            </w:r>
          </w:p>
        </w:tc>
        <w:tc>
          <w:tcPr>
            <w:tcW w:w="240" w:type="dxa"/>
            <w:vAlign w:val="bottom"/>
            <w:shd w:val="clear" w:color="auto" w:fill="F0FFFF"/>
          </w:tcPr>
          <w:p>
            <w:pPr>
              <w:spacing w:after="0"/>
              <w:rPr>
                <w:sz w:val="21"/>
                <w:szCs w:val="21"/>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10,341</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5,996</w:t>
            </w:r>
          </w:p>
        </w:tc>
        <w:tc>
          <w:tcPr>
            <w:tcW w:w="240" w:type="dxa"/>
            <w:vAlign w:val="bottom"/>
            <w:shd w:val="clear" w:color="auto" w:fill="F0FFFF"/>
          </w:tcPr>
          <w:p>
            <w:pPr>
              <w:spacing w:after="0"/>
              <w:rPr>
                <w:sz w:val="21"/>
                <w:szCs w:val="21"/>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6,633</w:t>
            </w:r>
          </w:p>
        </w:tc>
        <w:tc>
          <w:tcPr>
            <w:tcW w:w="240" w:type="dxa"/>
            <w:vAlign w:val="bottom"/>
            <w:shd w:val="clear" w:color="auto" w:fill="F0FFFF"/>
          </w:tcPr>
          <w:p>
            <w:pPr>
              <w:spacing w:after="0"/>
              <w:rPr>
                <w:sz w:val="21"/>
                <w:szCs w:val="21"/>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22,970</w:t>
            </w:r>
          </w:p>
        </w:tc>
        <w:tc>
          <w:tcPr>
            <w:tcW w:w="220" w:type="dxa"/>
            <w:vAlign w:val="bottom"/>
            <w:shd w:val="clear" w:color="auto" w:fill="F0FFFF"/>
          </w:tcPr>
          <w:p>
            <w:pPr>
              <w:spacing w:after="0"/>
              <w:rPr>
                <w:sz w:val="21"/>
                <w:szCs w:val="21"/>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4,764,719</w:t>
            </w:r>
          </w:p>
        </w:tc>
        <w:tc>
          <w:tcPr>
            <w:tcW w:w="32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4,787,689</w:t>
            </w:r>
          </w:p>
        </w:tc>
        <w:tc>
          <w:tcPr>
            <w:tcW w:w="100" w:type="dxa"/>
            <w:vAlign w:val="bottom"/>
            <w:shd w:val="clear" w:color="auto" w:fill="F0FFFF"/>
          </w:tcPr>
          <w:p>
            <w:pPr>
              <w:spacing w:after="0"/>
              <w:rPr>
                <w:sz w:val="21"/>
                <w:szCs w:val="21"/>
                <w:color w:val="auto"/>
              </w:rPr>
            </w:pPr>
          </w:p>
        </w:tc>
      </w:tr>
      <w:tr>
        <w:trPr>
          <w:trHeight w:val="158"/>
        </w:trPr>
        <w:tc>
          <w:tcPr>
            <w:tcW w:w="3080" w:type="dxa"/>
            <w:vAlign w:val="bottom"/>
            <w:tcBorders>
              <w:top w:val="single" w:sz="8" w:color="F0FFFF"/>
            </w:tcBorders>
            <w:gridSpan w:val="3"/>
          </w:tcPr>
          <w:p>
            <w:pPr>
              <w:spacing w:after="0" w:line="158" w:lineRule="exact"/>
              <w:rPr>
                <w:sz w:val="20"/>
                <w:szCs w:val="20"/>
                <w:color w:val="auto"/>
              </w:rPr>
            </w:pPr>
            <w:r>
              <w:rPr>
                <w:rFonts w:ascii="Arial" w:cs="Arial" w:eastAsia="Arial" w:hAnsi="Arial"/>
                <w:sz w:val="17"/>
                <w:szCs w:val="17"/>
                <w:b w:val="1"/>
                <w:bCs w:val="1"/>
                <w:color w:val="auto"/>
              </w:rPr>
              <w:t>As of December 31, 2014</w:t>
            </w:r>
          </w:p>
        </w:tc>
        <w:tc>
          <w:tcPr>
            <w:tcW w:w="240" w:type="dxa"/>
            <w:vAlign w:val="bottom"/>
            <w:tcBorders>
              <w:top w:val="single" w:sz="8" w:color="F0FF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F0FFFF"/>
            </w:tcBorders>
          </w:tcPr>
          <w:p>
            <w:pPr>
              <w:spacing w:after="0"/>
              <w:rPr>
                <w:sz w:val="13"/>
                <w:szCs w:val="13"/>
                <w:color w:val="auto"/>
              </w:rPr>
            </w:pPr>
          </w:p>
        </w:tc>
        <w:tc>
          <w:tcPr>
            <w:tcW w:w="100" w:type="dxa"/>
            <w:vAlign w:val="bottom"/>
            <w:tcBorders>
              <w:top w:val="single" w:sz="8" w:color="F0FF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Borders>
              <w:top w:val="single" w:sz="8" w:color="F0FF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Borders>
              <w:top w:val="single" w:sz="8" w:color="F0FF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F0FF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Borders>
              <w:top w:val="single" w:sz="8" w:color="F0FFFF"/>
            </w:tcBorders>
          </w:tcPr>
          <w:p>
            <w:pPr>
              <w:spacing w:after="0"/>
              <w:rPr>
                <w:sz w:val="13"/>
                <w:szCs w:val="13"/>
                <w:color w:val="auto"/>
              </w:rPr>
            </w:pPr>
          </w:p>
        </w:tc>
        <w:tc>
          <w:tcPr>
            <w:tcW w:w="100" w:type="dxa"/>
            <w:vAlign w:val="bottom"/>
            <w:tcBorders>
              <w:top w:val="single" w:sz="8" w:color="F0FF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F0FFFF"/>
            </w:tcBorders>
          </w:tcPr>
          <w:p>
            <w:pPr>
              <w:spacing w:after="0"/>
              <w:rPr>
                <w:sz w:val="13"/>
                <w:szCs w:val="13"/>
                <w:color w:val="auto"/>
              </w:rPr>
            </w:pPr>
          </w:p>
        </w:tc>
      </w:tr>
      <w:tr>
        <w:trPr>
          <w:trHeight w:val="29"/>
        </w:trPr>
        <w:tc>
          <w:tcPr>
            <w:tcW w:w="15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308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Owner occupied commercial real estate</w:t>
            </w:r>
          </w:p>
        </w:tc>
        <w:tc>
          <w:tcPr>
            <w:tcW w:w="36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1,444</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1,929</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1,141</w:t>
            </w:r>
          </w:p>
        </w:tc>
        <w:tc>
          <w:tcPr>
            <w:tcW w:w="24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4,514</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1,158,966</w:t>
            </w:r>
          </w:p>
        </w:tc>
        <w:tc>
          <w:tcPr>
            <w:tcW w:w="32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1,163,480</w:t>
            </w:r>
          </w:p>
        </w:tc>
        <w:tc>
          <w:tcPr>
            <w:tcW w:w="100" w:type="dxa"/>
            <w:vAlign w:val="bottom"/>
            <w:shd w:val="clear" w:color="auto" w:fill="F0FFFF"/>
          </w:tcPr>
          <w:p>
            <w:pPr>
              <w:spacing w:after="0"/>
              <w:rPr>
                <w:sz w:val="18"/>
                <w:szCs w:val="18"/>
                <w:color w:val="auto"/>
              </w:rPr>
            </w:pPr>
          </w:p>
        </w:tc>
      </w:tr>
      <w:tr>
        <w:trPr>
          <w:trHeight w:val="205"/>
        </w:trPr>
        <w:tc>
          <w:tcPr>
            <w:tcW w:w="3080" w:type="dxa"/>
            <w:vAlign w:val="bottom"/>
            <w:gridSpan w:val="3"/>
          </w:tcPr>
          <w:p>
            <w:pPr>
              <w:spacing w:after="0"/>
              <w:rPr>
                <w:sz w:val="20"/>
                <w:szCs w:val="20"/>
                <w:color w:val="auto"/>
              </w:rPr>
            </w:pPr>
            <w:r>
              <w:rPr>
                <w:rFonts w:ascii="Arial" w:cs="Arial" w:eastAsia="Arial" w:hAnsi="Arial"/>
                <w:sz w:val="17"/>
                <w:szCs w:val="17"/>
                <w:color w:val="auto"/>
                <w:w w:val="98"/>
              </w:rPr>
              <w:t>Income producing commercial real estate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2,322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1,172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3,494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595,043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598,537</w:t>
            </w:r>
          </w:p>
        </w:tc>
      </w:tr>
      <w:tr>
        <w:trPr>
          <w:trHeight w:val="205"/>
        </w:trPr>
        <w:tc>
          <w:tcPr>
            <w:tcW w:w="308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Commercial &amp; industrial</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302</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40</w:t>
            </w: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1,425</w:t>
            </w:r>
          </w:p>
        </w:tc>
        <w:tc>
          <w:tcPr>
            <w:tcW w:w="2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1,767</w:t>
            </w:r>
          </w:p>
        </w:tc>
        <w:tc>
          <w:tcPr>
            <w:tcW w:w="2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708,489</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710,256</w:t>
            </w:r>
          </w:p>
        </w:tc>
      </w:tr>
      <w:tr>
        <w:trPr>
          <w:trHeight w:val="205"/>
        </w:trPr>
        <w:tc>
          <w:tcPr>
            <w:tcW w:w="3080" w:type="dxa"/>
            <w:vAlign w:val="bottom"/>
            <w:gridSpan w:val="3"/>
          </w:tcPr>
          <w:p>
            <w:pPr>
              <w:spacing w:after="0"/>
              <w:rPr>
                <w:sz w:val="20"/>
                <w:szCs w:val="20"/>
                <w:color w:val="auto"/>
              </w:rPr>
            </w:pPr>
            <w:r>
              <w:rPr>
                <w:rFonts w:ascii="Arial" w:cs="Arial" w:eastAsia="Arial" w:hAnsi="Arial"/>
                <w:sz w:val="17"/>
                <w:szCs w:val="17"/>
                <w:color w:val="auto"/>
              </w:rPr>
              <w:t>Commercial construction</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195,964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196,030</w:t>
            </w:r>
          </w:p>
        </w:tc>
      </w:tr>
      <w:tr>
        <w:trPr>
          <w:trHeight w:val="26"/>
        </w:trPr>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3080" w:type="dxa"/>
            <w:vAlign w:val="bottom"/>
            <w:gridSpan w:val="3"/>
            <w:shd w:val="clear" w:color="auto" w:fill="F0FFFF"/>
          </w:tcPr>
          <w:p>
            <w:pPr>
              <w:ind w:left="160"/>
              <w:spacing w:after="0"/>
              <w:rPr>
                <w:sz w:val="20"/>
                <w:szCs w:val="20"/>
                <w:color w:val="auto"/>
              </w:rPr>
            </w:pPr>
            <w:r>
              <w:rPr>
                <w:rFonts w:ascii="Arial" w:cs="Arial" w:eastAsia="Arial" w:hAnsi="Arial"/>
                <w:sz w:val="17"/>
                <w:szCs w:val="17"/>
                <w:color w:val="auto"/>
              </w:rPr>
              <w:t>Total commercial</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4,068</w:t>
            </w: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3,141</w:t>
            </w: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2,632</w:t>
            </w:r>
          </w:p>
        </w:tc>
        <w:tc>
          <w:tcPr>
            <w:tcW w:w="2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9,841</w:t>
            </w:r>
          </w:p>
        </w:tc>
        <w:tc>
          <w:tcPr>
            <w:tcW w:w="2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2,658,462</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2,668,303</w:t>
            </w:r>
          </w:p>
        </w:tc>
        <w:tc>
          <w:tcPr>
            <w:tcW w:w="100" w:type="dxa"/>
            <w:vAlign w:val="bottom"/>
            <w:shd w:val="clear" w:color="auto" w:fill="F0FFFF"/>
          </w:tcPr>
          <w:p>
            <w:pPr>
              <w:spacing w:after="0"/>
              <w:rPr>
                <w:sz w:val="17"/>
                <w:szCs w:val="17"/>
                <w:color w:val="auto"/>
              </w:rPr>
            </w:pPr>
          </w:p>
        </w:tc>
      </w:tr>
      <w:tr>
        <w:trPr>
          <w:trHeight w:val="205"/>
        </w:trPr>
        <w:tc>
          <w:tcPr>
            <w:tcW w:w="3080" w:type="dxa"/>
            <w:vAlign w:val="bottom"/>
            <w:gridSpan w:val="3"/>
          </w:tcPr>
          <w:p>
            <w:pPr>
              <w:spacing w:after="0"/>
              <w:rPr>
                <w:sz w:val="20"/>
                <w:szCs w:val="20"/>
                <w:color w:val="auto"/>
              </w:rPr>
            </w:pPr>
            <w:r>
              <w:rPr>
                <w:rFonts w:ascii="Arial" w:cs="Arial" w:eastAsia="Arial" w:hAnsi="Arial"/>
                <w:sz w:val="17"/>
                <w:szCs w:val="17"/>
                <w:color w:val="auto"/>
              </w:rPr>
              <w:t>Residential mortgage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5,234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2,931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3,278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11,443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854,346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865,789</w:t>
            </w:r>
          </w:p>
        </w:tc>
      </w:tr>
      <w:tr>
        <w:trPr>
          <w:trHeight w:val="205"/>
        </w:trPr>
        <w:tc>
          <w:tcPr>
            <w:tcW w:w="308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Home equity lines of credit</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961</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303</w:t>
            </w: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167</w:t>
            </w: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1,431</w:t>
            </w:r>
          </w:p>
        </w:tc>
        <w:tc>
          <w:tcPr>
            <w:tcW w:w="2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464,441</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465,872</w:t>
            </w:r>
          </w:p>
        </w:tc>
      </w:tr>
      <w:tr>
        <w:trPr>
          <w:trHeight w:val="205"/>
        </w:trPr>
        <w:tc>
          <w:tcPr>
            <w:tcW w:w="3080" w:type="dxa"/>
            <w:vAlign w:val="bottom"/>
            <w:gridSpan w:val="3"/>
          </w:tcPr>
          <w:p>
            <w:pPr>
              <w:spacing w:after="0"/>
              <w:rPr>
                <w:sz w:val="20"/>
                <w:szCs w:val="20"/>
                <w:color w:val="auto"/>
              </w:rPr>
            </w:pPr>
            <w:r>
              <w:rPr>
                <w:rFonts w:ascii="Arial" w:cs="Arial" w:eastAsia="Arial" w:hAnsi="Arial"/>
                <w:sz w:val="17"/>
                <w:szCs w:val="17"/>
                <w:color w:val="auto"/>
              </w:rPr>
              <w:t>Residential construction</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1,172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268</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1,395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2,835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295,792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298,627</w:t>
            </w:r>
          </w:p>
        </w:tc>
      </w:tr>
      <w:tr>
        <w:trPr>
          <w:trHeight w:val="205"/>
        </w:trPr>
        <w:tc>
          <w:tcPr>
            <w:tcW w:w="308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Consumer installment</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607</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136</w:t>
            </w: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33</w:t>
            </w:r>
          </w:p>
        </w:tc>
        <w:tc>
          <w:tcPr>
            <w:tcW w:w="2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776</w:t>
            </w:r>
          </w:p>
        </w:tc>
        <w:tc>
          <w:tcPr>
            <w:tcW w:w="12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104,123</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104,899</w:t>
            </w:r>
          </w:p>
        </w:tc>
      </w:tr>
      <w:tr>
        <w:trPr>
          <w:trHeight w:val="205"/>
        </w:trPr>
        <w:tc>
          <w:tcPr>
            <w:tcW w:w="3080" w:type="dxa"/>
            <w:vAlign w:val="bottom"/>
            <w:gridSpan w:val="3"/>
          </w:tcPr>
          <w:p>
            <w:pPr>
              <w:spacing w:after="0"/>
              <w:rPr>
                <w:sz w:val="20"/>
                <w:szCs w:val="20"/>
                <w:color w:val="auto"/>
              </w:rPr>
            </w:pPr>
            <w:r>
              <w:rPr>
                <w:rFonts w:ascii="Arial" w:cs="Arial" w:eastAsia="Arial" w:hAnsi="Arial"/>
                <w:sz w:val="17"/>
                <w:szCs w:val="17"/>
                <w:color w:val="auto"/>
              </w:rPr>
              <w:t>Indirect auto</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146</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141</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487</w:t>
            </w: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268,142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268,629</w:t>
            </w:r>
          </w:p>
        </w:tc>
      </w:tr>
      <w:tr>
        <w:trPr>
          <w:trHeight w:val="26"/>
        </w:trPr>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3080" w:type="dxa"/>
            <w:vAlign w:val="bottom"/>
            <w:gridSpan w:val="3"/>
            <w:shd w:val="clear" w:color="auto" w:fill="F0FFFF"/>
          </w:tcPr>
          <w:p>
            <w:pPr>
              <w:ind w:left="160"/>
              <w:spacing w:after="0"/>
              <w:rPr>
                <w:sz w:val="20"/>
                <w:szCs w:val="20"/>
                <w:color w:val="auto"/>
              </w:rPr>
            </w:pPr>
            <w:r>
              <w:rPr>
                <w:rFonts w:ascii="Arial" w:cs="Arial" w:eastAsia="Arial" w:hAnsi="Arial"/>
                <w:sz w:val="17"/>
                <w:szCs w:val="17"/>
                <w:color w:val="auto"/>
              </w:rPr>
              <w:t>Total loans</w:t>
            </w:r>
          </w:p>
        </w:tc>
        <w:tc>
          <w:tcPr>
            <w:tcW w:w="240" w:type="dxa"/>
            <w:vAlign w:val="bottom"/>
            <w:shd w:val="clear" w:color="auto" w:fill="F0FFFF"/>
          </w:tcPr>
          <w:p>
            <w:pPr>
              <w:spacing w:after="0"/>
              <w:rPr>
                <w:sz w:val="21"/>
                <w:szCs w:val="21"/>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12,242</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6,925</w:t>
            </w:r>
          </w:p>
        </w:tc>
        <w:tc>
          <w:tcPr>
            <w:tcW w:w="240" w:type="dxa"/>
            <w:vAlign w:val="bottom"/>
            <w:shd w:val="clear" w:color="auto" w:fill="F0FFFF"/>
          </w:tcPr>
          <w:p>
            <w:pPr>
              <w:spacing w:after="0"/>
              <w:rPr>
                <w:sz w:val="21"/>
                <w:szCs w:val="21"/>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7,646</w:t>
            </w:r>
          </w:p>
        </w:tc>
        <w:tc>
          <w:tcPr>
            <w:tcW w:w="240" w:type="dxa"/>
            <w:vAlign w:val="bottom"/>
            <w:shd w:val="clear" w:color="auto" w:fill="F0FFFF"/>
          </w:tcPr>
          <w:p>
            <w:pPr>
              <w:spacing w:after="0"/>
              <w:rPr>
                <w:sz w:val="21"/>
                <w:szCs w:val="21"/>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26,813</w:t>
            </w:r>
          </w:p>
        </w:tc>
        <w:tc>
          <w:tcPr>
            <w:tcW w:w="220" w:type="dxa"/>
            <w:vAlign w:val="bottom"/>
            <w:shd w:val="clear" w:color="auto" w:fill="F0FFFF"/>
          </w:tcPr>
          <w:p>
            <w:pPr>
              <w:spacing w:after="0"/>
              <w:rPr>
                <w:sz w:val="21"/>
                <w:szCs w:val="21"/>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4,645,306</w:t>
            </w:r>
          </w:p>
        </w:tc>
        <w:tc>
          <w:tcPr>
            <w:tcW w:w="32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4,672,119</w:t>
            </w:r>
          </w:p>
        </w:tc>
      </w:tr>
      <w:tr>
        <w:trPr>
          <w:trHeight w:val="606"/>
        </w:trPr>
        <w:tc>
          <w:tcPr>
            <w:tcW w:w="1560" w:type="dxa"/>
            <w:vAlign w:val="bottom"/>
            <w:tcBorders>
              <w:top w:val="single" w:sz="8" w:color="F0FFFF"/>
              <w:bottom w:val="single" w:sz="8" w:color="DCDCDC"/>
            </w:tcBorders>
          </w:tcPr>
          <w:p>
            <w:pPr>
              <w:spacing w:after="0"/>
              <w:rPr>
                <w:sz w:val="24"/>
                <w:szCs w:val="24"/>
                <w:color w:val="auto"/>
              </w:rPr>
            </w:pPr>
          </w:p>
        </w:tc>
        <w:tc>
          <w:tcPr>
            <w:tcW w:w="240" w:type="dxa"/>
            <w:vAlign w:val="bottom"/>
            <w:tcBorders>
              <w:top w:val="single" w:sz="8" w:color="F0FFFF"/>
              <w:bottom w:val="single" w:sz="8" w:color="DCDCDC"/>
            </w:tcBorders>
          </w:tcPr>
          <w:p>
            <w:pPr>
              <w:spacing w:after="0"/>
              <w:rPr>
                <w:sz w:val="24"/>
                <w:szCs w:val="24"/>
                <w:color w:val="auto"/>
              </w:rPr>
            </w:pPr>
          </w:p>
        </w:tc>
        <w:tc>
          <w:tcPr>
            <w:tcW w:w="1280" w:type="dxa"/>
            <w:vAlign w:val="bottom"/>
            <w:tcBorders>
              <w:top w:val="single" w:sz="8" w:color="F0FFFF"/>
              <w:bottom w:val="single" w:sz="8" w:color="DCDCDC"/>
            </w:tcBorders>
          </w:tcPr>
          <w:p>
            <w:pPr>
              <w:spacing w:after="0"/>
              <w:rPr>
                <w:sz w:val="24"/>
                <w:szCs w:val="24"/>
                <w:color w:val="auto"/>
              </w:rPr>
            </w:pPr>
          </w:p>
        </w:tc>
        <w:tc>
          <w:tcPr>
            <w:tcW w:w="240" w:type="dxa"/>
            <w:vAlign w:val="bottom"/>
            <w:tcBorders>
              <w:top w:val="single" w:sz="8" w:color="F0FFFF"/>
              <w:bottom w:val="single" w:sz="8" w:color="DCDCDC"/>
            </w:tcBorders>
          </w:tcPr>
          <w:p>
            <w:pPr>
              <w:spacing w:after="0"/>
              <w:rPr>
                <w:sz w:val="24"/>
                <w:szCs w:val="24"/>
                <w:color w:val="auto"/>
              </w:rPr>
            </w:pPr>
          </w:p>
        </w:tc>
        <w:tc>
          <w:tcPr>
            <w:tcW w:w="120" w:type="dxa"/>
            <w:vAlign w:val="bottom"/>
            <w:tcBorders>
              <w:top w:val="single" w:sz="8" w:color="auto"/>
              <w:bottom w:val="single" w:sz="8" w:color="DCDCDC"/>
            </w:tcBorders>
          </w:tcPr>
          <w:p>
            <w:pPr>
              <w:spacing w:after="0"/>
              <w:rPr>
                <w:sz w:val="24"/>
                <w:szCs w:val="24"/>
                <w:color w:val="auto"/>
              </w:rPr>
            </w:pPr>
          </w:p>
        </w:tc>
        <w:tc>
          <w:tcPr>
            <w:tcW w:w="1040" w:type="dxa"/>
            <w:vAlign w:val="bottom"/>
            <w:tcBorders>
              <w:top w:val="single" w:sz="8" w:color="auto"/>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c>
          <w:tcPr>
            <w:tcW w:w="120" w:type="dxa"/>
            <w:vAlign w:val="bottom"/>
            <w:tcBorders>
              <w:top w:val="single" w:sz="8" w:color="auto"/>
              <w:bottom w:val="single" w:sz="8" w:color="DCDCDC"/>
            </w:tcBorders>
          </w:tcPr>
          <w:p>
            <w:pPr>
              <w:spacing w:after="0"/>
              <w:rPr>
                <w:sz w:val="24"/>
                <w:szCs w:val="24"/>
                <w:color w:val="auto"/>
              </w:rPr>
            </w:pPr>
          </w:p>
        </w:tc>
        <w:tc>
          <w:tcPr>
            <w:tcW w:w="1040" w:type="dxa"/>
            <w:vAlign w:val="bottom"/>
            <w:tcBorders>
              <w:top w:val="single" w:sz="8" w:color="auto"/>
              <w:bottom w:val="single" w:sz="8" w:color="DCDCDC"/>
            </w:tcBorders>
          </w:tcPr>
          <w:p>
            <w:pPr>
              <w:jc w:val="right"/>
              <w:spacing w:after="0"/>
              <w:rPr>
                <w:sz w:val="20"/>
                <w:szCs w:val="20"/>
                <w:color w:val="auto"/>
              </w:rPr>
            </w:pPr>
            <w:r>
              <w:rPr>
                <w:rFonts w:ascii="Arial" w:cs="Arial" w:eastAsia="Arial" w:hAnsi="Arial"/>
                <w:sz w:val="17"/>
                <w:szCs w:val="17"/>
                <w:color w:val="auto"/>
              </w:rPr>
              <w:t>18</w:t>
            </w:r>
          </w:p>
        </w:tc>
        <w:tc>
          <w:tcPr>
            <w:tcW w:w="240" w:type="dxa"/>
            <w:vAlign w:val="bottom"/>
            <w:tcBorders>
              <w:top w:val="single" w:sz="8" w:color="F0FFFF"/>
              <w:bottom w:val="single" w:sz="8" w:color="DCDCDC"/>
            </w:tcBorders>
          </w:tcPr>
          <w:p>
            <w:pPr>
              <w:spacing w:after="0"/>
              <w:rPr>
                <w:sz w:val="24"/>
                <w:szCs w:val="24"/>
                <w:color w:val="auto"/>
              </w:rPr>
            </w:pPr>
          </w:p>
        </w:tc>
        <w:tc>
          <w:tcPr>
            <w:tcW w:w="140" w:type="dxa"/>
            <w:vAlign w:val="bottom"/>
            <w:tcBorders>
              <w:top w:val="single" w:sz="8" w:color="auto"/>
              <w:bottom w:val="single" w:sz="8" w:color="DCDCDC"/>
            </w:tcBorders>
          </w:tcPr>
          <w:p>
            <w:pPr>
              <w:spacing w:after="0"/>
              <w:rPr>
                <w:sz w:val="24"/>
                <w:szCs w:val="24"/>
                <w:color w:val="auto"/>
              </w:rPr>
            </w:pPr>
          </w:p>
        </w:tc>
        <w:tc>
          <w:tcPr>
            <w:tcW w:w="1000" w:type="dxa"/>
            <w:vAlign w:val="bottom"/>
            <w:tcBorders>
              <w:top w:val="single" w:sz="8" w:color="auto"/>
              <w:bottom w:val="single" w:sz="8" w:color="DCDCDC"/>
            </w:tcBorders>
          </w:tcPr>
          <w:p>
            <w:pPr>
              <w:spacing w:after="0"/>
              <w:rPr>
                <w:sz w:val="24"/>
                <w:szCs w:val="24"/>
                <w:color w:val="auto"/>
              </w:rPr>
            </w:pPr>
          </w:p>
        </w:tc>
        <w:tc>
          <w:tcPr>
            <w:tcW w:w="240" w:type="dxa"/>
            <w:vAlign w:val="bottom"/>
            <w:tcBorders>
              <w:top w:val="single" w:sz="8" w:color="F0FFFF"/>
              <w:bottom w:val="single" w:sz="8" w:color="DCDCDC"/>
            </w:tcBorders>
          </w:tcPr>
          <w:p>
            <w:pPr>
              <w:spacing w:after="0"/>
              <w:rPr>
                <w:sz w:val="24"/>
                <w:szCs w:val="24"/>
                <w:color w:val="auto"/>
              </w:rPr>
            </w:pPr>
          </w:p>
        </w:tc>
        <w:tc>
          <w:tcPr>
            <w:tcW w:w="240" w:type="dxa"/>
            <w:vAlign w:val="bottom"/>
            <w:tcBorders>
              <w:top w:val="single" w:sz="8" w:color="auto"/>
              <w:bottom w:val="single" w:sz="8" w:color="DCDCDC"/>
            </w:tcBorders>
          </w:tcPr>
          <w:p>
            <w:pPr>
              <w:spacing w:after="0"/>
              <w:rPr>
                <w:sz w:val="24"/>
                <w:szCs w:val="24"/>
                <w:color w:val="auto"/>
              </w:rPr>
            </w:pPr>
          </w:p>
        </w:tc>
        <w:tc>
          <w:tcPr>
            <w:tcW w:w="920" w:type="dxa"/>
            <w:vAlign w:val="bottom"/>
            <w:tcBorders>
              <w:top w:val="single" w:sz="8" w:color="auto"/>
              <w:bottom w:val="single" w:sz="8" w:color="DCDCDC"/>
            </w:tcBorders>
          </w:tcPr>
          <w:p>
            <w:pPr>
              <w:spacing w:after="0"/>
              <w:rPr>
                <w:sz w:val="24"/>
                <w:szCs w:val="24"/>
                <w:color w:val="auto"/>
              </w:rPr>
            </w:pPr>
          </w:p>
        </w:tc>
        <w:tc>
          <w:tcPr>
            <w:tcW w:w="220" w:type="dxa"/>
            <w:vAlign w:val="bottom"/>
            <w:tcBorders>
              <w:top w:val="single" w:sz="8" w:color="F0FFFF"/>
              <w:bottom w:val="single" w:sz="8" w:color="DCDCDC"/>
            </w:tcBorders>
          </w:tcPr>
          <w:p>
            <w:pPr>
              <w:spacing w:after="0"/>
              <w:rPr>
                <w:sz w:val="24"/>
                <w:szCs w:val="24"/>
                <w:color w:val="auto"/>
              </w:rPr>
            </w:pPr>
          </w:p>
        </w:tc>
        <w:tc>
          <w:tcPr>
            <w:tcW w:w="120" w:type="dxa"/>
            <w:vAlign w:val="bottom"/>
            <w:tcBorders>
              <w:top w:val="single" w:sz="8" w:color="auto"/>
              <w:bottom w:val="single" w:sz="8" w:color="DCDCDC"/>
            </w:tcBorders>
          </w:tcPr>
          <w:p>
            <w:pPr>
              <w:spacing w:after="0"/>
              <w:rPr>
                <w:sz w:val="24"/>
                <w:szCs w:val="24"/>
                <w:color w:val="auto"/>
              </w:rPr>
            </w:pPr>
          </w:p>
        </w:tc>
        <w:tc>
          <w:tcPr>
            <w:tcW w:w="1000" w:type="dxa"/>
            <w:vAlign w:val="bottom"/>
            <w:tcBorders>
              <w:top w:val="single" w:sz="8" w:color="auto"/>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c>
          <w:tcPr>
            <w:tcW w:w="220" w:type="dxa"/>
            <w:vAlign w:val="bottom"/>
            <w:tcBorders>
              <w:top w:val="single" w:sz="8" w:color="auto"/>
              <w:bottom w:val="single" w:sz="8" w:color="DCDCDC"/>
            </w:tcBorders>
          </w:tcPr>
          <w:p>
            <w:pPr>
              <w:spacing w:after="0"/>
              <w:rPr>
                <w:sz w:val="24"/>
                <w:szCs w:val="24"/>
                <w:color w:val="auto"/>
              </w:rPr>
            </w:pPr>
          </w:p>
        </w:tc>
        <w:tc>
          <w:tcPr>
            <w:tcW w:w="900" w:type="dxa"/>
            <w:vAlign w:val="bottom"/>
            <w:tcBorders>
              <w:top w:val="single" w:sz="8" w:color="auto"/>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r>
    </w:tbl>
    <w:p>
      <w:pPr>
        <w:sectPr>
          <w:pgSz w:w="11900" w:h="16838" w:orient="portrait"/>
          <w:cols w:equalWidth="0" w:num="1">
            <w:col w:w="11420"/>
          </w:cols>
          <w:pgMar w:left="240" w:top="879" w:right="239" w:bottom="1440" w:gutter="0" w:footer="0" w:header="0"/>
        </w:sectPr>
      </w:pPr>
    </w:p>
    <w:bookmarkStart w:id="19" w:name="page20"/>
    <w:bookmarkEnd w:id="19"/>
    <w:p>
      <w:pPr>
        <w:jc w:val="center"/>
        <w:ind w:right="100"/>
        <w:spacing w:after="0"/>
        <w:rPr>
          <w:sz w:val="20"/>
          <w:szCs w:val="20"/>
          <w:color w:val="auto"/>
        </w:rPr>
      </w:pPr>
      <w:r>
        <w:rPr>
          <w:rFonts w:ascii="Arial" w:cs="Arial" w:eastAsia="Arial" w:hAnsi="Arial"/>
          <w:sz w:val="17"/>
          <w:szCs w:val="17"/>
          <w:b w:val="1"/>
          <w:bCs w:val="1"/>
          <w:color w:val="auto"/>
        </w:rPr>
        <w:t>UNITED COMMUNITY BANKS, INC. AND SUBSIDIARIES</w:t>
      </w:r>
    </w:p>
    <w:p>
      <w:pPr>
        <w:spacing w:after="0" w:line="2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5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7"/>
                <w:szCs w:val="17"/>
                <w:b w:val="1"/>
                <w:bCs w:val="1"/>
                <w:color w:val="auto"/>
              </w:rPr>
              <w:t>Loans Past Due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3"/>
              </w:rPr>
              <w:t>Loans Not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7"/>
        </w:trPr>
        <w:tc>
          <w:tcPr>
            <w:tcW w:w="3080" w:type="dxa"/>
            <w:vAlign w:val="bottom"/>
            <w:gridSpan w:val="2"/>
          </w:tcPr>
          <w:p>
            <w:pPr>
              <w:spacing w:after="0" w:line="167" w:lineRule="exact"/>
              <w:rPr>
                <w:sz w:val="20"/>
                <w:szCs w:val="20"/>
                <w:color w:val="auto"/>
              </w:rPr>
            </w:pPr>
            <w:r>
              <w:rPr>
                <w:rFonts w:ascii="Arial" w:cs="Arial" w:eastAsia="Arial" w:hAnsi="Arial"/>
                <w:sz w:val="17"/>
                <w:szCs w:val="17"/>
                <w:b w:val="1"/>
                <w:bCs w:val="1"/>
                <w:color w:val="auto"/>
              </w:rPr>
              <w:t>As of March 31, 2014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20"/>
              <w:spacing w:after="0" w:line="167" w:lineRule="exact"/>
              <w:rPr>
                <w:sz w:val="20"/>
                <w:szCs w:val="20"/>
                <w:color w:val="auto"/>
              </w:rPr>
            </w:pPr>
            <w:r>
              <w:rPr>
                <w:rFonts w:ascii="Arial" w:cs="Arial" w:eastAsia="Arial" w:hAnsi="Arial"/>
                <w:sz w:val="17"/>
                <w:szCs w:val="17"/>
                <w:b w:val="1"/>
                <w:bCs w:val="1"/>
                <w:color w:val="auto"/>
              </w:rPr>
              <w:t>30 - 59 Days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380"/>
              <w:spacing w:after="0" w:line="167" w:lineRule="exact"/>
              <w:rPr>
                <w:sz w:val="20"/>
                <w:szCs w:val="20"/>
                <w:color w:val="auto"/>
              </w:rPr>
            </w:pPr>
            <w:r>
              <w:rPr>
                <w:rFonts w:ascii="Arial" w:cs="Arial" w:eastAsia="Arial" w:hAnsi="Arial"/>
                <w:sz w:val="17"/>
                <w:szCs w:val="17"/>
                <w:b w:val="1"/>
                <w:bCs w:val="1"/>
                <w:color w:val="auto"/>
                <w:w w:val="89"/>
              </w:rPr>
              <w:t>60 - 89 Days</w:t>
            </w:r>
          </w:p>
        </w:tc>
        <w:tc>
          <w:tcPr>
            <w:tcW w:w="140" w:type="dxa"/>
            <w:vAlign w:val="bottom"/>
          </w:tcPr>
          <w:p>
            <w:pPr>
              <w:spacing w:after="0"/>
              <w:rPr>
                <w:sz w:val="14"/>
                <w:szCs w:val="14"/>
                <w:color w:val="auto"/>
              </w:rPr>
            </w:pPr>
          </w:p>
        </w:tc>
        <w:tc>
          <w:tcPr>
            <w:tcW w:w="1240" w:type="dxa"/>
            <w:vAlign w:val="bottom"/>
            <w:gridSpan w:val="2"/>
          </w:tcPr>
          <w:p>
            <w:pPr>
              <w:jc w:val="right"/>
              <w:ind w:right="460"/>
              <w:spacing w:after="0" w:line="167" w:lineRule="exact"/>
              <w:rPr>
                <w:sz w:val="20"/>
                <w:szCs w:val="20"/>
                <w:color w:val="auto"/>
              </w:rPr>
            </w:pPr>
            <w:r>
              <w:rPr>
                <w:rFonts w:ascii="Arial" w:cs="Arial" w:eastAsia="Arial" w:hAnsi="Arial"/>
                <w:sz w:val="17"/>
                <w:szCs w:val="17"/>
                <w:b w:val="1"/>
                <w:bCs w:val="1"/>
                <w:color w:val="auto"/>
                <w:w w:val="96"/>
              </w:rPr>
              <w:t>&gt; 90 Days</w:t>
            </w:r>
          </w:p>
        </w:tc>
        <w:tc>
          <w:tcPr>
            <w:tcW w:w="240" w:type="dxa"/>
            <w:vAlign w:val="bottom"/>
          </w:tcPr>
          <w:p>
            <w:pPr>
              <w:spacing w:after="0"/>
              <w:rPr>
                <w:sz w:val="14"/>
                <w:szCs w:val="14"/>
                <w:color w:val="auto"/>
              </w:rPr>
            </w:pPr>
          </w:p>
        </w:tc>
        <w:tc>
          <w:tcPr>
            <w:tcW w:w="920" w:type="dxa"/>
            <w:vAlign w:val="bottom"/>
          </w:tcPr>
          <w:p>
            <w:pPr>
              <w:jc w:val="right"/>
              <w:ind w:right="315"/>
              <w:spacing w:after="0" w:line="167" w:lineRule="exact"/>
              <w:rPr>
                <w:sz w:val="20"/>
                <w:szCs w:val="20"/>
                <w:color w:val="auto"/>
              </w:rPr>
            </w:pPr>
            <w:r>
              <w:rPr>
                <w:rFonts w:ascii="Arial" w:cs="Arial" w:eastAsia="Arial" w:hAnsi="Arial"/>
                <w:sz w:val="17"/>
                <w:szCs w:val="17"/>
                <w:b w:val="1"/>
                <w:bCs w:val="1"/>
                <w:color w:val="auto"/>
              </w:rPr>
              <w:t>Total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40"/>
              <w:spacing w:after="0" w:line="167" w:lineRule="exact"/>
              <w:rPr>
                <w:sz w:val="20"/>
                <w:szCs w:val="20"/>
                <w:color w:val="auto"/>
              </w:rPr>
            </w:pPr>
            <w:r>
              <w:rPr>
                <w:rFonts w:ascii="Arial" w:cs="Arial" w:eastAsia="Arial" w:hAnsi="Arial"/>
                <w:sz w:val="17"/>
                <w:szCs w:val="17"/>
                <w:b w:val="1"/>
                <w:bCs w:val="1"/>
                <w:color w:val="auto"/>
              </w:rPr>
              <w:t>Past Due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480"/>
              <w:spacing w:after="0" w:line="167" w:lineRule="exact"/>
              <w:rPr>
                <w:sz w:val="20"/>
                <w:szCs w:val="20"/>
                <w:color w:val="auto"/>
              </w:rPr>
            </w:pPr>
            <w:r>
              <w:rPr>
                <w:rFonts w:ascii="Arial" w:cs="Arial" w:eastAsia="Arial" w:hAnsi="Arial"/>
                <w:sz w:val="17"/>
                <w:szCs w:val="17"/>
                <w:b w:val="1"/>
                <w:bCs w:val="1"/>
                <w:color w:val="auto"/>
              </w:rPr>
              <w:t>Total</w:t>
            </w:r>
          </w:p>
        </w:tc>
      </w:tr>
      <w:tr>
        <w:trPr>
          <w:trHeight w:val="24"/>
        </w:trPr>
        <w:tc>
          <w:tcPr>
            <w:tcW w:w="1560" w:type="dxa"/>
            <w:vAlign w:val="bottom"/>
            <w:tcBorders>
              <w:top w:val="single" w:sz="8" w:color="auto"/>
            </w:tcBorders>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308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Owner occupied commercial real estate</w:t>
            </w:r>
          </w:p>
        </w:tc>
        <w:tc>
          <w:tcPr>
            <w:tcW w:w="36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1,265</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187</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1,276</w:t>
            </w:r>
          </w:p>
        </w:tc>
        <w:tc>
          <w:tcPr>
            <w:tcW w:w="240" w:type="dxa"/>
            <w:vAlign w:val="bottom"/>
            <w:shd w:val="clear" w:color="auto" w:fill="F0FFFF"/>
          </w:tcPr>
          <w:p>
            <w:pPr>
              <w:spacing w:after="0"/>
              <w:rPr>
                <w:sz w:val="17"/>
                <w:szCs w:val="17"/>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2,728</w:t>
            </w: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1,139,063</w:t>
            </w:r>
          </w:p>
        </w:tc>
        <w:tc>
          <w:tcPr>
            <w:tcW w:w="32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1,141,791</w:t>
            </w:r>
          </w:p>
        </w:tc>
        <w:tc>
          <w:tcPr>
            <w:tcW w:w="100" w:type="dxa"/>
            <w:vAlign w:val="bottom"/>
            <w:shd w:val="clear" w:color="auto" w:fill="F0FFFF"/>
          </w:tcPr>
          <w:p>
            <w:pPr>
              <w:spacing w:after="0"/>
              <w:rPr>
                <w:sz w:val="17"/>
                <w:szCs w:val="17"/>
                <w:color w:val="auto"/>
              </w:rPr>
            </w:pPr>
          </w:p>
        </w:tc>
      </w:tr>
      <w:tr>
        <w:trPr>
          <w:trHeight w:val="205"/>
        </w:trPr>
        <w:tc>
          <w:tcPr>
            <w:tcW w:w="3080" w:type="dxa"/>
            <w:vAlign w:val="bottom"/>
            <w:gridSpan w:val="2"/>
          </w:tcPr>
          <w:p>
            <w:pPr>
              <w:spacing w:after="0"/>
              <w:rPr>
                <w:sz w:val="20"/>
                <w:szCs w:val="20"/>
                <w:color w:val="auto"/>
              </w:rPr>
            </w:pPr>
            <w:r>
              <w:rPr>
                <w:rFonts w:ascii="Arial" w:cs="Arial" w:eastAsia="Arial" w:hAnsi="Arial"/>
                <w:sz w:val="17"/>
                <w:szCs w:val="17"/>
                <w:color w:val="auto"/>
                <w:w w:val="98"/>
              </w:rPr>
              <w:t>Income producing commercial real estate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1,045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1,259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589</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2,893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620,937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623,830</w:t>
            </w:r>
          </w:p>
        </w:tc>
      </w:tr>
      <w:tr>
        <w:trPr>
          <w:trHeight w:val="205"/>
        </w:trPr>
        <w:tc>
          <w:tcPr>
            <w:tcW w:w="308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Commercial &amp; industrial</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1,468</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231</w:t>
            </w: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589</w:t>
            </w: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2,288</w:t>
            </w: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492,890</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495,178</w:t>
            </w:r>
          </w:p>
        </w:tc>
      </w:tr>
      <w:tr>
        <w:trPr>
          <w:trHeight w:val="205"/>
        </w:trPr>
        <w:tc>
          <w:tcPr>
            <w:tcW w:w="3080" w:type="dxa"/>
            <w:vAlign w:val="bottom"/>
            <w:gridSpan w:val="2"/>
          </w:tcPr>
          <w:p>
            <w:pPr>
              <w:spacing w:after="0"/>
              <w:rPr>
                <w:sz w:val="20"/>
                <w:szCs w:val="20"/>
                <w:color w:val="auto"/>
              </w:rPr>
            </w:pPr>
            <w:r>
              <w:rPr>
                <w:rFonts w:ascii="Arial" w:cs="Arial" w:eastAsia="Arial" w:hAnsi="Arial"/>
                <w:sz w:val="17"/>
                <w:szCs w:val="17"/>
                <w:color w:val="auto"/>
              </w:rPr>
              <w:t>Commercial construction</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366</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725</w:t>
            </w: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147,729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148,454</w:t>
            </w:r>
          </w:p>
        </w:tc>
      </w:tr>
      <w:tr>
        <w:trPr>
          <w:trHeight w:val="26"/>
        </w:trPr>
        <w:tc>
          <w:tcPr>
            <w:tcW w:w="15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3080" w:type="dxa"/>
            <w:vAlign w:val="bottom"/>
            <w:gridSpan w:val="2"/>
            <w:shd w:val="clear" w:color="auto" w:fill="F0FFFF"/>
          </w:tcPr>
          <w:p>
            <w:pPr>
              <w:ind w:left="160"/>
              <w:spacing w:after="0"/>
              <w:rPr>
                <w:sz w:val="20"/>
                <w:szCs w:val="20"/>
                <w:color w:val="auto"/>
              </w:rPr>
            </w:pPr>
            <w:r>
              <w:rPr>
                <w:rFonts w:ascii="Arial" w:cs="Arial" w:eastAsia="Arial" w:hAnsi="Arial"/>
                <w:sz w:val="17"/>
                <w:szCs w:val="17"/>
                <w:color w:val="auto"/>
              </w:rPr>
              <w:t>Total commercial</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4,091</w:t>
            </w: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1,723</w:t>
            </w: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2,820</w:t>
            </w:r>
          </w:p>
        </w:tc>
        <w:tc>
          <w:tcPr>
            <w:tcW w:w="2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8,634</w:t>
            </w: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2,400,619</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2,409,253</w:t>
            </w:r>
          </w:p>
        </w:tc>
        <w:tc>
          <w:tcPr>
            <w:tcW w:w="100" w:type="dxa"/>
            <w:vAlign w:val="bottom"/>
            <w:shd w:val="clear" w:color="auto" w:fill="F0FFFF"/>
          </w:tcPr>
          <w:p>
            <w:pPr>
              <w:spacing w:after="0"/>
              <w:rPr>
                <w:sz w:val="17"/>
                <w:szCs w:val="17"/>
                <w:color w:val="auto"/>
              </w:rPr>
            </w:pPr>
          </w:p>
        </w:tc>
      </w:tr>
      <w:tr>
        <w:trPr>
          <w:trHeight w:val="205"/>
        </w:trPr>
        <w:tc>
          <w:tcPr>
            <w:tcW w:w="3080" w:type="dxa"/>
            <w:vAlign w:val="bottom"/>
            <w:gridSpan w:val="2"/>
          </w:tcPr>
          <w:p>
            <w:pPr>
              <w:spacing w:after="0"/>
              <w:rPr>
                <w:sz w:val="20"/>
                <w:szCs w:val="20"/>
                <w:color w:val="auto"/>
              </w:rPr>
            </w:pPr>
            <w:r>
              <w:rPr>
                <w:rFonts w:ascii="Arial" w:cs="Arial" w:eastAsia="Arial" w:hAnsi="Arial"/>
                <w:sz w:val="17"/>
                <w:szCs w:val="17"/>
                <w:color w:val="auto"/>
              </w:rPr>
              <w:t>Residential mortgage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7,295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3,520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4,806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15,621</w:t>
            </w: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850,994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866,615</w:t>
            </w:r>
          </w:p>
        </w:tc>
      </w:tr>
      <w:tr>
        <w:trPr>
          <w:trHeight w:val="205"/>
        </w:trPr>
        <w:tc>
          <w:tcPr>
            <w:tcW w:w="308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Home equity lines of credit</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1,554</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551</w:t>
            </w: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502</w:t>
            </w: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2,607</w:t>
            </w: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444,098</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446,705</w:t>
            </w:r>
          </w:p>
        </w:tc>
      </w:tr>
      <w:tr>
        <w:trPr>
          <w:trHeight w:val="205"/>
        </w:trPr>
        <w:tc>
          <w:tcPr>
            <w:tcW w:w="3080" w:type="dxa"/>
            <w:vAlign w:val="bottom"/>
            <w:gridSpan w:val="2"/>
          </w:tcPr>
          <w:p>
            <w:pPr>
              <w:spacing w:after="0"/>
              <w:rPr>
                <w:sz w:val="20"/>
                <w:szCs w:val="20"/>
                <w:color w:val="auto"/>
              </w:rPr>
            </w:pPr>
            <w:r>
              <w:rPr>
                <w:rFonts w:ascii="Arial" w:cs="Arial" w:eastAsia="Arial" w:hAnsi="Arial"/>
                <w:sz w:val="17"/>
                <w:szCs w:val="17"/>
                <w:color w:val="auto"/>
              </w:rPr>
              <w:t>Residential construction</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1,440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782</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2,252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315,497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317,749</w:t>
            </w:r>
          </w:p>
        </w:tc>
      </w:tr>
      <w:tr>
        <w:trPr>
          <w:trHeight w:val="205"/>
        </w:trPr>
        <w:tc>
          <w:tcPr>
            <w:tcW w:w="308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Consumer installment</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677</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495</w:t>
            </w: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60</w:t>
            </w:r>
          </w:p>
        </w:tc>
        <w:tc>
          <w:tcPr>
            <w:tcW w:w="2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1,232</w:t>
            </w: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105,759</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106,991</w:t>
            </w:r>
          </w:p>
        </w:tc>
      </w:tr>
      <w:tr>
        <w:trPr>
          <w:trHeight w:val="205"/>
        </w:trPr>
        <w:tc>
          <w:tcPr>
            <w:tcW w:w="3080" w:type="dxa"/>
            <w:vAlign w:val="bottom"/>
            <w:gridSpan w:val="2"/>
          </w:tcPr>
          <w:p>
            <w:pPr>
              <w:spacing w:after="0"/>
              <w:rPr>
                <w:sz w:val="20"/>
                <w:szCs w:val="20"/>
                <w:color w:val="auto"/>
              </w:rPr>
            </w:pPr>
            <w:r>
              <w:rPr>
                <w:rFonts w:ascii="Arial" w:cs="Arial" w:eastAsia="Arial" w:hAnsi="Arial"/>
                <w:sz w:val="17"/>
                <w:szCs w:val="17"/>
                <w:color w:val="auto"/>
              </w:rPr>
              <w:t>Indirect auto</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179</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137</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579</w:t>
            </w: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207,816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208,395</w:t>
            </w:r>
          </w:p>
        </w:tc>
      </w:tr>
      <w:tr>
        <w:trPr>
          <w:trHeight w:val="26"/>
        </w:trPr>
        <w:tc>
          <w:tcPr>
            <w:tcW w:w="15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3080" w:type="dxa"/>
            <w:vAlign w:val="bottom"/>
            <w:gridSpan w:val="2"/>
            <w:shd w:val="clear" w:color="auto" w:fill="F0FFFF"/>
          </w:tcPr>
          <w:p>
            <w:pPr>
              <w:ind w:left="160"/>
              <w:spacing w:after="0"/>
              <w:rPr>
                <w:sz w:val="20"/>
                <w:szCs w:val="20"/>
                <w:color w:val="auto"/>
              </w:rPr>
            </w:pPr>
            <w:r>
              <w:rPr>
                <w:rFonts w:ascii="Arial" w:cs="Arial" w:eastAsia="Arial" w:hAnsi="Arial"/>
                <w:sz w:val="17"/>
                <w:szCs w:val="17"/>
                <w:color w:val="auto"/>
              </w:rPr>
              <w:t>Total loans</w:t>
            </w:r>
          </w:p>
        </w:tc>
        <w:tc>
          <w:tcPr>
            <w:tcW w:w="240" w:type="dxa"/>
            <w:vAlign w:val="bottom"/>
            <w:shd w:val="clear" w:color="auto" w:fill="F0FFFF"/>
          </w:tcPr>
          <w:p>
            <w:pPr>
              <w:spacing w:after="0"/>
              <w:rPr>
                <w:sz w:val="19"/>
                <w:szCs w:val="19"/>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15,320</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6,498</w:t>
            </w:r>
          </w:p>
        </w:tc>
        <w:tc>
          <w:tcPr>
            <w:tcW w:w="240" w:type="dxa"/>
            <w:vAlign w:val="bottom"/>
            <w:shd w:val="clear" w:color="auto" w:fill="F0FFFF"/>
          </w:tcPr>
          <w:p>
            <w:pPr>
              <w:spacing w:after="0"/>
              <w:rPr>
                <w:sz w:val="19"/>
                <w:szCs w:val="19"/>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9,107</w:t>
            </w:r>
          </w:p>
        </w:tc>
        <w:tc>
          <w:tcPr>
            <w:tcW w:w="240" w:type="dxa"/>
            <w:vAlign w:val="bottom"/>
            <w:shd w:val="clear" w:color="auto" w:fill="F0FFFF"/>
          </w:tcPr>
          <w:p>
            <w:pPr>
              <w:spacing w:after="0"/>
              <w:rPr>
                <w:sz w:val="19"/>
                <w:szCs w:val="19"/>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30,925</w:t>
            </w:r>
          </w:p>
        </w:tc>
        <w:tc>
          <w:tcPr>
            <w:tcW w:w="220" w:type="dxa"/>
            <w:vAlign w:val="bottom"/>
            <w:shd w:val="clear" w:color="auto" w:fill="F0FFFF"/>
          </w:tcPr>
          <w:p>
            <w:pPr>
              <w:spacing w:after="0"/>
              <w:rPr>
                <w:sz w:val="19"/>
                <w:szCs w:val="19"/>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4,324,783</w:t>
            </w:r>
          </w:p>
        </w:tc>
        <w:tc>
          <w:tcPr>
            <w:tcW w:w="32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4,355,708</w:t>
            </w:r>
          </w:p>
        </w:tc>
        <w:tc>
          <w:tcPr>
            <w:tcW w:w="100" w:type="dxa"/>
            <w:vAlign w:val="bottom"/>
            <w:shd w:val="clear" w:color="auto" w:fill="F0FFFF"/>
          </w:tcPr>
          <w:p>
            <w:pPr>
              <w:spacing w:after="0"/>
              <w:rPr>
                <w:sz w:val="19"/>
                <w:szCs w:val="19"/>
                <w:color w:val="auto"/>
              </w:rPr>
            </w:pPr>
          </w:p>
        </w:tc>
      </w:tr>
      <w:tr>
        <w:trPr>
          <w:trHeight w:val="20"/>
        </w:trPr>
        <w:tc>
          <w:tcPr>
            <w:tcW w:w="1560" w:type="dxa"/>
            <w:vAlign w:val="bottom"/>
            <w:tcBorders>
              <w:top w:val="single" w:sz="8" w:color="F0FFFF"/>
            </w:tcBorders>
            <w:shd w:val="clear" w:color="auto" w:fill="F0FFFF"/>
          </w:tcPr>
          <w:p>
            <w:pPr>
              <w:spacing w:after="0" w:line="20" w:lineRule="exact"/>
              <w:rPr>
                <w:sz w:val="1"/>
                <w:szCs w:val="1"/>
                <w:color w:val="auto"/>
              </w:rPr>
            </w:pPr>
          </w:p>
        </w:tc>
        <w:tc>
          <w:tcPr>
            <w:tcW w:w="15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r>
    </w:tbl>
    <w:p>
      <w:pPr>
        <w:spacing w:after="0" w:line="193"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As of March 31, 2015, December 31, 2014, and March 31, 2014, $7.12 million, $9.72 million and $8.25 million, respectively, of specific reserves were allocated to customers whose loan terms have been modified in TDRs. United committed to lend additional amounts totaling up to $36,000, $51,000 and $12,000 as of March 31, 2015, December 31, 2014 and March 31, 2014, respectively, to customers with outstanding loans that are classified as TDRs.</w:t>
      </w:r>
    </w:p>
    <w:p>
      <w:pPr>
        <w:spacing w:after="0" w:line="184" w:lineRule="exact"/>
        <w:rPr>
          <w:sz w:val="20"/>
          <w:szCs w:val="20"/>
          <w:color w:val="auto"/>
        </w:rPr>
      </w:pPr>
    </w:p>
    <w:p>
      <w:pPr>
        <w:jc w:val="both"/>
        <w:ind w:right="100"/>
        <w:spacing w:after="0" w:line="260" w:lineRule="auto"/>
        <w:rPr>
          <w:sz w:val="20"/>
          <w:szCs w:val="20"/>
          <w:color w:val="auto"/>
        </w:rPr>
      </w:pPr>
      <w:r>
        <w:rPr>
          <w:rFonts w:ascii="Arial" w:cs="Arial" w:eastAsia="Arial" w:hAnsi="Arial"/>
          <w:sz w:val="17"/>
          <w:szCs w:val="17"/>
          <w:color w:val="auto"/>
        </w:rPr>
        <w:t>The modification of the terms of the TDRs included one or a combination of the following: a reduction of the stated interest rate of the loan or an extension of the amortization period that would not otherwise be considered in the current market for new debt with similar risk characteristics; a permanent reduction of the principal amount; a restructuring of the borrower’s debt into an “A/B note structure” where the A note would fall within the borrower’s ability to pay and the remainder would be included in the B note, or a mandated bankruptcy restructuring.</w:t>
      </w:r>
    </w:p>
    <w:p>
      <w:pPr>
        <w:spacing w:after="0" w:line="204" w:lineRule="exact"/>
        <w:rPr>
          <w:sz w:val="20"/>
          <w:szCs w:val="20"/>
          <w:color w:val="auto"/>
        </w:rPr>
      </w:pPr>
    </w:p>
    <w:p>
      <w:pPr>
        <w:jc w:val="both"/>
        <w:ind w:right="100"/>
        <w:spacing w:after="0" w:line="277" w:lineRule="auto"/>
        <w:rPr>
          <w:sz w:val="20"/>
          <w:szCs w:val="20"/>
          <w:color w:val="auto"/>
        </w:rPr>
      </w:pPr>
      <w:r>
        <w:rPr>
          <w:rFonts w:ascii="Arial" w:cs="Arial" w:eastAsia="Arial" w:hAnsi="Arial"/>
          <w:sz w:val="17"/>
          <w:szCs w:val="17"/>
          <w:color w:val="auto"/>
        </w:rPr>
        <w:t xml:space="preserve">The following table presents information on TDRs including the number of loan contracts restructured and the pre- and post-modification recorded investment as of March 31, 2015, December 31, 2014 and March 31, 2014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4"/>
          </w:tcPr>
          <w:p>
            <w:pPr>
              <w:ind w:left="20"/>
              <w:spacing w:after="0"/>
              <w:rPr>
                <w:sz w:val="20"/>
                <w:szCs w:val="20"/>
                <w:color w:val="auto"/>
              </w:rPr>
            </w:pPr>
            <w:r>
              <w:rPr>
                <w:rFonts w:ascii="Arial" w:cs="Arial" w:eastAsia="Arial" w:hAnsi="Arial"/>
                <w:sz w:val="17"/>
                <w:szCs w:val="17"/>
                <w:b w:val="1"/>
                <w:bCs w:val="1"/>
                <w:color w:val="auto"/>
                <w:w w:val="92"/>
              </w:rPr>
              <w:t>March 31, 2015</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gridSpan w:val="7"/>
          </w:tcPr>
          <w:p>
            <w:pPr>
              <w:jc w:val="right"/>
              <w:ind w:right="615"/>
              <w:spacing w:after="0"/>
              <w:rPr>
                <w:sz w:val="20"/>
                <w:szCs w:val="20"/>
                <w:color w:val="auto"/>
              </w:rPr>
            </w:pPr>
            <w:r>
              <w:rPr>
                <w:rFonts w:ascii="Arial" w:cs="Arial" w:eastAsia="Arial" w:hAnsi="Arial"/>
                <w:sz w:val="17"/>
                <w:szCs w:val="17"/>
                <w:b w:val="1"/>
                <w:bCs w:val="1"/>
                <w:color w:val="auto"/>
              </w:rPr>
              <w:t>December 31, 2014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4"/>
          </w:tcPr>
          <w:p>
            <w:pPr>
              <w:ind w:left="20"/>
              <w:spacing w:after="0"/>
              <w:rPr>
                <w:sz w:val="20"/>
                <w:szCs w:val="20"/>
                <w:color w:val="auto"/>
              </w:rPr>
            </w:pPr>
            <w:r>
              <w:rPr>
                <w:rFonts w:ascii="Arial" w:cs="Arial" w:eastAsia="Arial" w:hAnsi="Arial"/>
                <w:sz w:val="17"/>
                <w:szCs w:val="17"/>
                <w:b w:val="1"/>
                <w:bCs w:val="1"/>
                <w:color w:val="auto"/>
                <w:w w:val="92"/>
              </w:rPr>
              <w:t>March 31, 2014</w:t>
            </w: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89"/>
        </w:trPr>
        <w:tc>
          <w:tcPr>
            <w:tcW w:w="288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7"/>
                <w:szCs w:val="17"/>
                <w:b w:val="1"/>
                <w:bCs w:val="1"/>
                <w:color w:val="auto"/>
                <w:w w:val="96"/>
              </w:rPr>
              <w:t>Pre-</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ind w:right="35"/>
              <w:spacing w:after="0" w:line="189" w:lineRule="exact"/>
              <w:rPr>
                <w:sz w:val="20"/>
                <w:szCs w:val="20"/>
                <w:color w:val="auto"/>
              </w:rPr>
            </w:pPr>
            <w:r>
              <w:rPr>
                <w:rFonts w:ascii="Arial" w:cs="Arial" w:eastAsia="Arial" w:hAnsi="Arial"/>
                <w:sz w:val="17"/>
                <w:szCs w:val="17"/>
                <w:b w:val="1"/>
                <w:bCs w:val="1"/>
                <w:color w:val="auto"/>
                <w:w w:val="89"/>
              </w:rPr>
              <w:t>Post-</w:t>
            </w:r>
          </w:p>
        </w:tc>
        <w:tc>
          <w:tcPr>
            <w:tcW w:w="1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right="15"/>
              <w:spacing w:after="0" w:line="189" w:lineRule="exact"/>
              <w:rPr>
                <w:sz w:val="20"/>
                <w:szCs w:val="20"/>
                <w:color w:val="auto"/>
              </w:rPr>
            </w:pPr>
            <w:r>
              <w:rPr>
                <w:rFonts w:ascii="Arial" w:cs="Arial" w:eastAsia="Arial" w:hAnsi="Arial"/>
                <w:sz w:val="17"/>
                <w:szCs w:val="17"/>
                <w:b w:val="1"/>
                <w:bCs w:val="1"/>
                <w:color w:val="auto"/>
                <w:w w:val="90"/>
              </w:rPr>
              <w:t>Pre-</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right="15"/>
              <w:spacing w:after="0" w:line="189" w:lineRule="exact"/>
              <w:rPr>
                <w:sz w:val="20"/>
                <w:szCs w:val="20"/>
                <w:color w:val="auto"/>
              </w:rPr>
            </w:pPr>
            <w:r>
              <w:rPr>
                <w:rFonts w:ascii="Arial" w:cs="Arial" w:eastAsia="Arial" w:hAnsi="Arial"/>
                <w:sz w:val="17"/>
                <w:szCs w:val="17"/>
                <w:b w:val="1"/>
                <w:bCs w:val="1"/>
                <w:color w:val="auto"/>
                <w:w w:val="89"/>
              </w:rPr>
              <w:t>Post-</w:t>
            </w:r>
          </w:p>
        </w:tc>
        <w:tc>
          <w:tcPr>
            <w:tcW w:w="1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right="15"/>
              <w:spacing w:after="0" w:line="189" w:lineRule="exact"/>
              <w:rPr>
                <w:sz w:val="20"/>
                <w:szCs w:val="20"/>
                <w:color w:val="auto"/>
              </w:rPr>
            </w:pPr>
            <w:r>
              <w:rPr>
                <w:rFonts w:ascii="Arial" w:cs="Arial" w:eastAsia="Arial" w:hAnsi="Arial"/>
                <w:sz w:val="17"/>
                <w:szCs w:val="17"/>
                <w:b w:val="1"/>
                <w:bCs w:val="1"/>
                <w:color w:val="auto"/>
                <w:w w:val="90"/>
              </w:rPr>
              <w:t>Pre-</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ind w:right="35"/>
              <w:spacing w:after="0" w:line="189" w:lineRule="exact"/>
              <w:rPr>
                <w:sz w:val="20"/>
                <w:szCs w:val="20"/>
                <w:color w:val="auto"/>
              </w:rPr>
            </w:pPr>
            <w:r>
              <w:rPr>
                <w:rFonts w:ascii="Arial" w:cs="Arial" w:eastAsia="Arial" w:hAnsi="Arial"/>
                <w:sz w:val="17"/>
                <w:szCs w:val="17"/>
                <w:b w:val="1"/>
                <w:bCs w:val="1"/>
                <w:color w:val="auto"/>
                <w:w w:val="89"/>
              </w:rPr>
              <w:t>Post-</w:t>
            </w:r>
          </w:p>
        </w:tc>
        <w:tc>
          <w:tcPr>
            <w:tcW w:w="40" w:type="dxa"/>
            <w:vAlign w:val="bottom"/>
          </w:tcPr>
          <w:p>
            <w:pPr>
              <w:spacing w:after="0"/>
              <w:rPr>
                <w:sz w:val="16"/>
                <w:szCs w:val="16"/>
                <w:color w:val="auto"/>
              </w:rPr>
            </w:pPr>
          </w:p>
        </w:tc>
      </w:tr>
      <w:tr>
        <w:trPr>
          <w:trHeight w:val="205"/>
        </w:trPr>
        <w:tc>
          <w:tcPr>
            <w:tcW w:w="2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gridSpan w:val="3"/>
          </w:tcPr>
          <w:p>
            <w:pPr>
              <w:jc w:val="center"/>
              <w:ind w:left="15"/>
              <w:spacing w:after="0"/>
              <w:rPr>
                <w:sz w:val="20"/>
                <w:szCs w:val="20"/>
                <w:color w:val="auto"/>
              </w:rPr>
            </w:pPr>
            <w:r>
              <w:rPr>
                <w:rFonts w:ascii="Arial" w:cs="Arial" w:eastAsia="Arial" w:hAnsi="Arial"/>
                <w:sz w:val="17"/>
                <w:szCs w:val="17"/>
                <w:b w:val="1"/>
                <w:bCs w:val="1"/>
                <w:color w:val="auto"/>
                <w:w w:val="93"/>
              </w:rPr>
              <w:t>Modification</w:t>
            </w:r>
          </w:p>
        </w:tc>
        <w:tc>
          <w:tcPr>
            <w:tcW w:w="1140" w:type="dxa"/>
            <w:vAlign w:val="bottom"/>
            <w:gridSpan w:val="4"/>
          </w:tcPr>
          <w:p>
            <w:pPr>
              <w:jc w:val="center"/>
              <w:spacing w:after="0"/>
              <w:rPr>
                <w:sz w:val="20"/>
                <w:szCs w:val="20"/>
                <w:color w:val="auto"/>
              </w:rPr>
            </w:pPr>
            <w:r>
              <w:rPr>
                <w:rFonts w:ascii="Arial" w:cs="Arial" w:eastAsia="Arial" w:hAnsi="Arial"/>
                <w:sz w:val="17"/>
                <w:szCs w:val="17"/>
                <w:b w:val="1"/>
                <w:bCs w:val="1"/>
                <w:color w:val="auto"/>
                <w:w w:val="93"/>
              </w:rPr>
              <w:t>Modification</w:t>
            </w:r>
          </w:p>
        </w:tc>
        <w:tc>
          <w:tcPr>
            <w:tcW w:w="720" w:type="dxa"/>
            <w:vAlign w:val="bottom"/>
          </w:tcPr>
          <w:p>
            <w:pPr>
              <w:spacing w:after="0"/>
              <w:rPr>
                <w:sz w:val="17"/>
                <w:szCs w:val="17"/>
                <w:color w:val="auto"/>
              </w:rPr>
            </w:pPr>
          </w:p>
        </w:tc>
        <w:tc>
          <w:tcPr>
            <w:tcW w:w="1040" w:type="dxa"/>
            <w:vAlign w:val="bottom"/>
            <w:gridSpan w:val="3"/>
          </w:tcPr>
          <w:p>
            <w:pPr>
              <w:jc w:val="center"/>
              <w:ind w:left="15"/>
              <w:spacing w:after="0"/>
              <w:rPr>
                <w:sz w:val="20"/>
                <w:szCs w:val="20"/>
                <w:color w:val="auto"/>
              </w:rPr>
            </w:pPr>
            <w:r>
              <w:rPr>
                <w:rFonts w:ascii="Arial" w:cs="Arial" w:eastAsia="Arial" w:hAnsi="Arial"/>
                <w:sz w:val="17"/>
                <w:szCs w:val="17"/>
                <w:b w:val="1"/>
                <w:bCs w:val="1"/>
                <w:color w:val="auto"/>
                <w:w w:val="93"/>
              </w:rPr>
              <w:t>Modification</w:t>
            </w:r>
          </w:p>
        </w:tc>
        <w:tc>
          <w:tcPr>
            <w:tcW w:w="1040" w:type="dxa"/>
            <w:vAlign w:val="bottom"/>
            <w:gridSpan w:val="3"/>
          </w:tcPr>
          <w:p>
            <w:pPr>
              <w:jc w:val="center"/>
              <w:ind w:left="15"/>
              <w:spacing w:after="0"/>
              <w:rPr>
                <w:sz w:val="20"/>
                <w:szCs w:val="20"/>
                <w:color w:val="auto"/>
              </w:rPr>
            </w:pPr>
            <w:r>
              <w:rPr>
                <w:rFonts w:ascii="Arial" w:cs="Arial" w:eastAsia="Arial" w:hAnsi="Arial"/>
                <w:sz w:val="17"/>
                <w:szCs w:val="17"/>
                <w:b w:val="1"/>
                <w:bCs w:val="1"/>
                <w:color w:val="auto"/>
                <w:w w:val="93"/>
              </w:rPr>
              <w:t>Modification</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3"/>
              </w:rPr>
              <w:t>Modification</w:t>
            </w:r>
          </w:p>
        </w:tc>
        <w:tc>
          <w:tcPr>
            <w:tcW w:w="1080" w:type="dxa"/>
            <w:vAlign w:val="bottom"/>
            <w:gridSpan w:val="4"/>
          </w:tcPr>
          <w:p>
            <w:pPr>
              <w:jc w:val="center"/>
              <w:spacing w:after="0"/>
              <w:rPr>
                <w:sz w:val="20"/>
                <w:szCs w:val="20"/>
                <w:color w:val="auto"/>
              </w:rPr>
            </w:pPr>
            <w:r>
              <w:rPr>
                <w:rFonts w:ascii="Arial" w:cs="Arial" w:eastAsia="Arial" w:hAnsi="Arial"/>
                <w:sz w:val="17"/>
                <w:szCs w:val="17"/>
                <w:b w:val="1"/>
                <w:bCs w:val="1"/>
                <w:color w:val="auto"/>
                <w:w w:val="93"/>
              </w:rPr>
              <w:t>Modification</w:t>
            </w:r>
          </w:p>
        </w:tc>
      </w:tr>
      <w:tr>
        <w:trPr>
          <w:trHeight w:val="205"/>
        </w:trPr>
        <w:tc>
          <w:tcPr>
            <w:tcW w:w="288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7"/>
                <w:szCs w:val="17"/>
                <w:b w:val="1"/>
                <w:bCs w:val="1"/>
                <w:color w:val="auto"/>
                <w:w w:val="96"/>
              </w:rPr>
              <w:t>Number</w:t>
            </w:r>
          </w:p>
        </w:tc>
        <w:tc>
          <w:tcPr>
            <w:tcW w:w="10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1"/>
              </w:rPr>
              <w:t>Outstanding</w:t>
            </w:r>
          </w:p>
        </w:tc>
        <w:tc>
          <w:tcPr>
            <w:tcW w:w="100" w:type="dxa"/>
            <w:vAlign w:val="bottom"/>
          </w:tcPr>
          <w:p>
            <w:pPr>
              <w:spacing w:after="0"/>
              <w:rPr>
                <w:sz w:val="17"/>
                <w:szCs w:val="17"/>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9"/>
              </w:rPr>
              <w:t>Outstanding</w:t>
            </w:r>
          </w:p>
        </w:tc>
        <w:tc>
          <w:tcPr>
            <w:tcW w:w="720" w:type="dxa"/>
            <w:vAlign w:val="bottom"/>
          </w:tcPr>
          <w:p>
            <w:pPr>
              <w:jc w:val="center"/>
              <w:spacing w:after="0"/>
              <w:rPr>
                <w:sz w:val="20"/>
                <w:szCs w:val="20"/>
                <w:color w:val="auto"/>
              </w:rPr>
            </w:pPr>
            <w:r>
              <w:rPr>
                <w:rFonts w:ascii="Arial" w:cs="Arial" w:eastAsia="Arial" w:hAnsi="Arial"/>
                <w:sz w:val="17"/>
                <w:szCs w:val="17"/>
                <w:b w:val="1"/>
                <w:bCs w:val="1"/>
                <w:color w:val="auto"/>
                <w:w w:val="93"/>
              </w:rPr>
              <w:t>Number</w:t>
            </w:r>
          </w:p>
        </w:tc>
        <w:tc>
          <w:tcPr>
            <w:tcW w:w="10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Outstanding</w:t>
            </w:r>
          </w:p>
        </w:tc>
        <w:tc>
          <w:tcPr>
            <w:tcW w:w="10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Outstanding</w:t>
            </w:r>
          </w:p>
        </w:tc>
        <w:tc>
          <w:tcPr>
            <w:tcW w:w="100" w:type="dxa"/>
            <w:vAlign w:val="bottom"/>
          </w:tcPr>
          <w:p>
            <w:pPr>
              <w:spacing w:after="0"/>
              <w:rPr>
                <w:sz w:val="17"/>
                <w:szCs w:val="17"/>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3"/>
              </w:rPr>
              <w:t>Number</w:t>
            </w:r>
          </w:p>
        </w:tc>
        <w:tc>
          <w:tcPr>
            <w:tcW w:w="94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Outstanding</w:t>
            </w:r>
          </w:p>
        </w:tc>
        <w:tc>
          <w:tcPr>
            <w:tcW w:w="100" w:type="dxa"/>
            <w:vAlign w:val="bottom"/>
          </w:tcPr>
          <w:p>
            <w:pPr>
              <w:spacing w:after="0"/>
              <w:rPr>
                <w:sz w:val="17"/>
                <w:szCs w:val="17"/>
                <w:color w:val="auto"/>
              </w:rPr>
            </w:pPr>
          </w:p>
        </w:tc>
        <w:tc>
          <w:tcPr>
            <w:tcW w:w="980" w:type="dxa"/>
            <w:vAlign w:val="bottom"/>
            <w:gridSpan w:val="3"/>
          </w:tcPr>
          <w:p>
            <w:pPr>
              <w:jc w:val="center"/>
              <w:ind w:right="40"/>
              <w:spacing w:after="0"/>
              <w:rPr>
                <w:sz w:val="20"/>
                <w:szCs w:val="20"/>
                <w:color w:val="auto"/>
              </w:rPr>
            </w:pPr>
            <w:r>
              <w:rPr>
                <w:rFonts w:ascii="Arial" w:cs="Arial" w:eastAsia="Arial" w:hAnsi="Arial"/>
                <w:sz w:val="17"/>
                <w:szCs w:val="17"/>
                <w:b w:val="1"/>
                <w:bCs w:val="1"/>
                <w:color w:val="auto"/>
                <w:w w:val="89"/>
              </w:rPr>
              <w:t>Outstanding</w:t>
            </w:r>
          </w:p>
        </w:tc>
      </w:tr>
      <w:tr>
        <w:trPr>
          <w:trHeight w:val="205"/>
        </w:trPr>
        <w:tc>
          <w:tcPr>
            <w:tcW w:w="288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7"/>
                <w:szCs w:val="17"/>
                <w:b w:val="1"/>
                <w:bCs w:val="1"/>
                <w:color w:val="auto"/>
                <w:w w:val="86"/>
              </w:rPr>
              <w:t>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15"/>
              <w:spacing w:after="0"/>
              <w:rPr>
                <w:sz w:val="20"/>
                <w:szCs w:val="20"/>
                <w:color w:val="auto"/>
              </w:rPr>
            </w:pPr>
            <w:r>
              <w:rPr>
                <w:rFonts w:ascii="Arial" w:cs="Arial" w:eastAsia="Arial" w:hAnsi="Arial"/>
                <w:sz w:val="17"/>
                <w:szCs w:val="17"/>
                <w:b w:val="1"/>
                <w:bCs w:val="1"/>
                <w:color w:val="auto"/>
                <w:w w:val="89"/>
              </w:rPr>
              <w:t>Recorded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Recorded</w:t>
            </w:r>
          </w:p>
        </w:tc>
        <w:tc>
          <w:tcPr>
            <w:tcW w:w="720" w:type="dxa"/>
            <w:vAlign w:val="bottom"/>
          </w:tcPr>
          <w:p>
            <w:pPr>
              <w:jc w:val="center"/>
              <w:spacing w:after="0"/>
              <w:rPr>
                <w:sz w:val="20"/>
                <w:szCs w:val="20"/>
                <w:color w:val="auto"/>
              </w:rPr>
            </w:pPr>
            <w:r>
              <w:rPr>
                <w:rFonts w:ascii="Arial" w:cs="Arial" w:eastAsia="Arial" w:hAnsi="Arial"/>
                <w:sz w:val="17"/>
                <w:szCs w:val="17"/>
                <w:b w:val="1"/>
                <w:bCs w:val="1"/>
                <w:color w:val="auto"/>
                <w:w w:val="86"/>
              </w:rPr>
              <w:t>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15"/>
              <w:spacing w:after="0"/>
              <w:rPr>
                <w:sz w:val="20"/>
                <w:szCs w:val="20"/>
                <w:color w:val="auto"/>
              </w:rPr>
            </w:pPr>
            <w:r>
              <w:rPr>
                <w:rFonts w:ascii="Arial" w:cs="Arial" w:eastAsia="Arial" w:hAnsi="Arial"/>
                <w:sz w:val="17"/>
                <w:szCs w:val="17"/>
                <w:b w:val="1"/>
                <w:bCs w:val="1"/>
                <w:color w:val="auto"/>
                <w:w w:val="89"/>
              </w:rPr>
              <w:t>Recorded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15"/>
              <w:spacing w:after="0"/>
              <w:rPr>
                <w:sz w:val="20"/>
                <w:szCs w:val="20"/>
                <w:color w:val="auto"/>
              </w:rPr>
            </w:pPr>
            <w:r>
              <w:rPr>
                <w:rFonts w:ascii="Arial" w:cs="Arial" w:eastAsia="Arial" w:hAnsi="Arial"/>
                <w:sz w:val="17"/>
                <w:szCs w:val="17"/>
                <w:b w:val="1"/>
                <w:bCs w:val="1"/>
                <w:color w:val="auto"/>
                <w:w w:val="89"/>
              </w:rPr>
              <w:t>Recorded</w:t>
            </w:r>
          </w:p>
        </w:tc>
        <w:tc>
          <w:tcPr>
            <w:tcW w:w="100" w:type="dxa"/>
            <w:vAlign w:val="bottom"/>
          </w:tcPr>
          <w:p>
            <w:pPr>
              <w:spacing w:after="0"/>
              <w:rPr>
                <w:sz w:val="17"/>
                <w:szCs w:val="17"/>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9"/>
              </w:rPr>
              <w:t>of</w:t>
            </w:r>
          </w:p>
        </w:tc>
        <w:tc>
          <w:tcPr>
            <w:tcW w:w="100" w:type="dxa"/>
            <w:vAlign w:val="bottom"/>
          </w:tcPr>
          <w:p>
            <w:pPr>
              <w:spacing w:after="0"/>
              <w:rPr>
                <w:sz w:val="17"/>
                <w:szCs w:val="17"/>
                <w:color w:val="auto"/>
              </w:rPr>
            </w:pPr>
          </w:p>
        </w:tc>
        <w:tc>
          <w:tcPr>
            <w:tcW w:w="840" w:type="dxa"/>
            <w:vAlign w:val="bottom"/>
          </w:tcPr>
          <w:p>
            <w:pPr>
              <w:jc w:val="center"/>
              <w:ind w:right="15"/>
              <w:spacing w:after="0"/>
              <w:rPr>
                <w:sz w:val="20"/>
                <w:szCs w:val="20"/>
                <w:color w:val="auto"/>
              </w:rPr>
            </w:pPr>
            <w:r>
              <w:rPr>
                <w:rFonts w:ascii="Arial" w:cs="Arial" w:eastAsia="Arial" w:hAnsi="Arial"/>
                <w:sz w:val="17"/>
                <w:szCs w:val="17"/>
                <w:b w:val="1"/>
                <w:bCs w:val="1"/>
                <w:color w:val="auto"/>
                <w:w w:val="89"/>
              </w:rPr>
              <w:t>Recorded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9"/>
              </w:rPr>
              <w:t>Recorded</w:t>
            </w:r>
          </w:p>
        </w:tc>
      </w:tr>
      <w:tr>
        <w:trPr>
          <w:trHeight w:val="227"/>
        </w:trPr>
        <w:tc>
          <w:tcPr>
            <w:tcW w:w="288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7"/>
                <w:szCs w:val="17"/>
                <w:b w:val="1"/>
                <w:bCs w:val="1"/>
                <w:color w:val="auto"/>
                <w:w w:val="90"/>
              </w:rPr>
              <w:t>Contracts</w:t>
            </w:r>
          </w:p>
        </w:tc>
        <w:tc>
          <w:tcPr>
            <w:tcW w:w="100" w:type="dxa"/>
            <w:vAlign w:val="bottom"/>
          </w:tcPr>
          <w:p>
            <w:pPr>
              <w:spacing w:after="0"/>
              <w:rPr>
                <w:sz w:val="19"/>
                <w:szCs w:val="19"/>
                <w:color w:val="auto"/>
              </w:rPr>
            </w:pPr>
          </w:p>
        </w:tc>
        <w:tc>
          <w:tcPr>
            <w:tcW w:w="9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1"/>
              </w:rPr>
              <w:t>Investment</w:t>
            </w:r>
          </w:p>
        </w:tc>
        <w:tc>
          <w:tcPr>
            <w:tcW w:w="100" w:type="dxa"/>
            <w:vAlign w:val="bottom"/>
          </w:tcPr>
          <w:p>
            <w:pPr>
              <w:spacing w:after="0"/>
              <w:rPr>
                <w:sz w:val="19"/>
                <w:szCs w:val="19"/>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1"/>
              </w:rPr>
              <w:t>Investment</w:t>
            </w:r>
          </w:p>
        </w:tc>
        <w:tc>
          <w:tcPr>
            <w:tcW w:w="720" w:type="dxa"/>
            <w:vAlign w:val="bottom"/>
          </w:tcPr>
          <w:p>
            <w:pPr>
              <w:jc w:val="center"/>
              <w:spacing w:after="0"/>
              <w:rPr>
                <w:sz w:val="20"/>
                <w:szCs w:val="20"/>
                <w:color w:val="auto"/>
              </w:rPr>
            </w:pPr>
            <w:r>
              <w:rPr>
                <w:rFonts w:ascii="Arial" w:cs="Arial" w:eastAsia="Arial" w:hAnsi="Arial"/>
                <w:sz w:val="17"/>
                <w:szCs w:val="17"/>
                <w:b w:val="1"/>
                <w:bCs w:val="1"/>
                <w:color w:val="auto"/>
                <w:w w:val="90"/>
              </w:rPr>
              <w:t>Contracts</w:t>
            </w:r>
          </w:p>
        </w:tc>
        <w:tc>
          <w:tcPr>
            <w:tcW w:w="100" w:type="dxa"/>
            <w:vAlign w:val="bottom"/>
          </w:tcPr>
          <w:p>
            <w:pPr>
              <w:spacing w:after="0"/>
              <w:rPr>
                <w:sz w:val="19"/>
                <w:szCs w:val="19"/>
                <w:color w:val="auto"/>
              </w:rPr>
            </w:pPr>
          </w:p>
        </w:tc>
        <w:tc>
          <w:tcPr>
            <w:tcW w:w="9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1"/>
              </w:rPr>
              <w:t>Investment</w:t>
            </w:r>
          </w:p>
        </w:tc>
        <w:tc>
          <w:tcPr>
            <w:tcW w:w="100" w:type="dxa"/>
            <w:vAlign w:val="bottom"/>
          </w:tcPr>
          <w:p>
            <w:pPr>
              <w:spacing w:after="0"/>
              <w:rPr>
                <w:sz w:val="19"/>
                <w:szCs w:val="19"/>
                <w:color w:val="auto"/>
              </w:rPr>
            </w:pPr>
          </w:p>
        </w:tc>
        <w:tc>
          <w:tcPr>
            <w:tcW w:w="9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1"/>
              </w:rPr>
              <w:t>Investment</w:t>
            </w:r>
          </w:p>
        </w:tc>
        <w:tc>
          <w:tcPr>
            <w:tcW w:w="920" w:type="dxa"/>
            <w:vAlign w:val="bottom"/>
            <w:gridSpan w:val="3"/>
          </w:tcPr>
          <w:p>
            <w:pPr>
              <w:jc w:val="center"/>
              <w:spacing w:after="0"/>
              <w:rPr>
                <w:sz w:val="20"/>
                <w:szCs w:val="20"/>
                <w:color w:val="auto"/>
              </w:rPr>
            </w:pPr>
            <w:r>
              <w:rPr>
                <w:rFonts w:ascii="Arial" w:cs="Arial" w:eastAsia="Arial" w:hAnsi="Arial"/>
                <w:sz w:val="17"/>
                <w:szCs w:val="17"/>
                <w:b w:val="1"/>
                <w:bCs w:val="1"/>
                <w:color w:val="auto"/>
                <w:w w:val="90"/>
              </w:rPr>
              <w:t>Contracts</w:t>
            </w:r>
          </w:p>
        </w:tc>
        <w:tc>
          <w:tcPr>
            <w:tcW w:w="9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1"/>
              </w:rPr>
              <w:t>Investment</w:t>
            </w:r>
          </w:p>
        </w:tc>
        <w:tc>
          <w:tcPr>
            <w:tcW w:w="100" w:type="dxa"/>
            <w:vAlign w:val="bottom"/>
          </w:tcPr>
          <w:p>
            <w:pPr>
              <w:spacing w:after="0"/>
              <w:rPr>
                <w:sz w:val="19"/>
                <w:szCs w:val="19"/>
                <w:color w:val="auto"/>
              </w:rPr>
            </w:pPr>
          </w:p>
        </w:tc>
        <w:tc>
          <w:tcPr>
            <w:tcW w:w="980" w:type="dxa"/>
            <w:vAlign w:val="bottom"/>
            <w:gridSpan w:val="3"/>
          </w:tcPr>
          <w:p>
            <w:pPr>
              <w:jc w:val="center"/>
              <w:ind w:right="40"/>
              <w:spacing w:after="0"/>
              <w:rPr>
                <w:sz w:val="20"/>
                <w:szCs w:val="20"/>
                <w:color w:val="auto"/>
              </w:rPr>
            </w:pPr>
            <w:r>
              <w:rPr>
                <w:rFonts w:ascii="Arial" w:cs="Arial" w:eastAsia="Arial" w:hAnsi="Arial"/>
                <w:sz w:val="17"/>
                <w:szCs w:val="17"/>
                <w:b w:val="1"/>
                <w:bCs w:val="1"/>
                <w:color w:val="auto"/>
                <w:w w:val="91"/>
              </w:rPr>
              <w:t>Investment</w:t>
            </w:r>
          </w:p>
        </w:tc>
      </w:tr>
      <w:tr>
        <w:trPr>
          <w:trHeight w:val="205"/>
        </w:trPr>
        <w:tc>
          <w:tcPr>
            <w:tcW w:w="28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2880" w:type="dxa"/>
            <w:vAlign w:val="bottom"/>
            <w:shd w:val="clear" w:color="auto" w:fill="F0FFFF"/>
          </w:tcPr>
          <w:p>
            <w:pPr>
              <w:spacing w:after="0"/>
              <w:rPr>
                <w:sz w:val="20"/>
                <w:szCs w:val="20"/>
                <w:color w:val="auto"/>
              </w:rPr>
            </w:pPr>
            <w:r>
              <w:rPr>
                <w:rFonts w:ascii="Arial" w:cs="Arial" w:eastAsia="Arial" w:hAnsi="Arial"/>
                <w:sz w:val="17"/>
                <w:szCs w:val="17"/>
                <w:color w:val="auto"/>
                <w:w w:val="95"/>
              </w:rPr>
              <w:t>Owner occupied commercial real estate</w:t>
            </w:r>
          </w:p>
        </w:tc>
        <w:tc>
          <w:tcPr>
            <w:tcW w:w="7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52</w:t>
            </w:r>
          </w:p>
        </w:tc>
        <w:tc>
          <w:tcPr>
            <w:tcW w:w="200" w:type="dxa"/>
            <w:vAlign w:val="bottom"/>
            <w:tcBorders>
              <w:left w:val="single" w:sz="8" w:color="F0FFFF"/>
            </w:tcBorders>
            <w:gridSpan w:val="2"/>
            <w:shd w:val="clear" w:color="auto" w:fill="F0FFFF"/>
          </w:tcPr>
          <w:p>
            <w:pPr>
              <w:ind w:left="100"/>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30,600</w:t>
            </w:r>
          </w:p>
        </w:tc>
        <w:tc>
          <w:tcPr>
            <w:tcW w:w="220" w:type="dxa"/>
            <w:vAlign w:val="bottom"/>
            <w:tcBorders>
              <w:left w:val="single" w:sz="8" w:color="F0FFFF"/>
            </w:tcBorders>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29,201</w:t>
            </w:r>
          </w:p>
        </w:tc>
        <w:tc>
          <w:tcPr>
            <w:tcW w:w="7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54</w:t>
            </w:r>
          </w:p>
        </w:tc>
        <w:tc>
          <w:tcPr>
            <w:tcW w:w="200" w:type="dxa"/>
            <w:vAlign w:val="bottom"/>
            <w:tcBorders>
              <w:left w:val="single" w:sz="8" w:color="F0FFFF"/>
            </w:tcBorders>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27,695</w:t>
            </w:r>
          </w:p>
        </w:tc>
        <w:tc>
          <w:tcPr>
            <w:tcW w:w="200" w:type="dxa"/>
            <w:vAlign w:val="bottom"/>
            <w:tcBorders>
              <w:left w:val="single" w:sz="8" w:color="F0FFFF"/>
            </w:tcBorders>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26,296</w:t>
            </w:r>
          </w:p>
        </w:tc>
        <w:tc>
          <w:tcPr>
            <w:tcW w:w="820" w:type="dxa"/>
            <w:vAlign w:val="bottom"/>
            <w:tcBorders>
              <w:left w:val="single" w:sz="8" w:color="F0FFFF"/>
            </w:tcBorders>
            <w:gridSpan w:val="2"/>
            <w:shd w:val="clear" w:color="auto" w:fill="F0FF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24,194</w:t>
            </w:r>
          </w:p>
        </w:tc>
        <w:tc>
          <w:tcPr>
            <w:tcW w:w="220" w:type="dxa"/>
            <w:vAlign w:val="bottom"/>
            <w:tcBorders>
              <w:left w:val="single" w:sz="8" w:color="F0FFFF"/>
            </w:tcBorders>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22,471</w:t>
            </w:r>
          </w:p>
        </w:tc>
      </w:tr>
      <w:tr>
        <w:trPr>
          <w:trHeight w:val="205"/>
        </w:trPr>
        <w:tc>
          <w:tcPr>
            <w:tcW w:w="2880" w:type="dxa"/>
            <w:vAlign w:val="bottom"/>
          </w:tcPr>
          <w:p>
            <w:pPr>
              <w:spacing w:after="0"/>
              <w:rPr>
                <w:sz w:val="20"/>
                <w:szCs w:val="20"/>
                <w:color w:val="auto"/>
              </w:rPr>
            </w:pPr>
            <w:r>
              <w:rPr>
                <w:rFonts w:ascii="Arial" w:cs="Arial" w:eastAsia="Arial" w:hAnsi="Arial"/>
                <w:sz w:val="17"/>
                <w:szCs w:val="17"/>
                <w:color w:val="auto"/>
                <w:w w:val="91"/>
              </w:rPr>
              <w:t>Income producing commercial real estate</w:t>
            </w:r>
          </w:p>
        </w:tc>
        <w:tc>
          <w:tcPr>
            <w:tcW w:w="72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14,525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14,525</w:t>
            </w:r>
          </w:p>
        </w:tc>
        <w:tc>
          <w:tcPr>
            <w:tcW w:w="72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18,094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17,915</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20,936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18,488</w:t>
            </w:r>
          </w:p>
        </w:tc>
      </w:tr>
      <w:tr>
        <w:trPr>
          <w:trHeight w:val="205"/>
        </w:trPr>
        <w:tc>
          <w:tcPr>
            <w:tcW w:w="2880" w:type="dxa"/>
            <w:vAlign w:val="bottom"/>
            <w:shd w:val="clear" w:color="auto" w:fill="F0FFFF"/>
          </w:tcPr>
          <w:p>
            <w:pPr>
              <w:spacing w:after="0"/>
              <w:rPr>
                <w:sz w:val="20"/>
                <w:szCs w:val="20"/>
                <w:color w:val="auto"/>
              </w:rPr>
            </w:pPr>
            <w:r>
              <w:rPr>
                <w:rFonts w:ascii="Arial" w:cs="Arial" w:eastAsia="Arial" w:hAnsi="Arial"/>
                <w:sz w:val="17"/>
                <w:szCs w:val="17"/>
                <w:color w:val="auto"/>
              </w:rPr>
              <w:t>Commercial &amp; industrial</w:t>
            </w:r>
          </w:p>
        </w:tc>
        <w:tc>
          <w:tcPr>
            <w:tcW w:w="7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lef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2,902</w:t>
            </w:r>
          </w:p>
        </w:tc>
        <w:tc>
          <w:tcPr>
            <w:tcW w:w="100" w:type="dxa"/>
            <w:vAlign w:val="bottom"/>
            <w:tcBorders>
              <w:lef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2,902</w:t>
            </w:r>
          </w:p>
        </w:tc>
        <w:tc>
          <w:tcPr>
            <w:tcW w:w="7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lef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2,848</w:t>
            </w:r>
          </w:p>
        </w:tc>
        <w:tc>
          <w:tcPr>
            <w:tcW w:w="100" w:type="dxa"/>
            <w:vAlign w:val="bottom"/>
            <w:tcBorders>
              <w:lef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2,847</w:t>
            </w:r>
          </w:p>
        </w:tc>
        <w:tc>
          <w:tcPr>
            <w:tcW w:w="820" w:type="dxa"/>
            <w:vAlign w:val="bottom"/>
            <w:tcBorders>
              <w:left w:val="single" w:sz="8" w:color="F0FFFF"/>
            </w:tcBorders>
            <w:gridSpan w:val="2"/>
            <w:shd w:val="clear" w:color="auto" w:fill="F0FF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3,574</w:t>
            </w:r>
          </w:p>
        </w:tc>
        <w:tc>
          <w:tcPr>
            <w:tcW w:w="100" w:type="dxa"/>
            <w:vAlign w:val="bottom"/>
            <w:tcBorders>
              <w:lef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6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3,292</w:t>
            </w:r>
          </w:p>
        </w:tc>
      </w:tr>
      <w:tr>
        <w:trPr>
          <w:trHeight w:val="205"/>
        </w:trPr>
        <w:tc>
          <w:tcPr>
            <w:tcW w:w="2880" w:type="dxa"/>
            <w:vAlign w:val="bottom"/>
          </w:tcPr>
          <w:p>
            <w:pPr>
              <w:spacing w:after="0"/>
              <w:rPr>
                <w:sz w:val="20"/>
                <w:szCs w:val="20"/>
                <w:color w:val="auto"/>
              </w:rPr>
            </w:pPr>
            <w:r>
              <w:rPr>
                <w:rFonts w:ascii="Arial" w:cs="Arial" w:eastAsia="Arial" w:hAnsi="Arial"/>
                <w:sz w:val="17"/>
                <w:szCs w:val="17"/>
                <w:color w:val="auto"/>
              </w:rPr>
              <w:t>Commercial construction</w:t>
            </w:r>
          </w:p>
        </w:tc>
        <w:tc>
          <w:tcPr>
            <w:tcW w:w="72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11,268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11,188</w:t>
            </w:r>
          </w:p>
        </w:tc>
        <w:tc>
          <w:tcPr>
            <w:tcW w:w="72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11,360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11,280</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11,678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11,598</w:t>
            </w:r>
          </w:p>
        </w:tc>
      </w:tr>
      <w:tr>
        <w:trPr>
          <w:trHeight w:val="26"/>
        </w:trPr>
        <w:tc>
          <w:tcPr>
            <w:tcW w:w="28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5"/>
        </w:trPr>
        <w:tc>
          <w:tcPr>
            <w:tcW w:w="2880" w:type="dxa"/>
            <w:vAlign w:val="bottom"/>
            <w:shd w:val="clear" w:color="auto" w:fill="F0FFFF"/>
          </w:tcPr>
          <w:p>
            <w:pPr>
              <w:ind w:left="160"/>
              <w:spacing w:after="0"/>
              <w:rPr>
                <w:sz w:val="20"/>
                <w:szCs w:val="20"/>
                <w:color w:val="auto"/>
              </w:rPr>
            </w:pPr>
            <w:r>
              <w:rPr>
                <w:rFonts w:ascii="Arial" w:cs="Arial" w:eastAsia="Arial" w:hAnsi="Arial"/>
                <w:sz w:val="17"/>
                <w:szCs w:val="17"/>
                <w:color w:val="auto"/>
              </w:rPr>
              <w:t>Total commercial</w:t>
            </w:r>
          </w:p>
        </w:tc>
        <w:tc>
          <w:tcPr>
            <w:tcW w:w="7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Borders>
              <w:lef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59,295</w:t>
            </w:r>
          </w:p>
        </w:tc>
        <w:tc>
          <w:tcPr>
            <w:tcW w:w="100" w:type="dxa"/>
            <w:vAlign w:val="bottom"/>
            <w:tcBorders>
              <w:lef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57,816</w:t>
            </w:r>
          </w:p>
        </w:tc>
        <w:tc>
          <w:tcPr>
            <w:tcW w:w="7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Borders>
              <w:lef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59,997</w:t>
            </w:r>
          </w:p>
        </w:tc>
        <w:tc>
          <w:tcPr>
            <w:tcW w:w="100" w:type="dxa"/>
            <w:vAlign w:val="bottom"/>
            <w:tcBorders>
              <w:lef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58,338</w:t>
            </w:r>
          </w:p>
        </w:tc>
        <w:tc>
          <w:tcPr>
            <w:tcW w:w="920" w:type="dxa"/>
            <w:vAlign w:val="bottom"/>
            <w:tcBorders>
              <w:left w:val="single" w:sz="8" w:color="F0FFFF"/>
            </w:tcBorders>
            <w:gridSpan w:val="3"/>
            <w:shd w:val="clear" w:color="auto" w:fill="F0FFFF"/>
          </w:tcPr>
          <w:p>
            <w:pPr>
              <w:jc w:val="right"/>
              <w:ind w:right="100"/>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F0FFFF"/>
          </w:tcPr>
          <w:p>
            <w:pPr>
              <w:spacing w:after="0"/>
              <w:rPr>
                <w:sz w:val="17"/>
                <w:szCs w:val="17"/>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60,382</w:t>
            </w:r>
          </w:p>
        </w:tc>
        <w:tc>
          <w:tcPr>
            <w:tcW w:w="100" w:type="dxa"/>
            <w:vAlign w:val="bottom"/>
            <w:tcBorders>
              <w:lef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6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55,849</w:t>
            </w:r>
          </w:p>
        </w:tc>
      </w:tr>
      <w:tr>
        <w:trPr>
          <w:trHeight w:val="205"/>
        </w:trPr>
        <w:tc>
          <w:tcPr>
            <w:tcW w:w="2880" w:type="dxa"/>
            <w:vAlign w:val="bottom"/>
          </w:tcPr>
          <w:p>
            <w:pPr>
              <w:spacing w:after="0"/>
              <w:rPr>
                <w:sz w:val="20"/>
                <w:szCs w:val="20"/>
                <w:color w:val="auto"/>
              </w:rPr>
            </w:pPr>
            <w:r>
              <w:rPr>
                <w:rFonts w:ascii="Arial" w:cs="Arial" w:eastAsia="Arial" w:hAnsi="Arial"/>
                <w:sz w:val="17"/>
                <w:szCs w:val="17"/>
                <w:color w:val="auto"/>
              </w:rPr>
              <w:t>Residential mortgage</w:t>
            </w:r>
          </w:p>
        </w:tc>
        <w:tc>
          <w:tcPr>
            <w:tcW w:w="720" w:type="dxa"/>
            <w:vAlign w:val="bottom"/>
          </w:tcPr>
          <w:p>
            <w:pPr>
              <w:jc w:val="right"/>
              <w:spacing w:after="0"/>
              <w:rPr>
                <w:sz w:val="20"/>
                <w:szCs w:val="20"/>
                <w:color w:val="auto"/>
              </w:rPr>
            </w:pPr>
            <w:r>
              <w:rPr>
                <w:rFonts w:ascii="Arial" w:cs="Arial" w:eastAsia="Arial" w:hAnsi="Arial"/>
                <w:sz w:val="17"/>
                <w:szCs w:val="17"/>
                <w:color w:val="auto"/>
              </w:rPr>
              <w:t>162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21,343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20,600</w:t>
            </w:r>
          </w:p>
        </w:tc>
        <w:tc>
          <w:tcPr>
            <w:tcW w:w="720" w:type="dxa"/>
            <w:vAlign w:val="bottom"/>
          </w:tcPr>
          <w:p>
            <w:pPr>
              <w:jc w:val="right"/>
              <w:spacing w:after="0"/>
              <w:rPr>
                <w:sz w:val="20"/>
                <w:szCs w:val="20"/>
                <w:color w:val="auto"/>
              </w:rPr>
            </w:pPr>
            <w:r>
              <w:rPr>
                <w:rFonts w:ascii="Arial" w:cs="Arial" w:eastAsia="Arial" w:hAnsi="Arial"/>
                <w:sz w:val="17"/>
                <w:szCs w:val="17"/>
                <w:color w:val="auto"/>
              </w:rPr>
              <w:t>154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18,630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17,836</w:t>
            </w:r>
          </w:p>
        </w:tc>
        <w:tc>
          <w:tcPr>
            <w:tcW w:w="920" w:type="dxa"/>
            <w:vAlign w:val="bottom"/>
            <w:gridSpan w:val="3"/>
          </w:tcPr>
          <w:p>
            <w:pPr>
              <w:jc w:val="right"/>
              <w:ind w:right="100"/>
              <w:spacing w:after="0"/>
              <w:rPr>
                <w:sz w:val="20"/>
                <w:szCs w:val="20"/>
                <w:color w:val="auto"/>
              </w:rPr>
            </w:pPr>
            <w:r>
              <w:rPr>
                <w:rFonts w:ascii="Arial" w:cs="Arial" w:eastAsia="Arial" w:hAnsi="Arial"/>
                <w:sz w:val="17"/>
                <w:szCs w:val="17"/>
                <w:color w:val="auto"/>
              </w:rPr>
              <w:t>148</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21,163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19,657</w:t>
            </w:r>
          </w:p>
        </w:tc>
      </w:tr>
      <w:tr>
        <w:trPr>
          <w:trHeight w:val="205"/>
        </w:trPr>
        <w:tc>
          <w:tcPr>
            <w:tcW w:w="2880" w:type="dxa"/>
            <w:vAlign w:val="bottom"/>
            <w:shd w:val="clear" w:color="auto" w:fill="F0FFFF"/>
          </w:tcPr>
          <w:p>
            <w:pPr>
              <w:spacing w:after="0"/>
              <w:rPr>
                <w:sz w:val="20"/>
                <w:szCs w:val="20"/>
                <w:color w:val="auto"/>
              </w:rPr>
            </w:pPr>
            <w:r>
              <w:rPr>
                <w:rFonts w:ascii="Arial" w:cs="Arial" w:eastAsia="Arial" w:hAnsi="Arial"/>
                <w:sz w:val="17"/>
                <w:szCs w:val="17"/>
                <w:color w:val="auto"/>
              </w:rPr>
              <w:t>Home equity lines of credit</w:t>
            </w:r>
          </w:p>
        </w:tc>
        <w:tc>
          <w:tcPr>
            <w:tcW w:w="7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lef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478</w:t>
            </w:r>
          </w:p>
        </w:tc>
        <w:tc>
          <w:tcPr>
            <w:tcW w:w="100" w:type="dxa"/>
            <w:vAlign w:val="bottom"/>
            <w:tcBorders>
              <w:lef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478</w:t>
            </w:r>
          </w:p>
        </w:tc>
        <w:tc>
          <w:tcPr>
            <w:tcW w:w="7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lef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478</w:t>
            </w:r>
          </w:p>
        </w:tc>
        <w:tc>
          <w:tcPr>
            <w:tcW w:w="100" w:type="dxa"/>
            <w:vAlign w:val="bottom"/>
            <w:tcBorders>
              <w:lef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478</w:t>
            </w:r>
          </w:p>
        </w:tc>
        <w:tc>
          <w:tcPr>
            <w:tcW w:w="920" w:type="dxa"/>
            <w:vAlign w:val="bottom"/>
            <w:tcBorders>
              <w:left w:val="single" w:sz="8" w:color="F0FFFF"/>
            </w:tcBorders>
            <w:gridSpan w:val="3"/>
            <w:shd w:val="clear" w:color="auto" w:fill="F0FFFF"/>
          </w:tcPr>
          <w:p>
            <w:pPr>
              <w:jc w:val="right"/>
              <w:ind w:right="100"/>
              <w:spacing w:after="0"/>
              <w:rPr>
                <w:sz w:val="20"/>
                <w:szCs w:val="20"/>
                <w:color w:val="auto"/>
              </w:rPr>
            </w:pPr>
            <w:r>
              <w:rPr>
                <w:rFonts w:ascii="Arial" w:cs="Arial" w:eastAsia="Arial" w:hAnsi="Arial"/>
                <w:sz w:val="17"/>
                <w:szCs w:val="17"/>
                <w:color w:val="auto"/>
              </w:rPr>
              <w:t>3</w:t>
            </w:r>
          </w:p>
        </w:tc>
        <w:tc>
          <w:tcPr>
            <w:tcW w:w="100" w:type="dxa"/>
            <w:vAlign w:val="bottom"/>
            <w:shd w:val="clear" w:color="auto" w:fill="F0FFFF"/>
          </w:tcPr>
          <w:p>
            <w:pPr>
              <w:spacing w:after="0"/>
              <w:rPr>
                <w:sz w:val="17"/>
                <w:szCs w:val="17"/>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505</w:t>
            </w:r>
          </w:p>
        </w:tc>
        <w:tc>
          <w:tcPr>
            <w:tcW w:w="100" w:type="dxa"/>
            <w:vAlign w:val="bottom"/>
            <w:tcBorders>
              <w:lef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6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505</w:t>
            </w:r>
          </w:p>
        </w:tc>
      </w:tr>
      <w:tr>
        <w:trPr>
          <w:trHeight w:val="205"/>
        </w:trPr>
        <w:tc>
          <w:tcPr>
            <w:tcW w:w="2880" w:type="dxa"/>
            <w:vAlign w:val="bottom"/>
          </w:tcPr>
          <w:p>
            <w:pPr>
              <w:spacing w:after="0"/>
              <w:rPr>
                <w:sz w:val="20"/>
                <w:szCs w:val="20"/>
                <w:color w:val="auto"/>
              </w:rPr>
            </w:pPr>
            <w:r>
              <w:rPr>
                <w:rFonts w:ascii="Arial" w:cs="Arial" w:eastAsia="Arial" w:hAnsi="Arial"/>
                <w:sz w:val="17"/>
                <w:szCs w:val="17"/>
                <w:color w:val="auto"/>
              </w:rPr>
              <w:t>Residential construction</w:t>
            </w:r>
          </w:p>
        </w:tc>
        <w:tc>
          <w:tcPr>
            <w:tcW w:w="72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8,824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7,388</w:t>
            </w:r>
          </w:p>
        </w:tc>
        <w:tc>
          <w:tcPr>
            <w:tcW w:w="72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8,962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8,265</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10,400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9,518</w:t>
            </w:r>
          </w:p>
        </w:tc>
      </w:tr>
      <w:tr>
        <w:trPr>
          <w:trHeight w:val="205"/>
        </w:trPr>
        <w:tc>
          <w:tcPr>
            <w:tcW w:w="2880" w:type="dxa"/>
            <w:vAlign w:val="bottom"/>
            <w:shd w:val="clear" w:color="auto" w:fill="F0FFFF"/>
          </w:tcPr>
          <w:p>
            <w:pPr>
              <w:spacing w:after="0"/>
              <w:rPr>
                <w:sz w:val="20"/>
                <w:szCs w:val="20"/>
                <w:color w:val="auto"/>
              </w:rPr>
            </w:pPr>
            <w:r>
              <w:rPr>
                <w:rFonts w:ascii="Arial" w:cs="Arial" w:eastAsia="Arial" w:hAnsi="Arial"/>
                <w:sz w:val="17"/>
                <w:szCs w:val="17"/>
                <w:color w:val="auto"/>
              </w:rPr>
              <w:t>Consumer installment</w:t>
            </w:r>
          </w:p>
        </w:tc>
        <w:tc>
          <w:tcPr>
            <w:tcW w:w="7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lef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Borders>
              <w:lef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148</w:t>
            </w:r>
          </w:p>
        </w:tc>
        <w:tc>
          <w:tcPr>
            <w:tcW w:w="7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lef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179</w:t>
            </w:r>
          </w:p>
        </w:tc>
        <w:tc>
          <w:tcPr>
            <w:tcW w:w="100" w:type="dxa"/>
            <w:vAlign w:val="bottom"/>
            <w:tcBorders>
              <w:lef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179</w:t>
            </w:r>
          </w:p>
        </w:tc>
        <w:tc>
          <w:tcPr>
            <w:tcW w:w="820" w:type="dxa"/>
            <w:vAlign w:val="bottom"/>
            <w:tcBorders>
              <w:left w:val="single" w:sz="8" w:color="F0FFFF"/>
            </w:tcBorders>
            <w:gridSpan w:val="2"/>
            <w:shd w:val="clear" w:color="auto" w:fill="F0FF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442</w:t>
            </w:r>
          </w:p>
        </w:tc>
        <w:tc>
          <w:tcPr>
            <w:tcW w:w="100" w:type="dxa"/>
            <w:vAlign w:val="bottom"/>
            <w:tcBorders>
              <w:lef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6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340</w:t>
            </w:r>
          </w:p>
        </w:tc>
      </w:tr>
      <w:tr>
        <w:trPr>
          <w:trHeight w:val="205"/>
        </w:trPr>
        <w:tc>
          <w:tcPr>
            <w:tcW w:w="2880" w:type="dxa"/>
            <w:vAlign w:val="bottom"/>
          </w:tcPr>
          <w:p>
            <w:pPr>
              <w:spacing w:after="0"/>
              <w:rPr>
                <w:sz w:val="20"/>
                <w:szCs w:val="20"/>
                <w:color w:val="auto"/>
              </w:rPr>
            </w:pPr>
            <w:r>
              <w:rPr>
                <w:rFonts w:ascii="Arial" w:cs="Arial" w:eastAsia="Arial" w:hAnsi="Arial"/>
                <w:sz w:val="17"/>
                <w:szCs w:val="17"/>
                <w:color w:val="auto"/>
              </w:rPr>
              <w:t>Indirect auto</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6"/>
        </w:trPr>
        <w:tc>
          <w:tcPr>
            <w:tcW w:w="28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25"/>
        </w:trPr>
        <w:tc>
          <w:tcPr>
            <w:tcW w:w="2880" w:type="dxa"/>
            <w:vAlign w:val="bottom"/>
            <w:shd w:val="clear" w:color="auto" w:fill="F0FFFF"/>
          </w:tcPr>
          <w:p>
            <w:pPr>
              <w:ind w:left="160"/>
              <w:spacing w:after="0"/>
              <w:rPr>
                <w:sz w:val="20"/>
                <w:szCs w:val="20"/>
                <w:color w:val="auto"/>
              </w:rPr>
            </w:pPr>
            <w:r>
              <w:rPr>
                <w:rFonts w:ascii="Arial" w:cs="Arial" w:eastAsia="Arial" w:hAnsi="Arial"/>
                <w:sz w:val="17"/>
                <w:szCs w:val="17"/>
                <w:color w:val="auto"/>
              </w:rPr>
              <w:t>Total loans</w:t>
            </w:r>
          </w:p>
        </w:tc>
        <w:tc>
          <w:tcPr>
            <w:tcW w:w="7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354</w:t>
            </w:r>
          </w:p>
        </w:tc>
        <w:tc>
          <w:tcPr>
            <w:tcW w:w="100" w:type="dxa"/>
            <w:vAlign w:val="bottom"/>
            <w:tcBorders>
              <w:left w:val="single" w:sz="8" w:color="F0FFFF"/>
            </w:tcBorders>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90,088</w:t>
            </w:r>
          </w:p>
        </w:tc>
        <w:tc>
          <w:tcPr>
            <w:tcW w:w="100" w:type="dxa"/>
            <w:vAlign w:val="bottom"/>
            <w:tcBorders>
              <w:left w:val="single" w:sz="8" w:color="F0FFFF"/>
            </w:tcBorders>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86,430</w:t>
            </w:r>
          </w:p>
        </w:tc>
        <w:tc>
          <w:tcPr>
            <w:tcW w:w="7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352</w:t>
            </w:r>
          </w:p>
        </w:tc>
        <w:tc>
          <w:tcPr>
            <w:tcW w:w="100" w:type="dxa"/>
            <w:vAlign w:val="bottom"/>
            <w:tcBorders>
              <w:left w:val="single" w:sz="8" w:color="F0FFFF"/>
            </w:tcBorders>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88,246</w:t>
            </w:r>
          </w:p>
        </w:tc>
        <w:tc>
          <w:tcPr>
            <w:tcW w:w="200" w:type="dxa"/>
            <w:vAlign w:val="bottom"/>
            <w:tcBorders>
              <w:left w:val="single" w:sz="8" w:color="F0FFFF"/>
            </w:tcBorders>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85,096</w:t>
            </w:r>
          </w:p>
        </w:tc>
        <w:tc>
          <w:tcPr>
            <w:tcW w:w="920" w:type="dxa"/>
            <w:vAlign w:val="bottom"/>
            <w:tcBorders>
              <w:left w:val="single" w:sz="8" w:color="F0FFFF"/>
            </w:tcBorders>
            <w:gridSpan w:val="3"/>
            <w:shd w:val="clear" w:color="auto" w:fill="F0FFFF"/>
          </w:tcPr>
          <w:p>
            <w:pPr>
              <w:jc w:val="right"/>
              <w:ind w:right="100"/>
              <w:spacing w:after="0"/>
              <w:rPr>
                <w:sz w:val="20"/>
                <w:szCs w:val="20"/>
                <w:color w:val="auto"/>
              </w:rPr>
            </w:pPr>
            <w:r>
              <w:rPr>
                <w:rFonts w:ascii="Arial" w:cs="Arial" w:eastAsia="Arial" w:hAnsi="Arial"/>
                <w:sz w:val="17"/>
                <w:szCs w:val="17"/>
                <w:color w:val="auto"/>
              </w:rPr>
              <w:t>356</w:t>
            </w:r>
          </w:p>
        </w:tc>
        <w:tc>
          <w:tcPr>
            <w:tcW w:w="100" w:type="dxa"/>
            <w:vAlign w:val="bottom"/>
            <w:shd w:val="clear" w:color="auto" w:fill="F0FFFF"/>
          </w:tcPr>
          <w:p>
            <w:pPr>
              <w:spacing w:after="0"/>
              <w:rPr>
                <w:sz w:val="19"/>
                <w:szCs w:val="19"/>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92,892</w:t>
            </w:r>
          </w:p>
        </w:tc>
        <w:tc>
          <w:tcPr>
            <w:tcW w:w="100" w:type="dxa"/>
            <w:vAlign w:val="bottom"/>
            <w:tcBorders>
              <w:left w:val="single" w:sz="8" w:color="F0FFFF"/>
            </w:tcBorders>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6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85,869</w:t>
            </w:r>
          </w:p>
        </w:tc>
      </w:tr>
      <w:tr>
        <w:trPr>
          <w:trHeight w:val="20"/>
        </w:trPr>
        <w:tc>
          <w:tcPr>
            <w:tcW w:w="2880" w:type="dxa"/>
            <w:vAlign w:val="bottom"/>
            <w:tcBorders>
              <w:top w:val="single" w:sz="8" w:color="F0FFFF"/>
            </w:tcBorders>
            <w:shd w:val="clear" w:color="auto" w:fill="F0FF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left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left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left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left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left w:val="single" w:sz="8" w:color="F0FFFF"/>
            </w:tcBorders>
            <w:shd w:val="clear" w:color="auto" w:fill="F0FF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left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520"/>
          </w:cols>
          <w:pgMar w:left="240" w:top="854" w:right="139" w:bottom="1440" w:gutter="0" w:footer="0" w:header="0"/>
        </w:sectPr>
      </w:pPr>
    </w:p>
    <w:bookmarkStart w:id="20" w:name="page21"/>
    <w:bookmarkEnd w:id="20"/>
    <w:p>
      <w:pPr>
        <w:jc w:val="center"/>
        <w:spacing w:after="0"/>
        <w:rPr>
          <w:sz w:val="20"/>
          <w:szCs w:val="20"/>
          <w:color w:val="auto"/>
        </w:rPr>
      </w:pPr>
      <w:r>
        <w:rPr>
          <w:rFonts w:ascii="Arial" w:cs="Arial" w:eastAsia="Arial" w:hAnsi="Arial"/>
          <w:sz w:val="17"/>
          <w:szCs w:val="17"/>
          <w:b w:val="1"/>
          <w:bCs w:val="1"/>
          <w:color w:val="auto"/>
        </w:rPr>
        <w:t>UNITED COMMUNITY BANKS,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Loans modified under the terms of a TDR during the three months ended March 31, 2015 and 2014 are presented in the table below. In addition, the following table presents loans modified under the terms of a TDR that became 90 days or more delinquent during the three months ended March 31, 2015 and 2014, that were initially restructured within one year prior to becoming delinquent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tbl>
      <w:tblPr>
        <w:tblLayout w:type="fixed"/>
        <w:tblInd w:w="0" w:type="dxa"/>
        <w:tblCellMar>
          <w:top w:w="0" w:type="dxa"/>
          <w:left w:w="0" w:type="dxa"/>
          <w:bottom w:w="0" w:type="dxa"/>
          <w:right w:w="0" w:type="dxa"/>
        </w:tblCellMar>
      </w:tblPr>
      <w:tr>
        <w:trPr>
          <w:trHeight w:val="191"/>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6"/>
          </w:tcPr>
          <w:p>
            <w:pPr>
              <w:jc w:val="center"/>
              <w:ind w:right="100"/>
              <w:spacing w:after="0" w:line="191" w:lineRule="exact"/>
              <w:rPr>
                <w:sz w:val="20"/>
                <w:szCs w:val="20"/>
                <w:color w:val="auto"/>
              </w:rPr>
            </w:pPr>
            <w:r>
              <w:rPr>
                <w:rFonts w:ascii="Arial" w:cs="Arial" w:eastAsia="Arial" w:hAnsi="Arial"/>
                <w:sz w:val="17"/>
                <w:szCs w:val="17"/>
                <w:b w:val="1"/>
                <w:bCs w:val="1"/>
                <w:color w:val="auto"/>
                <w:w w:val="91"/>
              </w:rPr>
              <w:t>Troubled Debt Restructurings</w:t>
            </w:r>
          </w:p>
        </w:tc>
      </w:tr>
      <w:tr>
        <w:trPr>
          <w:trHeight w:val="20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6"/>
          </w:tcPr>
          <w:p>
            <w:pPr>
              <w:jc w:val="center"/>
              <w:ind w:right="100"/>
              <w:spacing w:after="0"/>
              <w:rPr>
                <w:sz w:val="20"/>
                <w:szCs w:val="20"/>
                <w:color w:val="auto"/>
              </w:rPr>
            </w:pPr>
            <w:r>
              <w:rPr>
                <w:rFonts w:ascii="Arial" w:cs="Arial" w:eastAsia="Arial" w:hAnsi="Arial"/>
                <w:sz w:val="17"/>
                <w:szCs w:val="17"/>
                <w:b w:val="1"/>
                <w:bCs w:val="1"/>
                <w:color w:val="auto"/>
                <w:w w:val="92"/>
              </w:rPr>
              <w:t>Modified Within the Previous</w:t>
            </w:r>
          </w:p>
        </w:tc>
      </w:tr>
      <w:tr>
        <w:trPr>
          <w:trHeight w:val="20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6"/>
          </w:tcPr>
          <w:p>
            <w:pPr>
              <w:jc w:val="center"/>
              <w:ind w:right="80"/>
              <w:spacing w:after="0"/>
              <w:rPr>
                <w:sz w:val="20"/>
                <w:szCs w:val="20"/>
                <w:color w:val="auto"/>
              </w:rPr>
            </w:pPr>
            <w:r>
              <w:rPr>
                <w:rFonts w:ascii="Arial" w:cs="Arial" w:eastAsia="Arial" w:hAnsi="Arial"/>
                <w:sz w:val="17"/>
                <w:szCs w:val="17"/>
                <w:b w:val="1"/>
                <w:bCs w:val="1"/>
                <w:color w:val="auto"/>
                <w:w w:val="91"/>
              </w:rPr>
              <w:t>Twelve Months that Have</w:t>
            </w:r>
          </w:p>
        </w:tc>
      </w:tr>
      <w:tr>
        <w:trPr>
          <w:trHeight w:val="20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6"/>
              </w:rPr>
              <w:t>Pre-</w:t>
            </w:r>
          </w:p>
        </w:tc>
        <w:tc>
          <w:tcPr>
            <w:tcW w:w="14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4"/>
              </w:rPr>
              <w:t>Post-</w:t>
            </w:r>
          </w:p>
        </w:tc>
        <w:tc>
          <w:tcPr>
            <w:tcW w:w="2580" w:type="dxa"/>
            <w:vAlign w:val="bottom"/>
            <w:gridSpan w:val="6"/>
          </w:tcPr>
          <w:p>
            <w:pPr>
              <w:jc w:val="center"/>
              <w:ind w:right="80"/>
              <w:spacing w:after="0"/>
              <w:rPr>
                <w:sz w:val="20"/>
                <w:szCs w:val="20"/>
                <w:color w:val="auto"/>
              </w:rPr>
            </w:pPr>
            <w:r>
              <w:rPr>
                <w:rFonts w:ascii="Arial" w:cs="Arial" w:eastAsia="Arial" w:hAnsi="Arial"/>
                <w:sz w:val="17"/>
                <w:szCs w:val="17"/>
                <w:b w:val="1"/>
                <w:bCs w:val="1"/>
                <w:color w:val="auto"/>
                <w:w w:val="90"/>
              </w:rPr>
              <w:t>Subsequently Defaulted During</w:t>
            </w:r>
          </w:p>
        </w:tc>
      </w:tr>
      <w:tr>
        <w:trPr>
          <w:trHeight w:val="231"/>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3"/>
          </w:tcPr>
          <w:p>
            <w:pPr>
              <w:ind w:left="40"/>
              <w:spacing w:after="0"/>
              <w:rPr>
                <w:sz w:val="20"/>
                <w:szCs w:val="20"/>
                <w:color w:val="auto"/>
              </w:rPr>
            </w:pPr>
            <w:r>
              <w:rPr>
                <w:rFonts w:ascii="Arial" w:cs="Arial" w:eastAsia="Arial" w:hAnsi="Arial"/>
                <w:sz w:val="17"/>
                <w:szCs w:val="17"/>
                <w:b w:val="1"/>
                <w:bCs w:val="1"/>
                <w:color w:val="auto"/>
              </w:rPr>
              <w:t>Modification</w:t>
            </w:r>
          </w:p>
        </w:tc>
        <w:tc>
          <w:tcPr>
            <w:tcW w:w="1380" w:type="dxa"/>
            <w:vAlign w:val="bottom"/>
            <w:gridSpan w:val="3"/>
          </w:tcPr>
          <w:p>
            <w:pPr>
              <w:ind w:left="60"/>
              <w:spacing w:after="0"/>
              <w:rPr>
                <w:sz w:val="20"/>
                <w:szCs w:val="20"/>
                <w:color w:val="auto"/>
              </w:rPr>
            </w:pPr>
            <w:r>
              <w:rPr>
                <w:rFonts w:ascii="Arial" w:cs="Arial" w:eastAsia="Arial" w:hAnsi="Arial"/>
                <w:sz w:val="17"/>
                <w:szCs w:val="17"/>
                <w:b w:val="1"/>
                <w:bCs w:val="1"/>
                <w:color w:val="auto"/>
              </w:rPr>
              <w:t>Modification</w:t>
            </w:r>
          </w:p>
        </w:tc>
        <w:tc>
          <w:tcPr>
            <w:tcW w:w="2580" w:type="dxa"/>
            <w:vAlign w:val="bottom"/>
            <w:gridSpan w:val="6"/>
          </w:tcPr>
          <w:p>
            <w:pPr>
              <w:jc w:val="center"/>
              <w:ind w:right="80"/>
              <w:spacing w:after="0"/>
              <w:rPr>
                <w:sz w:val="20"/>
                <w:szCs w:val="20"/>
                <w:color w:val="auto"/>
              </w:rPr>
            </w:pPr>
            <w:r>
              <w:rPr>
                <w:rFonts w:ascii="Arial" w:cs="Arial" w:eastAsia="Arial" w:hAnsi="Arial"/>
                <w:sz w:val="17"/>
                <w:szCs w:val="17"/>
                <w:b w:val="1"/>
                <w:bCs w:val="1"/>
                <w:color w:val="auto"/>
                <w:w w:val="91"/>
              </w:rPr>
              <w:t>the Three Months Ended</w:t>
            </w:r>
          </w:p>
        </w:tc>
      </w:tr>
      <w:tr>
        <w:trPr>
          <w:trHeight w:val="227"/>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b w:val="1"/>
                <w:bCs w:val="1"/>
                <w:color w:val="auto"/>
              </w:rPr>
              <w:t>Outstanding</w:t>
            </w:r>
          </w:p>
        </w:tc>
        <w:tc>
          <w:tcPr>
            <w:tcW w:w="1380" w:type="dxa"/>
            <w:vAlign w:val="bottom"/>
            <w:gridSpan w:val="3"/>
          </w:tcPr>
          <w:p>
            <w:pPr>
              <w:ind w:left="60"/>
              <w:spacing w:after="0"/>
              <w:rPr>
                <w:sz w:val="20"/>
                <w:szCs w:val="20"/>
                <w:color w:val="auto"/>
              </w:rPr>
            </w:pPr>
            <w:r>
              <w:rPr>
                <w:rFonts w:ascii="Arial" w:cs="Arial" w:eastAsia="Arial" w:hAnsi="Arial"/>
                <w:sz w:val="17"/>
                <w:szCs w:val="17"/>
                <w:b w:val="1"/>
                <w:bCs w:val="1"/>
                <w:color w:val="auto"/>
              </w:rPr>
              <w:t>Outstanding</w:t>
            </w:r>
          </w:p>
        </w:tc>
        <w:tc>
          <w:tcPr>
            <w:tcW w:w="2580" w:type="dxa"/>
            <w:vAlign w:val="bottom"/>
            <w:gridSpan w:val="6"/>
          </w:tcPr>
          <w:p>
            <w:pPr>
              <w:jc w:val="right"/>
              <w:ind w:right="700"/>
              <w:spacing w:after="0"/>
              <w:rPr>
                <w:sz w:val="20"/>
                <w:szCs w:val="20"/>
                <w:color w:val="auto"/>
              </w:rPr>
            </w:pPr>
            <w:r>
              <w:rPr>
                <w:rFonts w:ascii="Arial" w:cs="Arial" w:eastAsia="Arial" w:hAnsi="Arial"/>
                <w:sz w:val="17"/>
                <w:szCs w:val="17"/>
                <w:b w:val="1"/>
                <w:bCs w:val="1"/>
                <w:color w:val="auto"/>
              </w:rPr>
              <w:t>March 31, 2015</w:t>
            </w:r>
          </w:p>
        </w:tc>
      </w:tr>
      <w:tr>
        <w:trPr>
          <w:trHeight w:val="189"/>
        </w:trPr>
        <w:tc>
          <w:tcPr>
            <w:tcW w:w="4580" w:type="dxa"/>
            <w:vAlign w:val="bottom"/>
          </w:tcPr>
          <w:p>
            <w:pPr>
              <w:spacing w:after="0" w:line="189" w:lineRule="exact"/>
              <w:rPr>
                <w:sz w:val="20"/>
                <w:szCs w:val="20"/>
                <w:color w:val="auto"/>
              </w:rPr>
            </w:pPr>
            <w:r>
              <w:rPr>
                <w:rFonts w:ascii="Arial" w:cs="Arial" w:eastAsia="Arial" w:hAnsi="Arial"/>
                <w:sz w:val="17"/>
                <w:szCs w:val="17"/>
                <w:b w:val="1"/>
                <w:bCs w:val="1"/>
                <w:color w:val="auto"/>
              </w:rPr>
              <w:t>New Troubled Debt Restructurings for</w:t>
            </w:r>
          </w:p>
        </w:tc>
        <w:tc>
          <w:tcPr>
            <w:tcW w:w="120" w:type="dxa"/>
            <w:vAlign w:val="bottom"/>
          </w:tcPr>
          <w:p>
            <w:pPr>
              <w:spacing w:after="0"/>
              <w:rPr>
                <w:sz w:val="16"/>
                <w:szCs w:val="16"/>
                <w:color w:val="auto"/>
              </w:rPr>
            </w:pPr>
          </w:p>
        </w:tc>
        <w:tc>
          <w:tcPr>
            <w:tcW w:w="1380" w:type="dxa"/>
            <w:vAlign w:val="bottom"/>
            <w:gridSpan w:val="2"/>
          </w:tcPr>
          <w:p>
            <w:pPr>
              <w:jc w:val="center"/>
              <w:ind w:right="240"/>
              <w:spacing w:after="0" w:line="189" w:lineRule="exact"/>
              <w:rPr>
                <w:sz w:val="20"/>
                <w:szCs w:val="20"/>
                <w:color w:val="auto"/>
              </w:rPr>
            </w:pPr>
            <w:r>
              <w:rPr>
                <w:rFonts w:ascii="Arial" w:cs="Arial" w:eastAsia="Arial" w:hAnsi="Arial"/>
                <w:sz w:val="17"/>
                <w:szCs w:val="17"/>
                <w:b w:val="1"/>
                <w:bCs w:val="1"/>
                <w:color w:val="auto"/>
                <w:w w:val="91"/>
              </w:rPr>
              <w:t>Number of</w:t>
            </w:r>
          </w:p>
        </w:tc>
        <w:tc>
          <w:tcPr>
            <w:tcW w:w="120" w:type="dxa"/>
            <w:vAlign w:val="bottom"/>
          </w:tcPr>
          <w:p>
            <w:pPr>
              <w:spacing w:after="0"/>
              <w:rPr>
                <w:sz w:val="16"/>
                <w:szCs w:val="16"/>
                <w:color w:val="auto"/>
              </w:rPr>
            </w:pPr>
          </w:p>
        </w:tc>
        <w:tc>
          <w:tcPr>
            <w:tcW w:w="1260" w:type="dxa"/>
            <w:vAlign w:val="bottom"/>
            <w:gridSpan w:val="2"/>
          </w:tcPr>
          <w:p>
            <w:pPr>
              <w:jc w:val="center"/>
              <w:ind w:right="360"/>
              <w:spacing w:after="0" w:line="189" w:lineRule="exact"/>
              <w:rPr>
                <w:sz w:val="20"/>
                <w:szCs w:val="20"/>
                <w:color w:val="auto"/>
              </w:rPr>
            </w:pPr>
            <w:r>
              <w:rPr>
                <w:rFonts w:ascii="Arial" w:cs="Arial" w:eastAsia="Arial" w:hAnsi="Arial"/>
                <w:sz w:val="17"/>
                <w:szCs w:val="17"/>
                <w:b w:val="1"/>
                <w:bCs w:val="1"/>
                <w:color w:val="auto"/>
                <w:w w:val="89"/>
              </w:rPr>
              <w:t>Recorded</w:t>
            </w:r>
          </w:p>
        </w:tc>
        <w:tc>
          <w:tcPr>
            <w:tcW w:w="140" w:type="dxa"/>
            <w:vAlign w:val="bottom"/>
          </w:tcPr>
          <w:p>
            <w:pPr>
              <w:spacing w:after="0"/>
              <w:rPr>
                <w:sz w:val="16"/>
                <w:szCs w:val="16"/>
                <w:color w:val="auto"/>
              </w:rPr>
            </w:pPr>
          </w:p>
        </w:tc>
        <w:tc>
          <w:tcPr>
            <w:tcW w:w="1240" w:type="dxa"/>
            <w:vAlign w:val="bottom"/>
            <w:gridSpan w:val="2"/>
          </w:tcPr>
          <w:p>
            <w:pPr>
              <w:jc w:val="center"/>
              <w:ind w:right="360"/>
              <w:spacing w:after="0" w:line="189" w:lineRule="exact"/>
              <w:rPr>
                <w:sz w:val="20"/>
                <w:szCs w:val="20"/>
                <w:color w:val="auto"/>
              </w:rPr>
            </w:pPr>
            <w:r>
              <w:rPr>
                <w:rFonts w:ascii="Arial" w:cs="Arial" w:eastAsia="Arial" w:hAnsi="Arial"/>
                <w:sz w:val="17"/>
                <w:szCs w:val="17"/>
                <w:b w:val="1"/>
                <w:bCs w:val="1"/>
                <w:color w:val="auto"/>
                <w:w w:val="91"/>
              </w:rPr>
              <w:t>Recorded</w:t>
            </w:r>
          </w:p>
        </w:tc>
        <w:tc>
          <w:tcPr>
            <w:tcW w:w="1260" w:type="dxa"/>
            <w:vAlign w:val="bottom"/>
            <w:tcBorders>
              <w:top w:val="single" w:sz="8" w:color="auto"/>
            </w:tcBorders>
            <w:gridSpan w:val="2"/>
          </w:tcPr>
          <w:p>
            <w:pPr>
              <w:jc w:val="center"/>
              <w:ind w:right="100"/>
              <w:spacing w:after="0" w:line="189" w:lineRule="exact"/>
              <w:rPr>
                <w:sz w:val="20"/>
                <w:szCs w:val="20"/>
                <w:color w:val="auto"/>
              </w:rPr>
            </w:pPr>
            <w:r>
              <w:rPr>
                <w:rFonts w:ascii="Arial" w:cs="Arial" w:eastAsia="Arial" w:hAnsi="Arial"/>
                <w:sz w:val="17"/>
                <w:szCs w:val="17"/>
                <w:b w:val="1"/>
                <w:bCs w:val="1"/>
                <w:color w:val="auto"/>
                <w:w w:val="94"/>
              </w:rPr>
              <w:t>Number of</w:t>
            </w: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95"/>
              <w:spacing w:after="0" w:line="189" w:lineRule="exact"/>
              <w:rPr>
                <w:sz w:val="20"/>
                <w:szCs w:val="20"/>
                <w:color w:val="auto"/>
              </w:rPr>
            </w:pPr>
            <w:r>
              <w:rPr>
                <w:rFonts w:ascii="Arial" w:cs="Arial" w:eastAsia="Arial" w:hAnsi="Arial"/>
                <w:sz w:val="17"/>
                <w:szCs w:val="17"/>
                <w:b w:val="1"/>
                <w:bCs w:val="1"/>
                <w:color w:val="auto"/>
                <w:w w:val="89"/>
              </w:rPr>
              <w:t>Recorded</w:t>
            </w:r>
          </w:p>
        </w:tc>
        <w:tc>
          <w:tcPr>
            <w:tcW w:w="100" w:type="dxa"/>
            <w:vAlign w:val="bottom"/>
          </w:tcPr>
          <w:p>
            <w:pPr>
              <w:spacing w:after="0"/>
              <w:rPr>
                <w:sz w:val="16"/>
                <w:szCs w:val="16"/>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7"/>
                <w:szCs w:val="17"/>
                <w:b w:val="1"/>
                <w:bCs w:val="1"/>
                <w:color w:val="auto"/>
              </w:rPr>
              <w:t>the Three Months Ended March 31, 2015</w:t>
            </w:r>
          </w:p>
        </w:tc>
        <w:tc>
          <w:tcPr>
            <w:tcW w:w="12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Contracts</w:t>
            </w:r>
          </w:p>
        </w:tc>
        <w:tc>
          <w:tcPr>
            <w:tcW w:w="12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1"/>
              </w:rPr>
              <w:t>Investment</w:t>
            </w:r>
          </w:p>
        </w:tc>
        <w:tc>
          <w:tcPr>
            <w:tcW w:w="14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Investment</w:t>
            </w: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0"/>
              </w:rPr>
              <w:t>Contracts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1"/>
              </w:rPr>
              <w:t>Investment</w:t>
            </w:r>
          </w:p>
        </w:tc>
      </w:tr>
      <w:tr>
        <w:trPr>
          <w:trHeight w:val="205"/>
        </w:trPr>
        <w:tc>
          <w:tcPr>
            <w:tcW w:w="4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580" w:type="dxa"/>
            <w:vAlign w:val="bottom"/>
            <w:shd w:val="clear" w:color="auto" w:fill="F0FFFF"/>
          </w:tcPr>
          <w:p>
            <w:pPr>
              <w:spacing w:after="0"/>
              <w:rPr>
                <w:sz w:val="20"/>
                <w:szCs w:val="20"/>
                <w:color w:val="auto"/>
              </w:rPr>
            </w:pPr>
            <w:r>
              <w:rPr>
                <w:rFonts w:ascii="Arial" w:cs="Arial" w:eastAsia="Arial" w:hAnsi="Arial"/>
                <w:sz w:val="17"/>
                <w:szCs w:val="17"/>
                <w:color w:val="auto"/>
              </w:rPr>
              <w:t>Owner occupied commercial real estate</w:t>
            </w:r>
          </w:p>
        </w:tc>
        <w:tc>
          <w:tcPr>
            <w:tcW w:w="1500" w:type="dxa"/>
            <w:vAlign w:val="bottom"/>
            <w:gridSpan w:val="3"/>
            <w:shd w:val="clear" w:color="auto" w:fill="F0FFFF"/>
          </w:tcPr>
          <w:p>
            <w:pPr>
              <w:jc w:val="right"/>
              <w:ind w:right="240"/>
              <w:spacing w:after="0"/>
              <w:rPr>
                <w:sz w:val="20"/>
                <w:szCs w:val="20"/>
                <w:color w:val="auto"/>
              </w:rPr>
            </w:pPr>
            <w:r>
              <w:rPr>
                <w:rFonts w:ascii="Arial" w:cs="Arial" w:eastAsia="Arial" w:hAnsi="Arial"/>
                <w:sz w:val="17"/>
                <w:szCs w:val="17"/>
                <w:color w:val="auto"/>
              </w:rPr>
              <w:t>2</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4,497</w:t>
            </w: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4,497</w:t>
            </w: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Income producing commercial real estate</w:t>
            </w:r>
          </w:p>
        </w:tc>
        <w:tc>
          <w:tcPr>
            <w:tcW w:w="1500" w:type="dxa"/>
            <w:vAlign w:val="bottom"/>
            <w:gridSpan w:val="3"/>
          </w:tcPr>
          <w:p>
            <w:pPr>
              <w:jc w:val="right"/>
              <w:ind w:right="24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255</w:t>
            </w: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255</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5"/>
        </w:trPr>
        <w:tc>
          <w:tcPr>
            <w:tcW w:w="4580" w:type="dxa"/>
            <w:vAlign w:val="bottom"/>
            <w:shd w:val="clear" w:color="auto" w:fill="F0FFFF"/>
          </w:tcPr>
          <w:p>
            <w:pPr>
              <w:spacing w:after="0"/>
              <w:rPr>
                <w:sz w:val="20"/>
                <w:szCs w:val="20"/>
                <w:color w:val="auto"/>
              </w:rPr>
            </w:pPr>
            <w:r>
              <w:rPr>
                <w:rFonts w:ascii="Arial" w:cs="Arial" w:eastAsia="Arial" w:hAnsi="Arial"/>
                <w:sz w:val="17"/>
                <w:szCs w:val="17"/>
                <w:color w:val="auto"/>
              </w:rPr>
              <w:t>Commercial &amp; industrial</w:t>
            </w:r>
          </w:p>
        </w:tc>
        <w:tc>
          <w:tcPr>
            <w:tcW w:w="1500" w:type="dxa"/>
            <w:vAlign w:val="bottom"/>
            <w:gridSpan w:val="3"/>
            <w:shd w:val="clear" w:color="auto" w:fill="F0FFFF"/>
          </w:tcPr>
          <w:p>
            <w:pPr>
              <w:jc w:val="right"/>
              <w:ind w:right="240"/>
              <w:spacing w:after="0"/>
              <w:rPr>
                <w:sz w:val="20"/>
                <w:szCs w:val="20"/>
                <w:color w:val="auto"/>
              </w:rPr>
            </w:pPr>
            <w:r>
              <w:rPr>
                <w:rFonts w:ascii="Arial" w:cs="Arial" w:eastAsia="Arial" w:hAnsi="Arial"/>
                <w:sz w:val="17"/>
                <w:szCs w:val="17"/>
                <w:color w:val="auto"/>
              </w:rPr>
              <w:t>2</w:t>
            </w: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188</w:t>
            </w: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188</w:t>
            </w: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Commercial construction</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6"/>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4580" w:type="dxa"/>
            <w:vAlign w:val="bottom"/>
            <w:shd w:val="clear" w:color="auto" w:fill="F0FFFF"/>
          </w:tcPr>
          <w:p>
            <w:pPr>
              <w:ind w:left="160"/>
              <w:spacing w:after="0"/>
              <w:rPr>
                <w:sz w:val="20"/>
                <w:szCs w:val="20"/>
                <w:color w:val="auto"/>
              </w:rPr>
            </w:pPr>
            <w:r>
              <w:rPr>
                <w:rFonts w:ascii="Arial" w:cs="Arial" w:eastAsia="Arial" w:hAnsi="Arial"/>
                <w:sz w:val="17"/>
                <w:szCs w:val="17"/>
                <w:color w:val="auto"/>
              </w:rPr>
              <w:t>Total commercial</w:t>
            </w:r>
          </w:p>
        </w:tc>
        <w:tc>
          <w:tcPr>
            <w:tcW w:w="120" w:type="dxa"/>
            <w:vAlign w:val="bottom"/>
            <w:shd w:val="clear" w:color="auto" w:fill="F0FFFF"/>
          </w:tcPr>
          <w:p>
            <w:pPr>
              <w:spacing w:after="0"/>
              <w:rPr>
                <w:sz w:val="17"/>
                <w:szCs w:val="17"/>
                <w:color w:val="auto"/>
              </w:rPr>
            </w:pPr>
          </w:p>
        </w:tc>
        <w:tc>
          <w:tcPr>
            <w:tcW w:w="13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6</w:t>
            </w: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4,940</w:t>
            </w: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4,940</w:t>
            </w: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Residential mortgage</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1,598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1,598</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5"/>
        </w:trPr>
        <w:tc>
          <w:tcPr>
            <w:tcW w:w="4580" w:type="dxa"/>
            <w:vAlign w:val="bottom"/>
            <w:shd w:val="clear" w:color="auto" w:fill="F0FFFF"/>
          </w:tcPr>
          <w:p>
            <w:pPr>
              <w:spacing w:after="0"/>
              <w:rPr>
                <w:sz w:val="20"/>
                <w:szCs w:val="20"/>
                <w:color w:val="auto"/>
              </w:rPr>
            </w:pPr>
            <w:r>
              <w:rPr>
                <w:rFonts w:ascii="Arial" w:cs="Arial" w:eastAsia="Arial" w:hAnsi="Arial"/>
                <w:sz w:val="17"/>
                <w:szCs w:val="17"/>
                <w:color w:val="auto"/>
              </w:rPr>
              <w:t>Home equity lines of credit</w:t>
            </w:r>
          </w:p>
        </w:tc>
        <w:tc>
          <w:tcPr>
            <w:tcW w:w="126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Residential construction</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5"/>
        </w:trPr>
        <w:tc>
          <w:tcPr>
            <w:tcW w:w="4580" w:type="dxa"/>
            <w:vAlign w:val="bottom"/>
            <w:shd w:val="clear" w:color="auto" w:fill="F0FFFF"/>
          </w:tcPr>
          <w:p>
            <w:pPr>
              <w:spacing w:after="0"/>
              <w:rPr>
                <w:sz w:val="20"/>
                <w:szCs w:val="20"/>
                <w:color w:val="auto"/>
              </w:rPr>
            </w:pPr>
            <w:r>
              <w:rPr>
                <w:rFonts w:ascii="Arial" w:cs="Arial" w:eastAsia="Arial" w:hAnsi="Arial"/>
                <w:sz w:val="17"/>
                <w:szCs w:val="17"/>
                <w:color w:val="auto"/>
              </w:rPr>
              <w:t>Consumer installment</w:t>
            </w:r>
          </w:p>
        </w:tc>
        <w:tc>
          <w:tcPr>
            <w:tcW w:w="1500" w:type="dxa"/>
            <w:vAlign w:val="bottom"/>
            <w:gridSpan w:val="3"/>
            <w:shd w:val="clear" w:color="auto" w:fill="F0FFFF"/>
          </w:tcPr>
          <w:p>
            <w:pPr>
              <w:jc w:val="right"/>
              <w:ind w:right="240"/>
              <w:spacing w:after="0"/>
              <w:rPr>
                <w:sz w:val="20"/>
                <w:szCs w:val="20"/>
                <w:color w:val="auto"/>
              </w:rPr>
            </w:pPr>
            <w:r>
              <w:rPr>
                <w:rFonts w:ascii="Arial" w:cs="Arial" w:eastAsia="Arial" w:hAnsi="Arial"/>
                <w:sz w:val="17"/>
                <w:szCs w:val="17"/>
                <w:color w:val="auto"/>
              </w:rPr>
              <w:t>1</w:t>
            </w: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3</w:t>
            </w: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3</w:t>
            </w: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w:t>
            </w: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F0FFFF"/>
          </w:tcPr>
          <w:p>
            <w:pPr>
              <w:spacing w:after="0"/>
              <w:rPr>
                <w:sz w:val="17"/>
                <w:szCs w:val="17"/>
                <w:color w:val="auto"/>
              </w:rPr>
            </w:pPr>
          </w:p>
        </w:tc>
      </w:t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Indirect auto</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6"/>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4580" w:type="dxa"/>
            <w:vAlign w:val="bottom"/>
            <w:shd w:val="clear" w:color="auto" w:fill="F0FFFF"/>
          </w:tcPr>
          <w:p>
            <w:pPr>
              <w:ind w:left="160"/>
              <w:spacing w:after="0"/>
              <w:rPr>
                <w:sz w:val="20"/>
                <w:szCs w:val="20"/>
                <w:color w:val="auto"/>
              </w:rPr>
            </w:pPr>
            <w:r>
              <w:rPr>
                <w:rFonts w:ascii="Arial" w:cs="Arial" w:eastAsia="Arial" w:hAnsi="Arial"/>
                <w:sz w:val="17"/>
                <w:szCs w:val="17"/>
                <w:color w:val="auto"/>
              </w:rPr>
              <w:t>Total loans</w:t>
            </w:r>
          </w:p>
        </w:tc>
        <w:tc>
          <w:tcPr>
            <w:tcW w:w="120" w:type="dxa"/>
            <w:vAlign w:val="bottom"/>
            <w:shd w:val="clear" w:color="auto" w:fill="F0FFFF"/>
          </w:tcPr>
          <w:p>
            <w:pPr>
              <w:spacing w:after="0"/>
              <w:rPr>
                <w:sz w:val="19"/>
                <w:szCs w:val="19"/>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22</w:t>
            </w:r>
          </w:p>
        </w:tc>
        <w:tc>
          <w:tcPr>
            <w:tcW w:w="240" w:type="dxa"/>
            <w:vAlign w:val="bottom"/>
            <w:shd w:val="clear" w:color="auto" w:fill="F0FFFF"/>
          </w:tcPr>
          <w:p>
            <w:pPr>
              <w:spacing w:after="0"/>
              <w:rPr>
                <w:sz w:val="19"/>
                <w:szCs w:val="19"/>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6,541</w:t>
            </w:r>
          </w:p>
        </w:tc>
        <w:tc>
          <w:tcPr>
            <w:tcW w:w="220" w:type="dxa"/>
            <w:vAlign w:val="bottom"/>
            <w:shd w:val="clear" w:color="auto" w:fill="F0FFFF"/>
          </w:tcPr>
          <w:p>
            <w:pPr>
              <w:spacing w:after="0"/>
              <w:rPr>
                <w:sz w:val="19"/>
                <w:szCs w:val="19"/>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6,541</w:t>
            </w:r>
          </w:p>
        </w:tc>
        <w:tc>
          <w:tcPr>
            <w:tcW w:w="220" w:type="dxa"/>
            <w:vAlign w:val="bottom"/>
            <w:shd w:val="clear" w:color="auto" w:fill="F0FFFF"/>
          </w:tcPr>
          <w:p>
            <w:pPr>
              <w:spacing w:after="0"/>
              <w:rPr>
                <w:sz w:val="19"/>
                <w:szCs w:val="19"/>
                <w:color w:val="auto"/>
              </w:rPr>
            </w:pP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F0FFFF"/>
          </w:tcPr>
          <w:p>
            <w:pPr>
              <w:spacing w:after="0"/>
              <w:rPr>
                <w:sz w:val="19"/>
                <w:szCs w:val="19"/>
                <w:color w:val="auto"/>
              </w:rPr>
            </w:pPr>
          </w:p>
        </w:tc>
      </w:tr>
      <w:tr>
        <w:trPr>
          <w:trHeight w:val="20"/>
        </w:trPr>
        <w:tc>
          <w:tcPr>
            <w:tcW w:w="458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r>
      <w:tr>
        <w:trPr>
          <w:trHeight w:val="411"/>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6"/>
          </w:tcPr>
          <w:p>
            <w:pPr>
              <w:jc w:val="center"/>
              <w:ind w:right="100"/>
              <w:spacing w:after="0"/>
              <w:rPr>
                <w:sz w:val="20"/>
                <w:szCs w:val="20"/>
                <w:color w:val="auto"/>
              </w:rPr>
            </w:pPr>
            <w:r>
              <w:rPr>
                <w:rFonts w:ascii="Arial" w:cs="Arial" w:eastAsia="Arial" w:hAnsi="Arial"/>
                <w:sz w:val="17"/>
                <w:szCs w:val="17"/>
                <w:b w:val="1"/>
                <w:bCs w:val="1"/>
                <w:color w:val="auto"/>
                <w:w w:val="91"/>
              </w:rPr>
              <w:t>Troubled Debt Restructurings</w:t>
            </w:r>
          </w:p>
        </w:tc>
      </w:tr>
      <w:tr>
        <w:trPr>
          <w:trHeight w:val="20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6"/>
          </w:tcPr>
          <w:p>
            <w:pPr>
              <w:jc w:val="center"/>
              <w:ind w:right="100"/>
              <w:spacing w:after="0"/>
              <w:rPr>
                <w:sz w:val="20"/>
                <w:szCs w:val="20"/>
                <w:color w:val="auto"/>
              </w:rPr>
            </w:pPr>
            <w:r>
              <w:rPr>
                <w:rFonts w:ascii="Arial" w:cs="Arial" w:eastAsia="Arial" w:hAnsi="Arial"/>
                <w:sz w:val="17"/>
                <w:szCs w:val="17"/>
                <w:b w:val="1"/>
                <w:bCs w:val="1"/>
                <w:color w:val="auto"/>
                <w:w w:val="92"/>
              </w:rPr>
              <w:t>Modified Within the Previous</w:t>
            </w:r>
          </w:p>
        </w:tc>
      </w:tr>
      <w:tr>
        <w:trPr>
          <w:trHeight w:val="20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6"/>
          </w:tcPr>
          <w:p>
            <w:pPr>
              <w:jc w:val="center"/>
              <w:ind w:right="80"/>
              <w:spacing w:after="0"/>
              <w:rPr>
                <w:sz w:val="20"/>
                <w:szCs w:val="20"/>
                <w:color w:val="auto"/>
              </w:rPr>
            </w:pPr>
            <w:r>
              <w:rPr>
                <w:rFonts w:ascii="Arial" w:cs="Arial" w:eastAsia="Arial" w:hAnsi="Arial"/>
                <w:sz w:val="17"/>
                <w:szCs w:val="17"/>
                <w:b w:val="1"/>
                <w:bCs w:val="1"/>
                <w:color w:val="auto"/>
                <w:w w:val="91"/>
              </w:rPr>
              <w:t>Twelve Months that Have</w:t>
            </w:r>
          </w:p>
        </w:tc>
      </w:tr>
      <w:tr>
        <w:trPr>
          <w:trHeight w:val="20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6"/>
              </w:rPr>
              <w:t>Pre-</w:t>
            </w:r>
          </w:p>
        </w:tc>
        <w:tc>
          <w:tcPr>
            <w:tcW w:w="14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4"/>
              </w:rPr>
              <w:t>Post-</w:t>
            </w:r>
          </w:p>
        </w:tc>
        <w:tc>
          <w:tcPr>
            <w:tcW w:w="2580" w:type="dxa"/>
            <w:vAlign w:val="bottom"/>
            <w:gridSpan w:val="6"/>
          </w:tcPr>
          <w:p>
            <w:pPr>
              <w:jc w:val="center"/>
              <w:ind w:right="80"/>
              <w:spacing w:after="0"/>
              <w:rPr>
                <w:sz w:val="20"/>
                <w:szCs w:val="20"/>
                <w:color w:val="auto"/>
              </w:rPr>
            </w:pPr>
            <w:r>
              <w:rPr>
                <w:rFonts w:ascii="Arial" w:cs="Arial" w:eastAsia="Arial" w:hAnsi="Arial"/>
                <w:sz w:val="17"/>
                <w:szCs w:val="17"/>
                <w:b w:val="1"/>
                <w:bCs w:val="1"/>
                <w:color w:val="auto"/>
                <w:w w:val="90"/>
              </w:rPr>
              <w:t>Subsequently Defaulted During</w:t>
            </w:r>
          </w:p>
        </w:tc>
      </w:tr>
      <w:tr>
        <w:trPr>
          <w:trHeight w:val="231"/>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3"/>
          </w:tcPr>
          <w:p>
            <w:pPr>
              <w:ind w:left="40"/>
              <w:spacing w:after="0"/>
              <w:rPr>
                <w:sz w:val="20"/>
                <w:szCs w:val="20"/>
                <w:color w:val="auto"/>
              </w:rPr>
            </w:pPr>
            <w:r>
              <w:rPr>
                <w:rFonts w:ascii="Arial" w:cs="Arial" w:eastAsia="Arial" w:hAnsi="Arial"/>
                <w:sz w:val="17"/>
                <w:szCs w:val="17"/>
                <w:b w:val="1"/>
                <w:bCs w:val="1"/>
                <w:color w:val="auto"/>
              </w:rPr>
              <w:t>Modification</w:t>
            </w:r>
          </w:p>
        </w:tc>
        <w:tc>
          <w:tcPr>
            <w:tcW w:w="1380" w:type="dxa"/>
            <w:vAlign w:val="bottom"/>
            <w:gridSpan w:val="3"/>
          </w:tcPr>
          <w:p>
            <w:pPr>
              <w:ind w:left="60"/>
              <w:spacing w:after="0"/>
              <w:rPr>
                <w:sz w:val="20"/>
                <w:szCs w:val="20"/>
                <w:color w:val="auto"/>
              </w:rPr>
            </w:pPr>
            <w:r>
              <w:rPr>
                <w:rFonts w:ascii="Arial" w:cs="Arial" w:eastAsia="Arial" w:hAnsi="Arial"/>
                <w:sz w:val="17"/>
                <w:szCs w:val="17"/>
                <w:b w:val="1"/>
                <w:bCs w:val="1"/>
                <w:color w:val="auto"/>
              </w:rPr>
              <w:t>Modification</w:t>
            </w:r>
          </w:p>
        </w:tc>
        <w:tc>
          <w:tcPr>
            <w:tcW w:w="2580" w:type="dxa"/>
            <w:vAlign w:val="bottom"/>
            <w:gridSpan w:val="6"/>
          </w:tcPr>
          <w:p>
            <w:pPr>
              <w:jc w:val="center"/>
              <w:ind w:right="80"/>
              <w:spacing w:after="0"/>
              <w:rPr>
                <w:sz w:val="20"/>
                <w:szCs w:val="20"/>
                <w:color w:val="auto"/>
              </w:rPr>
            </w:pPr>
            <w:r>
              <w:rPr>
                <w:rFonts w:ascii="Arial" w:cs="Arial" w:eastAsia="Arial" w:hAnsi="Arial"/>
                <w:sz w:val="17"/>
                <w:szCs w:val="17"/>
                <w:b w:val="1"/>
                <w:bCs w:val="1"/>
                <w:color w:val="auto"/>
                <w:w w:val="91"/>
              </w:rPr>
              <w:t>the Three Months Ended</w:t>
            </w:r>
          </w:p>
        </w:tc>
      </w:tr>
      <w:tr>
        <w:trPr>
          <w:trHeight w:val="227"/>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b w:val="1"/>
                <w:bCs w:val="1"/>
                <w:color w:val="auto"/>
              </w:rPr>
              <w:t>Outstanding</w:t>
            </w:r>
          </w:p>
        </w:tc>
        <w:tc>
          <w:tcPr>
            <w:tcW w:w="1380" w:type="dxa"/>
            <w:vAlign w:val="bottom"/>
            <w:gridSpan w:val="3"/>
          </w:tcPr>
          <w:p>
            <w:pPr>
              <w:ind w:left="60"/>
              <w:spacing w:after="0"/>
              <w:rPr>
                <w:sz w:val="20"/>
                <w:szCs w:val="20"/>
                <w:color w:val="auto"/>
              </w:rPr>
            </w:pPr>
            <w:r>
              <w:rPr>
                <w:rFonts w:ascii="Arial" w:cs="Arial" w:eastAsia="Arial" w:hAnsi="Arial"/>
                <w:sz w:val="17"/>
                <w:szCs w:val="17"/>
                <w:b w:val="1"/>
                <w:bCs w:val="1"/>
                <w:color w:val="auto"/>
              </w:rPr>
              <w:t>Outstanding</w:t>
            </w:r>
          </w:p>
        </w:tc>
        <w:tc>
          <w:tcPr>
            <w:tcW w:w="2580" w:type="dxa"/>
            <w:vAlign w:val="bottom"/>
            <w:gridSpan w:val="6"/>
          </w:tcPr>
          <w:p>
            <w:pPr>
              <w:jc w:val="center"/>
              <w:ind w:right="80"/>
              <w:spacing w:after="0"/>
              <w:rPr>
                <w:sz w:val="20"/>
                <w:szCs w:val="20"/>
                <w:color w:val="auto"/>
              </w:rPr>
            </w:pPr>
            <w:r>
              <w:rPr>
                <w:rFonts w:ascii="Arial" w:cs="Arial" w:eastAsia="Arial" w:hAnsi="Arial"/>
                <w:sz w:val="17"/>
                <w:szCs w:val="17"/>
                <w:b w:val="1"/>
                <w:bCs w:val="1"/>
                <w:color w:val="auto"/>
                <w:w w:val="94"/>
              </w:rPr>
              <w:t>March 31, 2014</w:t>
            </w:r>
          </w:p>
        </w:tc>
      </w:tr>
      <w:tr>
        <w:trPr>
          <w:trHeight w:val="189"/>
        </w:trPr>
        <w:tc>
          <w:tcPr>
            <w:tcW w:w="4580" w:type="dxa"/>
            <w:vAlign w:val="bottom"/>
          </w:tcPr>
          <w:p>
            <w:pPr>
              <w:spacing w:after="0" w:line="189" w:lineRule="exact"/>
              <w:rPr>
                <w:sz w:val="20"/>
                <w:szCs w:val="20"/>
                <w:color w:val="auto"/>
              </w:rPr>
            </w:pPr>
            <w:r>
              <w:rPr>
                <w:rFonts w:ascii="Arial" w:cs="Arial" w:eastAsia="Arial" w:hAnsi="Arial"/>
                <w:sz w:val="17"/>
                <w:szCs w:val="17"/>
                <w:b w:val="1"/>
                <w:bCs w:val="1"/>
                <w:color w:val="auto"/>
              </w:rPr>
              <w:t>New Troubled Debt Restructurings for</w:t>
            </w:r>
          </w:p>
        </w:tc>
        <w:tc>
          <w:tcPr>
            <w:tcW w:w="120" w:type="dxa"/>
            <w:vAlign w:val="bottom"/>
          </w:tcPr>
          <w:p>
            <w:pPr>
              <w:spacing w:after="0"/>
              <w:rPr>
                <w:sz w:val="16"/>
                <w:szCs w:val="16"/>
                <w:color w:val="auto"/>
              </w:rPr>
            </w:pPr>
          </w:p>
        </w:tc>
        <w:tc>
          <w:tcPr>
            <w:tcW w:w="1380" w:type="dxa"/>
            <w:vAlign w:val="bottom"/>
            <w:gridSpan w:val="2"/>
          </w:tcPr>
          <w:p>
            <w:pPr>
              <w:jc w:val="center"/>
              <w:ind w:right="240"/>
              <w:spacing w:after="0" w:line="189" w:lineRule="exact"/>
              <w:rPr>
                <w:sz w:val="20"/>
                <w:szCs w:val="20"/>
                <w:color w:val="auto"/>
              </w:rPr>
            </w:pPr>
            <w:r>
              <w:rPr>
                <w:rFonts w:ascii="Arial" w:cs="Arial" w:eastAsia="Arial" w:hAnsi="Arial"/>
                <w:sz w:val="17"/>
                <w:szCs w:val="17"/>
                <w:b w:val="1"/>
                <w:bCs w:val="1"/>
                <w:color w:val="auto"/>
                <w:w w:val="91"/>
              </w:rPr>
              <w:t>Number of</w:t>
            </w:r>
          </w:p>
        </w:tc>
        <w:tc>
          <w:tcPr>
            <w:tcW w:w="120" w:type="dxa"/>
            <w:vAlign w:val="bottom"/>
          </w:tcPr>
          <w:p>
            <w:pPr>
              <w:spacing w:after="0"/>
              <w:rPr>
                <w:sz w:val="16"/>
                <w:szCs w:val="16"/>
                <w:color w:val="auto"/>
              </w:rPr>
            </w:pPr>
          </w:p>
        </w:tc>
        <w:tc>
          <w:tcPr>
            <w:tcW w:w="1260" w:type="dxa"/>
            <w:vAlign w:val="bottom"/>
            <w:gridSpan w:val="2"/>
          </w:tcPr>
          <w:p>
            <w:pPr>
              <w:jc w:val="center"/>
              <w:ind w:right="360"/>
              <w:spacing w:after="0" w:line="189" w:lineRule="exact"/>
              <w:rPr>
                <w:sz w:val="20"/>
                <w:szCs w:val="20"/>
                <w:color w:val="auto"/>
              </w:rPr>
            </w:pPr>
            <w:r>
              <w:rPr>
                <w:rFonts w:ascii="Arial" w:cs="Arial" w:eastAsia="Arial" w:hAnsi="Arial"/>
                <w:sz w:val="17"/>
                <w:szCs w:val="17"/>
                <w:b w:val="1"/>
                <w:bCs w:val="1"/>
                <w:color w:val="auto"/>
                <w:w w:val="89"/>
              </w:rPr>
              <w:t>Recorded</w:t>
            </w:r>
          </w:p>
        </w:tc>
        <w:tc>
          <w:tcPr>
            <w:tcW w:w="140" w:type="dxa"/>
            <w:vAlign w:val="bottom"/>
          </w:tcPr>
          <w:p>
            <w:pPr>
              <w:spacing w:after="0"/>
              <w:rPr>
                <w:sz w:val="16"/>
                <w:szCs w:val="16"/>
                <w:color w:val="auto"/>
              </w:rPr>
            </w:pPr>
          </w:p>
        </w:tc>
        <w:tc>
          <w:tcPr>
            <w:tcW w:w="1240" w:type="dxa"/>
            <w:vAlign w:val="bottom"/>
            <w:gridSpan w:val="2"/>
          </w:tcPr>
          <w:p>
            <w:pPr>
              <w:jc w:val="center"/>
              <w:ind w:right="360"/>
              <w:spacing w:after="0" w:line="189" w:lineRule="exact"/>
              <w:rPr>
                <w:sz w:val="20"/>
                <w:szCs w:val="20"/>
                <w:color w:val="auto"/>
              </w:rPr>
            </w:pPr>
            <w:r>
              <w:rPr>
                <w:rFonts w:ascii="Arial" w:cs="Arial" w:eastAsia="Arial" w:hAnsi="Arial"/>
                <w:sz w:val="17"/>
                <w:szCs w:val="17"/>
                <w:b w:val="1"/>
                <w:bCs w:val="1"/>
                <w:color w:val="auto"/>
                <w:w w:val="91"/>
              </w:rPr>
              <w:t>Recorded</w:t>
            </w:r>
          </w:p>
        </w:tc>
        <w:tc>
          <w:tcPr>
            <w:tcW w:w="1260" w:type="dxa"/>
            <w:vAlign w:val="bottom"/>
            <w:tcBorders>
              <w:top w:val="single" w:sz="8" w:color="auto"/>
            </w:tcBorders>
            <w:gridSpan w:val="2"/>
          </w:tcPr>
          <w:p>
            <w:pPr>
              <w:jc w:val="center"/>
              <w:ind w:right="100"/>
              <w:spacing w:after="0" w:line="189" w:lineRule="exact"/>
              <w:rPr>
                <w:sz w:val="20"/>
                <w:szCs w:val="20"/>
                <w:color w:val="auto"/>
              </w:rPr>
            </w:pPr>
            <w:r>
              <w:rPr>
                <w:rFonts w:ascii="Arial" w:cs="Arial" w:eastAsia="Arial" w:hAnsi="Arial"/>
                <w:sz w:val="17"/>
                <w:szCs w:val="17"/>
                <w:b w:val="1"/>
                <w:bCs w:val="1"/>
                <w:color w:val="auto"/>
                <w:w w:val="94"/>
              </w:rPr>
              <w:t>Number of</w:t>
            </w: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95"/>
              <w:spacing w:after="0" w:line="189" w:lineRule="exact"/>
              <w:rPr>
                <w:sz w:val="20"/>
                <w:szCs w:val="20"/>
                <w:color w:val="auto"/>
              </w:rPr>
            </w:pPr>
            <w:r>
              <w:rPr>
                <w:rFonts w:ascii="Arial" w:cs="Arial" w:eastAsia="Arial" w:hAnsi="Arial"/>
                <w:sz w:val="17"/>
                <w:szCs w:val="17"/>
                <w:b w:val="1"/>
                <w:bCs w:val="1"/>
                <w:color w:val="auto"/>
                <w:w w:val="89"/>
              </w:rPr>
              <w:t>Recorded</w:t>
            </w:r>
          </w:p>
        </w:tc>
        <w:tc>
          <w:tcPr>
            <w:tcW w:w="100" w:type="dxa"/>
            <w:vAlign w:val="bottom"/>
          </w:tcPr>
          <w:p>
            <w:pPr>
              <w:spacing w:after="0"/>
              <w:rPr>
                <w:sz w:val="16"/>
                <w:szCs w:val="16"/>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7"/>
                <w:szCs w:val="17"/>
                <w:b w:val="1"/>
                <w:bCs w:val="1"/>
                <w:color w:val="auto"/>
              </w:rPr>
              <w:t>the Three Months Ended March 31, 2014</w:t>
            </w:r>
          </w:p>
        </w:tc>
        <w:tc>
          <w:tcPr>
            <w:tcW w:w="12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Contracts</w:t>
            </w:r>
          </w:p>
        </w:tc>
        <w:tc>
          <w:tcPr>
            <w:tcW w:w="12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1"/>
              </w:rPr>
              <w:t>Investment</w:t>
            </w:r>
          </w:p>
        </w:tc>
        <w:tc>
          <w:tcPr>
            <w:tcW w:w="14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Investment</w:t>
            </w: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0"/>
              </w:rPr>
              <w:t>Contracts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1"/>
              </w:rPr>
              <w:t>Investment</w:t>
            </w:r>
          </w:p>
        </w:tc>
      </w:tr>
      <w:tr>
        <w:trPr>
          <w:trHeight w:val="205"/>
        </w:trPr>
        <w:tc>
          <w:tcPr>
            <w:tcW w:w="4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580" w:type="dxa"/>
            <w:vAlign w:val="bottom"/>
            <w:shd w:val="clear" w:color="auto" w:fill="F0FFFF"/>
          </w:tcPr>
          <w:p>
            <w:pPr>
              <w:spacing w:after="0"/>
              <w:rPr>
                <w:sz w:val="20"/>
                <w:szCs w:val="20"/>
                <w:color w:val="auto"/>
              </w:rPr>
            </w:pPr>
            <w:r>
              <w:rPr>
                <w:rFonts w:ascii="Arial" w:cs="Arial" w:eastAsia="Arial" w:hAnsi="Arial"/>
                <w:sz w:val="17"/>
                <w:szCs w:val="17"/>
                <w:color w:val="auto"/>
              </w:rPr>
              <w:t>Owner occupied commercial real estate</w:t>
            </w:r>
          </w:p>
        </w:tc>
        <w:tc>
          <w:tcPr>
            <w:tcW w:w="1500" w:type="dxa"/>
            <w:vAlign w:val="bottom"/>
            <w:gridSpan w:val="3"/>
            <w:shd w:val="clear" w:color="auto" w:fill="F0FFFF"/>
          </w:tcPr>
          <w:p>
            <w:pPr>
              <w:jc w:val="right"/>
              <w:ind w:right="240"/>
              <w:spacing w:after="0"/>
              <w:rPr>
                <w:sz w:val="20"/>
                <w:szCs w:val="20"/>
                <w:color w:val="auto"/>
              </w:rPr>
            </w:pPr>
            <w:r>
              <w:rPr>
                <w:rFonts w:ascii="Arial" w:cs="Arial" w:eastAsia="Arial" w:hAnsi="Arial"/>
                <w:sz w:val="17"/>
                <w:szCs w:val="17"/>
                <w:color w:val="auto"/>
              </w:rPr>
              <w:t>2</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605</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605</w:t>
            </w: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104</w:t>
            </w:r>
          </w:p>
        </w:tc>
      </w:t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Income producing commercial real estate</w:t>
            </w:r>
          </w:p>
        </w:tc>
        <w:tc>
          <w:tcPr>
            <w:tcW w:w="1500" w:type="dxa"/>
            <w:vAlign w:val="bottom"/>
            <w:gridSpan w:val="3"/>
          </w:tcPr>
          <w:p>
            <w:pPr>
              <w:jc w:val="right"/>
              <w:ind w:right="24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533</w:t>
            </w: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533</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5"/>
        </w:trPr>
        <w:tc>
          <w:tcPr>
            <w:tcW w:w="4580" w:type="dxa"/>
            <w:vAlign w:val="bottom"/>
            <w:shd w:val="clear" w:color="auto" w:fill="F0FFFF"/>
          </w:tcPr>
          <w:p>
            <w:pPr>
              <w:spacing w:after="0"/>
              <w:rPr>
                <w:sz w:val="20"/>
                <w:szCs w:val="20"/>
                <w:color w:val="auto"/>
              </w:rPr>
            </w:pPr>
            <w:r>
              <w:rPr>
                <w:rFonts w:ascii="Arial" w:cs="Arial" w:eastAsia="Arial" w:hAnsi="Arial"/>
                <w:sz w:val="17"/>
                <w:szCs w:val="17"/>
                <w:color w:val="auto"/>
              </w:rPr>
              <w:t>Commercial &amp; industrial</w:t>
            </w:r>
          </w:p>
        </w:tc>
        <w:tc>
          <w:tcPr>
            <w:tcW w:w="1500" w:type="dxa"/>
            <w:vAlign w:val="bottom"/>
            <w:gridSpan w:val="3"/>
            <w:shd w:val="clear" w:color="auto" w:fill="F0FFFF"/>
          </w:tcPr>
          <w:p>
            <w:pPr>
              <w:jc w:val="right"/>
              <w:ind w:right="240"/>
              <w:spacing w:after="0"/>
              <w:rPr>
                <w:sz w:val="20"/>
                <w:szCs w:val="20"/>
                <w:color w:val="auto"/>
              </w:rPr>
            </w:pPr>
            <w:r>
              <w:rPr>
                <w:rFonts w:ascii="Arial" w:cs="Arial" w:eastAsia="Arial" w:hAnsi="Arial"/>
                <w:sz w:val="17"/>
                <w:szCs w:val="17"/>
                <w:color w:val="auto"/>
              </w:rPr>
              <w:t>1</w:t>
            </w: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224</w:t>
            </w: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224</w:t>
            </w: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2</w:t>
            </w: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F0FFFF"/>
          </w:tcPr>
          <w:p>
            <w:pPr>
              <w:spacing w:after="0"/>
              <w:rPr>
                <w:sz w:val="17"/>
                <w:szCs w:val="17"/>
                <w:color w:val="auto"/>
              </w:rPr>
            </w:pPr>
          </w:p>
        </w:tc>
      </w:t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Commercial construction</w:t>
            </w:r>
          </w:p>
        </w:tc>
        <w:tc>
          <w:tcPr>
            <w:tcW w:w="1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231</w:t>
            </w: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231</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6"/>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4580" w:type="dxa"/>
            <w:vAlign w:val="bottom"/>
            <w:shd w:val="clear" w:color="auto" w:fill="F0FFFF"/>
          </w:tcPr>
          <w:p>
            <w:pPr>
              <w:ind w:left="160"/>
              <w:spacing w:after="0"/>
              <w:rPr>
                <w:sz w:val="20"/>
                <w:szCs w:val="20"/>
                <w:color w:val="auto"/>
              </w:rPr>
            </w:pPr>
            <w:r>
              <w:rPr>
                <w:rFonts w:ascii="Arial" w:cs="Arial" w:eastAsia="Arial" w:hAnsi="Arial"/>
                <w:sz w:val="17"/>
                <w:szCs w:val="17"/>
                <w:color w:val="auto"/>
              </w:rPr>
              <w:t>Total commercial</w:t>
            </w:r>
          </w:p>
        </w:tc>
        <w:tc>
          <w:tcPr>
            <w:tcW w:w="120" w:type="dxa"/>
            <w:vAlign w:val="bottom"/>
            <w:shd w:val="clear" w:color="auto" w:fill="F0FFFF"/>
          </w:tcPr>
          <w:p>
            <w:pPr>
              <w:spacing w:after="0"/>
              <w:rPr>
                <w:sz w:val="17"/>
                <w:szCs w:val="17"/>
                <w:color w:val="auto"/>
              </w:rPr>
            </w:pPr>
          </w:p>
        </w:tc>
        <w:tc>
          <w:tcPr>
            <w:tcW w:w="13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6</w:t>
            </w: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1,593</w:t>
            </w: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1,593</w:t>
            </w: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3</w:t>
            </w: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158</w:t>
            </w:r>
          </w:p>
        </w:tc>
      </w:t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Residential mortgage</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14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1,132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1,132</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452</w:t>
            </w:r>
          </w:p>
        </w:tc>
      </w:tr>
      <w:tr>
        <w:trPr>
          <w:trHeight w:val="205"/>
        </w:trPr>
        <w:tc>
          <w:tcPr>
            <w:tcW w:w="4580" w:type="dxa"/>
            <w:vAlign w:val="bottom"/>
            <w:shd w:val="clear" w:color="auto" w:fill="F0FFFF"/>
          </w:tcPr>
          <w:p>
            <w:pPr>
              <w:spacing w:after="0"/>
              <w:rPr>
                <w:sz w:val="20"/>
                <w:szCs w:val="20"/>
                <w:color w:val="auto"/>
              </w:rPr>
            </w:pPr>
            <w:r>
              <w:rPr>
                <w:rFonts w:ascii="Arial" w:cs="Arial" w:eastAsia="Arial" w:hAnsi="Arial"/>
                <w:sz w:val="17"/>
                <w:szCs w:val="17"/>
                <w:color w:val="auto"/>
              </w:rPr>
              <w:t>Home equity lines of credit</w:t>
            </w:r>
          </w:p>
        </w:tc>
        <w:tc>
          <w:tcPr>
            <w:tcW w:w="126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Residential construction</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5"/>
        </w:trPr>
        <w:tc>
          <w:tcPr>
            <w:tcW w:w="4580" w:type="dxa"/>
            <w:vAlign w:val="bottom"/>
            <w:shd w:val="clear" w:color="auto" w:fill="F0FFFF"/>
          </w:tcPr>
          <w:p>
            <w:pPr>
              <w:spacing w:after="0"/>
              <w:rPr>
                <w:sz w:val="20"/>
                <w:szCs w:val="20"/>
                <w:color w:val="auto"/>
              </w:rPr>
            </w:pPr>
            <w:r>
              <w:rPr>
                <w:rFonts w:ascii="Arial" w:cs="Arial" w:eastAsia="Arial" w:hAnsi="Arial"/>
                <w:sz w:val="17"/>
                <w:szCs w:val="17"/>
                <w:color w:val="auto"/>
              </w:rPr>
              <w:t>Consumer installment</w:t>
            </w:r>
          </w:p>
        </w:tc>
        <w:tc>
          <w:tcPr>
            <w:tcW w:w="1500" w:type="dxa"/>
            <w:vAlign w:val="bottom"/>
            <w:gridSpan w:val="3"/>
            <w:shd w:val="clear" w:color="auto" w:fill="F0FFFF"/>
          </w:tcPr>
          <w:p>
            <w:pPr>
              <w:jc w:val="right"/>
              <w:ind w:right="240"/>
              <w:spacing w:after="0"/>
              <w:rPr>
                <w:sz w:val="20"/>
                <w:szCs w:val="20"/>
                <w:color w:val="auto"/>
              </w:rPr>
            </w:pPr>
            <w:r>
              <w:rPr>
                <w:rFonts w:ascii="Arial" w:cs="Arial" w:eastAsia="Arial" w:hAnsi="Arial"/>
                <w:sz w:val="17"/>
                <w:szCs w:val="17"/>
                <w:color w:val="auto"/>
              </w:rPr>
              <w:t>2</w:t>
            </w: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142</w:t>
            </w: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142</w:t>
            </w: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Indirect auto</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6"/>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4580" w:type="dxa"/>
            <w:vAlign w:val="bottom"/>
            <w:shd w:val="clear" w:color="auto" w:fill="F0FFFF"/>
          </w:tcPr>
          <w:p>
            <w:pPr>
              <w:ind w:left="160"/>
              <w:spacing w:after="0"/>
              <w:rPr>
                <w:sz w:val="20"/>
                <w:szCs w:val="20"/>
                <w:color w:val="auto"/>
              </w:rPr>
            </w:pPr>
            <w:r>
              <w:rPr>
                <w:rFonts w:ascii="Arial" w:cs="Arial" w:eastAsia="Arial" w:hAnsi="Arial"/>
                <w:sz w:val="17"/>
                <w:szCs w:val="17"/>
                <w:color w:val="auto"/>
              </w:rPr>
              <w:t>Total loans</w:t>
            </w:r>
          </w:p>
        </w:tc>
        <w:tc>
          <w:tcPr>
            <w:tcW w:w="120" w:type="dxa"/>
            <w:vAlign w:val="bottom"/>
            <w:shd w:val="clear" w:color="auto" w:fill="F0FFFF"/>
          </w:tcPr>
          <w:p>
            <w:pPr>
              <w:spacing w:after="0"/>
              <w:rPr>
                <w:sz w:val="19"/>
                <w:szCs w:val="19"/>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22</w:t>
            </w:r>
          </w:p>
        </w:tc>
        <w:tc>
          <w:tcPr>
            <w:tcW w:w="240" w:type="dxa"/>
            <w:vAlign w:val="bottom"/>
            <w:shd w:val="clear" w:color="auto" w:fill="F0FFFF"/>
          </w:tcPr>
          <w:p>
            <w:pPr>
              <w:spacing w:after="0"/>
              <w:rPr>
                <w:sz w:val="19"/>
                <w:szCs w:val="19"/>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2,867</w:t>
            </w:r>
          </w:p>
        </w:tc>
        <w:tc>
          <w:tcPr>
            <w:tcW w:w="220" w:type="dxa"/>
            <w:vAlign w:val="bottom"/>
            <w:shd w:val="clear" w:color="auto" w:fill="F0FFFF"/>
          </w:tcPr>
          <w:p>
            <w:pPr>
              <w:spacing w:after="0"/>
              <w:rPr>
                <w:sz w:val="19"/>
                <w:szCs w:val="19"/>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2,867</w:t>
            </w:r>
          </w:p>
        </w:tc>
        <w:tc>
          <w:tcPr>
            <w:tcW w:w="220" w:type="dxa"/>
            <w:vAlign w:val="bottom"/>
            <w:shd w:val="clear" w:color="auto" w:fill="F0FFFF"/>
          </w:tcPr>
          <w:p>
            <w:pPr>
              <w:spacing w:after="0"/>
              <w:rPr>
                <w:sz w:val="19"/>
                <w:szCs w:val="19"/>
                <w:color w:val="auto"/>
              </w:rPr>
            </w:pP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7</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610</w:t>
            </w:r>
          </w:p>
        </w:tc>
      </w:tr>
      <w:tr>
        <w:trPr>
          <w:trHeight w:val="20"/>
        </w:trPr>
        <w:tc>
          <w:tcPr>
            <w:tcW w:w="458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r>
    </w:tbl>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Collateral dependent TDRs that subsequently default and are placed on nonaccrual are charged down to the fair value of the collateral consistent with United’s policy for nonaccrual loans. Impairment on TDRs that are not collateral dependent continues to be measured on discounted cash flows regardless of whether the loan has subsequently defaulted.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7"/>
          <w:szCs w:val="17"/>
          <w:b w:val="1"/>
          <w:bCs w:val="1"/>
          <w:color w:val="auto"/>
        </w:rPr>
        <w:t>UNITED COMMUNITY BANKS,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As of March 31, 2015, December 31, 2014 and March 31, 2014, and based on the most recent analysis performed, the risk category of loans by class of loans is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gridSpan w:val="5"/>
          </w:tcPr>
          <w:p>
            <w:pPr>
              <w:ind w:left="680"/>
              <w:spacing w:after="0"/>
              <w:rPr>
                <w:sz w:val="20"/>
                <w:szCs w:val="20"/>
                <w:color w:val="auto"/>
              </w:rPr>
            </w:pPr>
            <w:r>
              <w:rPr>
                <w:rFonts w:ascii="Arial" w:cs="Arial" w:eastAsia="Arial" w:hAnsi="Arial"/>
                <w:sz w:val="17"/>
                <w:szCs w:val="17"/>
                <w:b w:val="1"/>
                <w:bCs w:val="1"/>
                <w:color w:val="auto"/>
              </w:rPr>
              <w:t>Substandard</w:t>
            </w:r>
          </w:p>
        </w:tc>
        <w:tc>
          <w:tcPr>
            <w:tcW w:w="14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8"/>
              </w:rPr>
              <w:t>Doubtful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7"/>
        </w:trPr>
        <w:tc>
          <w:tcPr>
            <w:tcW w:w="3080" w:type="dxa"/>
            <w:vAlign w:val="bottom"/>
            <w:gridSpan w:val="3"/>
          </w:tcPr>
          <w:p>
            <w:pPr>
              <w:spacing w:after="0" w:line="167" w:lineRule="exact"/>
              <w:rPr>
                <w:sz w:val="20"/>
                <w:szCs w:val="20"/>
                <w:color w:val="auto"/>
              </w:rPr>
            </w:pPr>
            <w:r>
              <w:rPr>
                <w:rFonts w:ascii="Arial" w:cs="Arial" w:eastAsia="Arial" w:hAnsi="Arial"/>
                <w:sz w:val="17"/>
                <w:szCs w:val="17"/>
                <w:b w:val="1"/>
                <w:bCs w:val="1"/>
                <w:color w:val="auto"/>
              </w:rPr>
              <w:t>As of March 31, 2015</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ind w:left="160"/>
              <w:spacing w:after="0" w:line="167" w:lineRule="exact"/>
              <w:rPr>
                <w:sz w:val="20"/>
                <w:szCs w:val="20"/>
                <w:color w:val="auto"/>
              </w:rPr>
            </w:pPr>
            <w:r>
              <w:rPr>
                <w:rFonts w:ascii="Arial" w:cs="Arial" w:eastAsia="Arial" w:hAnsi="Arial"/>
                <w:sz w:val="17"/>
                <w:szCs w:val="17"/>
                <w:b w:val="1"/>
                <w:bCs w:val="1"/>
                <w:color w:val="auto"/>
              </w:rPr>
              <w:t>Pass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580"/>
              <w:spacing w:after="0" w:line="167" w:lineRule="exact"/>
              <w:rPr>
                <w:sz w:val="20"/>
                <w:szCs w:val="20"/>
                <w:color w:val="auto"/>
              </w:rPr>
            </w:pPr>
            <w:r>
              <w:rPr>
                <w:rFonts w:ascii="Arial" w:cs="Arial" w:eastAsia="Arial" w:hAnsi="Arial"/>
                <w:sz w:val="17"/>
                <w:szCs w:val="17"/>
                <w:b w:val="1"/>
                <w:bCs w:val="1"/>
                <w:color w:val="auto"/>
              </w:rPr>
              <w:t>Watch</w:t>
            </w: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right"/>
              <w:ind w:right="380"/>
              <w:spacing w:after="0" w:line="167" w:lineRule="exact"/>
              <w:rPr>
                <w:sz w:val="20"/>
                <w:szCs w:val="20"/>
                <w:color w:val="auto"/>
              </w:rPr>
            </w:pPr>
            <w:r>
              <w:rPr>
                <w:rFonts w:ascii="Arial" w:cs="Arial" w:eastAsia="Arial" w:hAnsi="Arial"/>
                <w:sz w:val="17"/>
                <w:szCs w:val="17"/>
                <w:b w:val="1"/>
                <w:bCs w:val="1"/>
                <w:color w:val="auto"/>
                <w:w w:val="94"/>
              </w:rPr>
              <w:t>Performing</w:t>
            </w: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75"/>
              <w:spacing w:after="0" w:line="167" w:lineRule="exact"/>
              <w:rPr>
                <w:sz w:val="20"/>
                <w:szCs w:val="20"/>
                <w:color w:val="auto"/>
              </w:rPr>
            </w:pPr>
            <w:r>
              <w:rPr>
                <w:rFonts w:ascii="Arial" w:cs="Arial" w:eastAsia="Arial" w:hAnsi="Arial"/>
                <w:sz w:val="17"/>
                <w:szCs w:val="17"/>
                <w:b w:val="1"/>
                <w:bCs w:val="1"/>
                <w:color w:val="auto"/>
                <w:w w:val="92"/>
              </w:rPr>
              <w:t>Nonaccrual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500"/>
              <w:spacing w:after="0" w:line="167" w:lineRule="exact"/>
              <w:rPr>
                <w:sz w:val="20"/>
                <w:szCs w:val="20"/>
                <w:color w:val="auto"/>
              </w:rPr>
            </w:pPr>
            <w:r>
              <w:rPr>
                <w:rFonts w:ascii="Arial" w:cs="Arial" w:eastAsia="Arial" w:hAnsi="Arial"/>
                <w:sz w:val="17"/>
                <w:szCs w:val="17"/>
                <w:b w:val="1"/>
                <w:bCs w:val="1"/>
                <w:color w:val="auto"/>
              </w:rPr>
              <w:t>Loss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480"/>
              <w:spacing w:after="0" w:line="167" w:lineRule="exact"/>
              <w:rPr>
                <w:sz w:val="20"/>
                <w:szCs w:val="20"/>
                <w:color w:val="auto"/>
              </w:rPr>
            </w:pPr>
            <w:r>
              <w:rPr>
                <w:rFonts w:ascii="Arial" w:cs="Arial" w:eastAsia="Arial" w:hAnsi="Arial"/>
                <w:sz w:val="17"/>
                <w:szCs w:val="17"/>
                <w:b w:val="1"/>
                <w:bCs w:val="1"/>
                <w:color w:val="auto"/>
              </w:rPr>
              <w:t>Total</w:t>
            </w:r>
          </w:p>
        </w:tc>
      </w:tr>
      <w:tr>
        <w:trPr>
          <w:trHeight w:val="24"/>
        </w:trPr>
        <w:tc>
          <w:tcPr>
            <w:tcW w:w="15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308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Owner occupied commercial real estate</w:t>
            </w:r>
          </w:p>
        </w:tc>
        <w:tc>
          <w:tcPr>
            <w:tcW w:w="500" w:type="dxa"/>
            <w:vAlign w:val="bottom"/>
            <w:gridSpan w:val="2"/>
            <w:shd w:val="clear" w:color="auto" w:fill="F0FFFF"/>
          </w:tcPr>
          <w:p>
            <w:pPr>
              <w:jc w:val="right"/>
              <w:ind w:right="105"/>
              <w:spacing w:after="0"/>
              <w:rPr>
                <w:sz w:val="20"/>
                <w:szCs w:val="20"/>
                <w:color w:val="auto"/>
              </w:rPr>
            </w:pPr>
            <w:r>
              <w:rPr>
                <w:rFonts w:ascii="Arial" w:cs="Arial" w:eastAsia="Arial" w:hAnsi="Arial"/>
                <w:sz w:val="17"/>
                <w:szCs w:val="17"/>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1,097,075</w:t>
            </w:r>
          </w:p>
        </w:tc>
        <w:tc>
          <w:tcPr>
            <w:tcW w:w="120" w:type="dxa"/>
            <w:vAlign w:val="bottom"/>
            <w:shd w:val="clear" w:color="auto" w:fill="F0FFFF"/>
          </w:tcPr>
          <w:p>
            <w:pPr>
              <w:spacing w:after="0"/>
              <w:rPr>
                <w:sz w:val="17"/>
                <w:szCs w:val="17"/>
                <w:color w:val="auto"/>
              </w:rPr>
            </w:pPr>
          </w:p>
        </w:tc>
        <w:tc>
          <w:tcPr>
            <w:tcW w:w="320" w:type="dxa"/>
            <w:vAlign w:val="bottom"/>
            <w:gridSpan w:val="2"/>
            <w:shd w:val="clear" w:color="auto" w:fill="F0FFFF"/>
          </w:tcPr>
          <w:p>
            <w:pPr>
              <w:jc w:val="right"/>
              <w:ind w:right="35"/>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21,594</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43,887</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4,360</w:t>
            </w: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1,166,916</w:t>
            </w:r>
          </w:p>
        </w:tc>
        <w:tc>
          <w:tcPr>
            <w:tcW w:w="100" w:type="dxa"/>
            <w:vAlign w:val="bottom"/>
            <w:shd w:val="clear" w:color="auto" w:fill="F0FFFF"/>
          </w:tcPr>
          <w:p>
            <w:pPr>
              <w:spacing w:after="0"/>
              <w:rPr>
                <w:sz w:val="17"/>
                <w:szCs w:val="17"/>
                <w:color w:val="auto"/>
              </w:rPr>
            </w:pPr>
          </w:p>
        </w:tc>
      </w:tr>
      <w:tr>
        <w:trPr>
          <w:trHeight w:val="205"/>
        </w:trPr>
        <w:tc>
          <w:tcPr>
            <w:tcW w:w="3080" w:type="dxa"/>
            <w:vAlign w:val="bottom"/>
            <w:gridSpan w:val="3"/>
          </w:tcPr>
          <w:p>
            <w:pPr>
              <w:spacing w:after="0"/>
              <w:rPr>
                <w:sz w:val="20"/>
                <w:szCs w:val="20"/>
                <w:color w:val="auto"/>
              </w:rPr>
            </w:pPr>
            <w:r>
              <w:rPr>
                <w:rFonts w:ascii="Arial" w:cs="Arial" w:eastAsia="Arial" w:hAnsi="Arial"/>
                <w:sz w:val="17"/>
                <w:szCs w:val="17"/>
                <w:color w:val="auto"/>
                <w:w w:val="98"/>
              </w:rPr>
              <w:t>Income producing commercial real estate</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600,976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14,415</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19,881</w:t>
            </w: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835</w:t>
            </w: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636,107</w:t>
            </w:r>
          </w:p>
        </w:tc>
      </w:tr>
      <w:tr>
        <w:trPr>
          <w:trHeight w:val="205"/>
        </w:trPr>
        <w:tc>
          <w:tcPr>
            <w:tcW w:w="308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Commercial &amp; industrial</w:t>
            </w:r>
          </w:p>
        </w:tc>
        <w:tc>
          <w:tcPr>
            <w:tcW w:w="24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704,714</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3,234</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6,704</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1,629</w:t>
            </w: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716,281</w:t>
            </w:r>
          </w:p>
        </w:tc>
      </w:tr>
      <w:tr>
        <w:trPr>
          <w:trHeight w:val="205"/>
        </w:trPr>
        <w:tc>
          <w:tcPr>
            <w:tcW w:w="3080" w:type="dxa"/>
            <w:vAlign w:val="bottom"/>
            <w:gridSpan w:val="3"/>
          </w:tcPr>
          <w:p>
            <w:pPr>
              <w:spacing w:after="0"/>
              <w:rPr>
                <w:sz w:val="20"/>
                <w:szCs w:val="20"/>
                <w:color w:val="auto"/>
              </w:rPr>
            </w:pPr>
            <w:r>
              <w:rPr>
                <w:rFonts w:ascii="Arial" w:cs="Arial" w:eastAsia="Arial" w:hAnsi="Arial"/>
                <w:sz w:val="17"/>
                <w:szCs w:val="17"/>
                <w:color w:val="auto"/>
              </w:rPr>
              <w:t>Commercial construction</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223,810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2,522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3,528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229,920</w:t>
            </w:r>
          </w:p>
        </w:tc>
      </w:tr>
      <w:tr>
        <w:trPr>
          <w:trHeight w:val="26"/>
        </w:trPr>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3080" w:type="dxa"/>
            <w:vAlign w:val="bottom"/>
            <w:gridSpan w:val="3"/>
            <w:shd w:val="clear" w:color="auto" w:fill="F0FFFF"/>
          </w:tcPr>
          <w:p>
            <w:pPr>
              <w:ind w:left="160"/>
              <w:spacing w:after="0"/>
              <w:rPr>
                <w:sz w:val="20"/>
                <w:szCs w:val="20"/>
                <w:color w:val="auto"/>
              </w:rPr>
            </w:pPr>
            <w:r>
              <w:rPr>
                <w:rFonts w:ascii="Arial" w:cs="Arial" w:eastAsia="Arial" w:hAnsi="Arial"/>
                <w:sz w:val="17"/>
                <w:szCs w:val="17"/>
                <w:color w:val="auto"/>
              </w:rPr>
              <w:t>Total commercial</w:t>
            </w:r>
          </w:p>
        </w:tc>
        <w:tc>
          <w:tcPr>
            <w:tcW w:w="24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2,626,575</w:t>
            </w: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41,765</w:t>
            </w: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74,000</w:t>
            </w: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6,884</w:t>
            </w: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2,749,224</w:t>
            </w:r>
          </w:p>
        </w:tc>
        <w:tc>
          <w:tcPr>
            <w:tcW w:w="100" w:type="dxa"/>
            <w:vAlign w:val="bottom"/>
            <w:shd w:val="clear" w:color="auto" w:fill="F0FFFF"/>
          </w:tcPr>
          <w:p>
            <w:pPr>
              <w:spacing w:after="0"/>
              <w:rPr>
                <w:sz w:val="17"/>
                <w:szCs w:val="17"/>
                <w:color w:val="auto"/>
              </w:rPr>
            </w:pPr>
          </w:p>
        </w:tc>
      </w:tr>
      <w:tr>
        <w:trPr>
          <w:trHeight w:val="205"/>
        </w:trPr>
        <w:tc>
          <w:tcPr>
            <w:tcW w:w="3080" w:type="dxa"/>
            <w:vAlign w:val="bottom"/>
            <w:gridSpan w:val="3"/>
          </w:tcPr>
          <w:p>
            <w:pPr>
              <w:spacing w:after="0"/>
              <w:rPr>
                <w:sz w:val="20"/>
                <w:szCs w:val="20"/>
                <w:color w:val="auto"/>
              </w:rPr>
            </w:pPr>
            <w:r>
              <w:rPr>
                <w:rFonts w:ascii="Arial" w:cs="Arial" w:eastAsia="Arial" w:hAnsi="Arial"/>
                <w:sz w:val="17"/>
                <w:szCs w:val="17"/>
                <w:color w:val="auto"/>
              </w:rPr>
              <w:t>Residential mortgage</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813,075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11,185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30,382</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8,669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863,311</w:t>
            </w:r>
          </w:p>
        </w:tc>
      </w:tr>
      <w:tr>
        <w:trPr>
          <w:trHeight w:val="205"/>
        </w:trPr>
        <w:tc>
          <w:tcPr>
            <w:tcW w:w="308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Home equity lines of credit</w:t>
            </w:r>
          </w:p>
        </w:tc>
        <w:tc>
          <w:tcPr>
            <w:tcW w:w="24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458,577</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470</w:t>
            </w: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5,734</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693</w:t>
            </w:r>
          </w:p>
        </w:tc>
        <w:tc>
          <w:tcPr>
            <w:tcW w:w="14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465,474</w:t>
            </w:r>
          </w:p>
        </w:tc>
      </w:tr>
      <w:tr>
        <w:trPr>
          <w:trHeight w:val="205"/>
        </w:trPr>
        <w:tc>
          <w:tcPr>
            <w:tcW w:w="3080" w:type="dxa"/>
            <w:vAlign w:val="bottom"/>
            <w:gridSpan w:val="3"/>
          </w:tcPr>
          <w:p>
            <w:pPr>
              <w:spacing w:after="0"/>
              <w:rPr>
                <w:sz w:val="20"/>
                <w:szCs w:val="20"/>
                <w:color w:val="auto"/>
              </w:rPr>
            </w:pPr>
            <w:r>
              <w:rPr>
                <w:rFonts w:ascii="Arial" w:cs="Arial" w:eastAsia="Arial" w:hAnsi="Arial"/>
                <w:sz w:val="17"/>
                <w:szCs w:val="17"/>
                <w:color w:val="auto"/>
              </w:rPr>
              <w:t>Residential construction</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275,567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4,061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9,504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2,127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291,259</w:t>
            </w:r>
          </w:p>
        </w:tc>
      </w:tr>
      <w:tr>
        <w:trPr>
          <w:trHeight w:val="205"/>
        </w:trPr>
        <w:tc>
          <w:tcPr>
            <w:tcW w:w="308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Consumer installment</w:t>
            </w:r>
          </w:p>
        </w:tc>
        <w:tc>
          <w:tcPr>
            <w:tcW w:w="24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101,142</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1,301</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142</w:t>
            </w:r>
          </w:p>
        </w:tc>
        <w:tc>
          <w:tcPr>
            <w:tcW w:w="14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102,585</w:t>
            </w:r>
          </w:p>
        </w:tc>
      </w:tr>
      <w:tr>
        <w:trPr>
          <w:trHeight w:val="205"/>
        </w:trPr>
        <w:tc>
          <w:tcPr>
            <w:tcW w:w="3080" w:type="dxa"/>
            <w:vAlign w:val="bottom"/>
            <w:gridSpan w:val="3"/>
          </w:tcPr>
          <w:p>
            <w:pPr>
              <w:spacing w:after="0"/>
              <w:rPr>
                <w:sz w:val="20"/>
                <w:szCs w:val="20"/>
                <w:color w:val="auto"/>
              </w:rPr>
            </w:pPr>
            <w:r>
              <w:rPr>
                <w:rFonts w:ascii="Arial" w:cs="Arial" w:eastAsia="Arial" w:hAnsi="Arial"/>
                <w:sz w:val="17"/>
                <w:szCs w:val="17"/>
                <w:color w:val="auto"/>
              </w:rPr>
              <w:t>Indirect auto</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314,540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796</w:t>
            </w: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500</w:t>
            </w: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315,836</w:t>
            </w:r>
          </w:p>
        </w:tc>
      </w:tr>
      <w:tr>
        <w:trPr>
          <w:trHeight w:val="26"/>
        </w:trPr>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3080" w:type="dxa"/>
            <w:vAlign w:val="bottom"/>
            <w:gridSpan w:val="3"/>
            <w:shd w:val="clear" w:color="auto" w:fill="F0FFFF"/>
          </w:tcPr>
          <w:p>
            <w:pPr>
              <w:ind w:left="160"/>
              <w:spacing w:after="0"/>
              <w:rPr>
                <w:sz w:val="20"/>
                <w:szCs w:val="20"/>
                <w:color w:val="auto"/>
              </w:rPr>
            </w:pPr>
            <w:r>
              <w:rPr>
                <w:rFonts w:ascii="Arial" w:cs="Arial" w:eastAsia="Arial" w:hAnsi="Arial"/>
                <w:sz w:val="17"/>
                <w:szCs w:val="17"/>
                <w:color w:val="auto"/>
              </w:rPr>
              <w:t>Total loans</w:t>
            </w:r>
          </w:p>
        </w:tc>
        <w:tc>
          <w:tcPr>
            <w:tcW w:w="240" w:type="dxa"/>
            <w:vAlign w:val="bottom"/>
            <w:shd w:val="clear" w:color="auto" w:fill="F0FFFF"/>
          </w:tcPr>
          <w:p>
            <w:pPr>
              <w:spacing w:after="0"/>
              <w:rPr>
                <w:sz w:val="21"/>
                <w:szCs w:val="21"/>
                <w:color w:val="auto"/>
              </w:rPr>
            </w:pPr>
          </w:p>
        </w:tc>
        <w:tc>
          <w:tcPr>
            <w:tcW w:w="260" w:type="dxa"/>
            <w:vAlign w:val="bottom"/>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4,589,476</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20" w:type="dxa"/>
            <w:vAlign w:val="bottom"/>
            <w:shd w:val="clear" w:color="auto" w:fill="F0FFFF"/>
          </w:tcPr>
          <w:p>
            <w:pPr>
              <w:jc w:val="right"/>
              <w:ind w:right="35"/>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57,481</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121,717</w:t>
            </w:r>
          </w:p>
        </w:tc>
        <w:tc>
          <w:tcPr>
            <w:tcW w:w="240" w:type="dxa"/>
            <w:vAlign w:val="bottom"/>
            <w:shd w:val="clear" w:color="auto" w:fill="F0FFFF"/>
          </w:tcPr>
          <w:p>
            <w:pPr>
              <w:spacing w:after="0"/>
              <w:rPr>
                <w:sz w:val="21"/>
                <w:szCs w:val="21"/>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19,015</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4,787,689</w:t>
            </w:r>
          </w:p>
        </w:tc>
        <w:tc>
          <w:tcPr>
            <w:tcW w:w="100" w:type="dxa"/>
            <w:vAlign w:val="bottom"/>
            <w:shd w:val="clear" w:color="auto" w:fill="F0FFFF"/>
          </w:tcPr>
          <w:p>
            <w:pPr>
              <w:spacing w:after="0"/>
              <w:rPr>
                <w:sz w:val="21"/>
                <w:szCs w:val="21"/>
                <w:color w:val="auto"/>
              </w:rPr>
            </w:pPr>
          </w:p>
        </w:tc>
      </w:tr>
      <w:tr>
        <w:trPr>
          <w:trHeight w:val="158"/>
        </w:trPr>
        <w:tc>
          <w:tcPr>
            <w:tcW w:w="3080" w:type="dxa"/>
            <w:vAlign w:val="bottom"/>
            <w:tcBorders>
              <w:top w:val="single" w:sz="8" w:color="F0FFFF"/>
            </w:tcBorders>
            <w:gridSpan w:val="3"/>
          </w:tcPr>
          <w:p>
            <w:pPr>
              <w:spacing w:after="0" w:line="158" w:lineRule="exact"/>
              <w:rPr>
                <w:sz w:val="20"/>
                <w:szCs w:val="20"/>
                <w:color w:val="auto"/>
              </w:rPr>
            </w:pPr>
            <w:r>
              <w:rPr>
                <w:rFonts w:ascii="Arial" w:cs="Arial" w:eastAsia="Arial" w:hAnsi="Arial"/>
                <w:sz w:val="17"/>
                <w:szCs w:val="17"/>
                <w:b w:val="1"/>
                <w:bCs w:val="1"/>
                <w:color w:val="auto"/>
              </w:rPr>
              <w:t>As of December 31, 2014</w:t>
            </w:r>
          </w:p>
        </w:tc>
        <w:tc>
          <w:tcPr>
            <w:tcW w:w="240" w:type="dxa"/>
            <w:vAlign w:val="bottom"/>
            <w:tcBorders>
              <w:top w:val="single" w:sz="8" w:color="F0FF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Borders>
              <w:top w:val="single" w:sz="8" w:color="F0FFFF"/>
            </w:tcBorders>
          </w:tcPr>
          <w:p>
            <w:pPr>
              <w:spacing w:after="0"/>
              <w:rPr>
                <w:sz w:val="13"/>
                <w:szCs w:val="13"/>
                <w:color w:val="auto"/>
              </w:rPr>
            </w:pPr>
          </w:p>
        </w:tc>
        <w:tc>
          <w:tcPr>
            <w:tcW w:w="100" w:type="dxa"/>
            <w:vAlign w:val="bottom"/>
            <w:tcBorders>
              <w:top w:val="single" w:sz="8" w:color="F0FF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F0FF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40" w:type="dxa"/>
            <w:vAlign w:val="bottom"/>
            <w:tcBorders>
              <w:top w:val="single" w:sz="8" w:color="F0FF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20" w:type="dxa"/>
            <w:vAlign w:val="bottom"/>
            <w:tcBorders>
              <w:top w:val="single" w:sz="8" w:color="F0FF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Borders>
              <w:top w:val="single" w:sz="8" w:color="F0FFFF"/>
            </w:tcBorders>
          </w:tcPr>
          <w:p>
            <w:pPr>
              <w:spacing w:after="0"/>
              <w:rPr>
                <w:sz w:val="13"/>
                <w:szCs w:val="13"/>
                <w:color w:val="auto"/>
              </w:rPr>
            </w:pPr>
          </w:p>
        </w:tc>
        <w:tc>
          <w:tcPr>
            <w:tcW w:w="100" w:type="dxa"/>
            <w:vAlign w:val="bottom"/>
            <w:tcBorders>
              <w:top w:val="single" w:sz="8" w:color="F0FF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F0FFFF"/>
            </w:tcBorders>
          </w:tcPr>
          <w:p>
            <w:pPr>
              <w:spacing w:after="0"/>
              <w:rPr>
                <w:sz w:val="13"/>
                <w:szCs w:val="13"/>
                <w:color w:val="auto"/>
              </w:rPr>
            </w:pPr>
          </w:p>
        </w:tc>
      </w:tr>
      <w:tr>
        <w:trPr>
          <w:trHeight w:val="29"/>
        </w:trPr>
        <w:tc>
          <w:tcPr>
            <w:tcW w:w="15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4"/>
        </w:trPr>
        <w:tc>
          <w:tcPr>
            <w:tcW w:w="308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Owner occupied commercial real estate</w:t>
            </w:r>
          </w:p>
        </w:tc>
        <w:tc>
          <w:tcPr>
            <w:tcW w:w="500" w:type="dxa"/>
            <w:vAlign w:val="bottom"/>
            <w:gridSpan w:val="2"/>
            <w:shd w:val="clear" w:color="auto" w:fill="F0FFFF"/>
          </w:tcPr>
          <w:p>
            <w:pPr>
              <w:jc w:val="right"/>
              <w:ind w:right="105"/>
              <w:spacing w:after="0"/>
              <w:rPr>
                <w:sz w:val="20"/>
                <w:szCs w:val="20"/>
                <w:color w:val="auto"/>
              </w:rPr>
            </w:pPr>
            <w:r>
              <w:rPr>
                <w:rFonts w:ascii="Arial" w:cs="Arial" w:eastAsia="Arial" w:hAnsi="Arial"/>
                <w:sz w:val="17"/>
                <w:szCs w:val="17"/>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1,094,057</w:t>
            </w:r>
          </w:p>
        </w:tc>
        <w:tc>
          <w:tcPr>
            <w:tcW w:w="120" w:type="dxa"/>
            <w:vAlign w:val="bottom"/>
            <w:shd w:val="clear" w:color="auto" w:fill="F0FFFF"/>
          </w:tcPr>
          <w:p>
            <w:pPr>
              <w:spacing w:after="0"/>
              <w:rPr>
                <w:sz w:val="18"/>
                <w:szCs w:val="18"/>
                <w:color w:val="auto"/>
              </w:rPr>
            </w:pPr>
          </w:p>
        </w:tc>
        <w:tc>
          <w:tcPr>
            <w:tcW w:w="320" w:type="dxa"/>
            <w:vAlign w:val="bottom"/>
            <w:gridSpan w:val="2"/>
            <w:shd w:val="clear" w:color="auto" w:fill="F0FFFF"/>
          </w:tcPr>
          <w:p>
            <w:pPr>
              <w:jc w:val="right"/>
              <w:ind w:right="35"/>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18,889</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46,401</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4,133</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1,163,480</w:t>
            </w:r>
          </w:p>
        </w:tc>
        <w:tc>
          <w:tcPr>
            <w:tcW w:w="100" w:type="dxa"/>
            <w:vAlign w:val="bottom"/>
            <w:shd w:val="clear" w:color="auto" w:fill="F0FFFF"/>
          </w:tcPr>
          <w:p>
            <w:pPr>
              <w:spacing w:after="0"/>
              <w:rPr>
                <w:sz w:val="18"/>
                <w:szCs w:val="18"/>
                <w:color w:val="auto"/>
              </w:rPr>
            </w:pPr>
          </w:p>
        </w:tc>
      </w:tr>
      <w:tr>
        <w:trPr>
          <w:trHeight w:val="205"/>
        </w:trPr>
        <w:tc>
          <w:tcPr>
            <w:tcW w:w="3080" w:type="dxa"/>
            <w:vAlign w:val="bottom"/>
            <w:gridSpan w:val="3"/>
          </w:tcPr>
          <w:p>
            <w:pPr>
              <w:spacing w:after="0"/>
              <w:rPr>
                <w:sz w:val="20"/>
                <w:szCs w:val="20"/>
                <w:color w:val="auto"/>
              </w:rPr>
            </w:pPr>
            <w:r>
              <w:rPr>
                <w:rFonts w:ascii="Arial" w:cs="Arial" w:eastAsia="Arial" w:hAnsi="Arial"/>
                <w:sz w:val="17"/>
                <w:szCs w:val="17"/>
                <w:color w:val="auto"/>
                <w:w w:val="98"/>
              </w:rPr>
              <w:t>Income producing commercial real estate</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560,559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16,701</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20,560</w:t>
            </w: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717</w:t>
            </w: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598,537</w:t>
            </w:r>
          </w:p>
        </w:tc>
      </w:tr>
      <w:tr>
        <w:trPr>
          <w:trHeight w:val="205"/>
        </w:trPr>
        <w:tc>
          <w:tcPr>
            <w:tcW w:w="308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Commercial &amp; industrial</w:t>
            </w:r>
          </w:p>
        </w:tc>
        <w:tc>
          <w:tcPr>
            <w:tcW w:w="24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696,805</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4,017</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7,863</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1,571</w:t>
            </w: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710,256</w:t>
            </w:r>
          </w:p>
        </w:tc>
      </w:tr>
      <w:tr>
        <w:trPr>
          <w:trHeight w:val="205"/>
        </w:trPr>
        <w:tc>
          <w:tcPr>
            <w:tcW w:w="3080" w:type="dxa"/>
            <w:vAlign w:val="bottom"/>
            <w:gridSpan w:val="3"/>
          </w:tcPr>
          <w:p>
            <w:pPr>
              <w:spacing w:after="0"/>
              <w:rPr>
                <w:sz w:val="20"/>
                <w:szCs w:val="20"/>
                <w:color w:val="auto"/>
              </w:rPr>
            </w:pPr>
            <w:r>
              <w:rPr>
                <w:rFonts w:ascii="Arial" w:cs="Arial" w:eastAsia="Arial" w:hAnsi="Arial"/>
                <w:sz w:val="17"/>
                <w:szCs w:val="17"/>
                <w:color w:val="auto"/>
              </w:rPr>
              <w:t>Commercial construction</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190,070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2,311</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3,566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196,030</w:t>
            </w:r>
          </w:p>
        </w:tc>
      </w:tr>
      <w:tr>
        <w:trPr>
          <w:trHeight w:val="26"/>
        </w:trPr>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3080" w:type="dxa"/>
            <w:vAlign w:val="bottom"/>
            <w:gridSpan w:val="3"/>
            <w:shd w:val="clear" w:color="auto" w:fill="F0FFFF"/>
          </w:tcPr>
          <w:p>
            <w:pPr>
              <w:ind w:left="160"/>
              <w:spacing w:after="0"/>
              <w:rPr>
                <w:sz w:val="20"/>
                <w:szCs w:val="20"/>
                <w:color w:val="auto"/>
              </w:rPr>
            </w:pPr>
            <w:r>
              <w:rPr>
                <w:rFonts w:ascii="Arial" w:cs="Arial" w:eastAsia="Arial" w:hAnsi="Arial"/>
                <w:sz w:val="17"/>
                <w:szCs w:val="17"/>
                <w:color w:val="auto"/>
              </w:rPr>
              <w:t>Total commercial</w:t>
            </w:r>
          </w:p>
        </w:tc>
        <w:tc>
          <w:tcPr>
            <w:tcW w:w="24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2,541,491</w:t>
            </w: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41,918</w:t>
            </w: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78,390</w:t>
            </w: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6,504</w:t>
            </w: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2,668,303</w:t>
            </w:r>
          </w:p>
        </w:tc>
        <w:tc>
          <w:tcPr>
            <w:tcW w:w="100" w:type="dxa"/>
            <w:vAlign w:val="bottom"/>
            <w:shd w:val="clear" w:color="auto" w:fill="F0FFFF"/>
          </w:tcPr>
          <w:p>
            <w:pPr>
              <w:spacing w:after="0"/>
              <w:rPr>
                <w:sz w:val="17"/>
                <w:szCs w:val="17"/>
                <w:color w:val="auto"/>
              </w:rPr>
            </w:pPr>
          </w:p>
        </w:tc>
      </w:tr>
      <w:tr>
        <w:trPr>
          <w:trHeight w:val="205"/>
        </w:trPr>
        <w:tc>
          <w:tcPr>
            <w:tcW w:w="3080" w:type="dxa"/>
            <w:vAlign w:val="bottom"/>
            <w:gridSpan w:val="3"/>
          </w:tcPr>
          <w:p>
            <w:pPr>
              <w:spacing w:after="0"/>
              <w:rPr>
                <w:sz w:val="20"/>
                <w:szCs w:val="20"/>
                <w:color w:val="auto"/>
              </w:rPr>
            </w:pPr>
            <w:r>
              <w:rPr>
                <w:rFonts w:ascii="Arial" w:cs="Arial" w:eastAsia="Arial" w:hAnsi="Arial"/>
                <w:sz w:val="17"/>
                <w:szCs w:val="17"/>
                <w:color w:val="auto"/>
              </w:rPr>
              <w:t>Residential mortgage</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814,168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11,594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31,831</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8,196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865,789</w:t>
            </w:r>
          </w:p>
        </w:tc>
      </w:tr>
      <w:tr>
        <w:trPr>
          <w:trHeight w:val="205"/>
        </w:trPr>
        <w:tc>
          <w:tcPr>
            <w:tcW w:w="308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Home equity lines of credit</w:t>
            </w:r>
          </w:p>
        </w:tc>
        <w:tc>
          <w:tcPr>
            <w:tcW w:w="24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459,881</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5,296</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695</w:t>
            </w: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465,872</w:t>
            </w:r>
          </w:p>
        </w:tc>
      </w:tr>
      <w:tr>
        <w:trPr>
          <w:trHeight w:val="205"/>
        </w:trPr>
        <w:tc>
          <w:tcPr>
            <w:tcW w:w="3080" w:type="dxa"/>
            <w:vAlign w:val="bottom"/>
            <w:gridSpan w:val="3"/>
          </w:tcPr>
          <w:p>
            <w:pPr>
              <w:spacing w:after="0"/>
              <w:rPr>
                <w:sz w:val="20"/>
                <w:szCs w:val="20"/>
                <w:color w:val="auto"/>
              </w:rPr>
            </w:pPr>
            <w:r>
              <w:rPr>
                <w:rFonts w:ascii="Arial" w:cs="Arial" w:eastAsia="Arial" w:hAnsi="Arial"/>
                <w:sz w:val="17"/>
                <w:szCs w:val="17"/>
                <w:color w:val="auto"/>
              </w:rPr>
              <w:t>Residential construction</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280,166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5,535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10,920</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2,006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298,627</w:t>
            </w:r>
          </w:p>
        </w:tc>
      </w:tr>
      <w:tr>
        <w:trPr>
          <w:trHeight w:val="205"/>
        </w:trPr>
        <w:tc>
          <w:tcPr>
            <w:tcW w:w="308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Consumer installment</w:t>
            </w:r>
          </w:p>
        </w:tc>
        <w:tc>
          <w:tcPr>
            <w:tcW w:w="24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103,383</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1,382</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134</w:t>
            </w:r>
          </w:p>
        </w:tc>
        <w:tc>
          <w:tcPr>
            <w:tcW w:w="14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104,899</w:t>
            </w:r>
          </w:p>
        </w:tc>
      </w:tr>
      <w:tr>
        <w:trPr>
          <w:trHeight w:val="205"/>
        </w:trPr>
        <w:tc>
          <w:tcPr>
            <w:tcW w:w="3080" w:type="dxa"/>
            <w:vAlign w:val="bottom"/>
            <w:gridSpan w:val="3"/>
          </w:tcPr>
          <w:p>
            <w:pPr>
              <w:spacing w:after="0"/>
              <w:rPr>
                <w:sz w:val="20"/>
                <w:szCs w:val="20"/>
                <w:color w:val="auto"/>
              </w:rPr>
            </w:pPr>
            <w:r>
              <w:rPr>
                <w:rFonts w:ascii="Arial" w:cs="Arial" w:eastAsia="Arial" w:hAnsi="Arial"/>
                <w:sz w:val="17"/>
                <w:szCs w:val="17"/>
                <w:color w:val="auto"/>
              </w:rPr>
              <w:t>Indirect auto</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267,709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574</w:t>
            </w: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346</w:t>
            </w: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268,629</w:t>
            </w:r>
          </w:p>
        </w:tc>
      </w:tr>
      <w:tr>
        <w:trPr>
          <w:trHeight w:val="26"/>
        </w:trPr>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3080" w:type="dxa"/>
            <w:vAlign w:val="bottom"/>
            <w:gridSpan w:val="3"/>
            <w:shd w:val="clear" w:color="auto" w:fill="F0FFFF"/>
          </w:tcPr>
          <w:p>
            <w:pPr>
              <w:ind w:left="160"/>
              <w:spacing w:after="0"/>
              <w:rPr>
                <w:sz w:val="20"/>
                <w:szCs w:val="20"/>
                <w:color w:val="auto"/>
              </w:rPr>
            </w:pPr>
            <w:r>
              <w:rPr>
                <w:rFonts w:ascii="Arial" w:cs="Arial" w:eastAsia="Arial" w:hAnsi="Arial"/>
                <w:sz w:val="17"/>
                <w:szCs w:val="17"/>
                <w:color w:val="auto"/>
              </w:rPr>
              <w:t>Total loans</w:t>
            </w:r>
          </w:p>
        </w:tc>
        <w:tc>
          <w:tcPr>
            <w:tcW w:w="240" w:type="dxa"/>
            <w:vAlign w:val="bottom"/>
            <w:shd w:val="clear" w:color="auto" w:fill="F0FFFF"/>
          </w:tcPr>
          <w:p>
            <w:pPr>
              <w:spacing w:after="0"/>
              <w:rPr>
                <w:sz w:val="21"/>
                <w:szCs w:val="21"/>
                <w:color w:val="auto"/>
              </w:rPr>
            </w:pPr>
          </w:p>
        </w:tc>
        <w:tc>
          <w:tcPr>
            <w:tcW w:w="260" w:type="dxa"/>
            <w:vAlign w:val="bottom"/>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4,466,798</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20" w:type="dxa"/>
            <w:vAlign w:val="bottom"/>
            <w:shd w:val="clear" w:color="auto" w:fill="F0FFFF"/>
          </w:tcPr>
          <w:p>
            <w:pPr>
              <w:jc w:val="right"/>
              <w:ind w:right="35"/>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59,047</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128,393</w:t>
            </w:r>
          </w:p>
        </w:tc>
        <w:tc>
          <w:tcPr>
            <w:tcW w:w="240" w:type="dxa"/>
            <w:vAlign w:val="bottom"/>
            <w:shd w:val="clear" w:color="auto" w:fill="F0FFFF"/>
          </w:tcPr>
          <w:p>
            <w:pPr>
              <w:spacing w:after="0"/>
              <w:rPr>
                <w:sz w:val="21"/>
                <w:szCs w:val="21"/>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17,881</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4,672,119</w:t>
            </w:r>
          </w:p>
        </w:tc>
      </w:tr>
      <w:tr>
        <w:trPr>
          <w:trHeight w:val="167"/>
        </w:trPr>
        <w:tc>
          <w:tcPr>
            <w:tcW w:w="1560" w:type="dxa"/>
            <w:vAlign w:val="bottom"/>
            <w:tcBorders>
              <w:top w:val="single" w:sz="8" w:color="F0FFFF"/>
              <w:bottom w:val="single" w:sz="8" w:color="auto"/>
            </w:tcBorders>
          </w:tcPr>
          <w:p>
            <w:pPr>
              <w:spacing w:after="0" w:line="158" w:lineRule="exact"/>
              <w:rPr>
                <w:sz w:val="20"/>
                <w:szCs w:val="20"/>
                <w:color w:val="auto"/>
              </w:rPr>
            </w:pPr>
            <w:r>
              <w:rPr>
                <w:rFonts w:ascii="Arial" w:cs="Arial" w:eastAsia="Arial" w:hAnsi="Arial"/>
                <w:sz w:val="17"/>
                <w:szCs w:val="17"/>
                <w:b w:val="1"/>
                <w:bCs w:val="1"/>
                <w:color w:val="auto"/>
                <w:w w:val="91"/>
              </w:rPr>
              <w:t>As of March 31, 2014</w:t>
            </w:r>
          </w:p>
        </w:tc>
        <w:tc>
          <w:tcPr>
            <w:tcW w:w="1520" w:type="dxa"/>
            <w:vAlign w:val="bottom"/>
            <w:tcBorders>
              <w:top w:val="single" w:sz="8" w:color="F0FFFF"/>
            </w:tcBorders>
            <w:gridSpan w:val="2"/>
          </w:tcPr>
          <w:p>
            <w:pPr>
              <w:spacing w:after="0"/>
              <w:rPr>
                <w:sz w:val="14"/>
                <w:szCs w:val="14"/>
                <w:color w:val="auto"/>
              </w:rPr>
            </w:pPr>
          </w:p>
        </w:tc>
        <w:tc>
          <w:tcPr>
            <w:tcW w:w="240" w:type="dxa"/>
            <w:vAlign w:val="bottom"/>
            <w:tcBorders>
              <w:top w:val="single" w:sz="8" w:color="F0FF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Borders>
              <w:top w:val="single" w:sz="8" w:color="F0FF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40" w:type="dxa"/>
            <w:vAlign w:val="bottom"/>
            <w:tcBorders>
              <w:top w:val="single" w:sz="8" w:color="F0FF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r>
      <w:tr>
        <w:trPr>
          <w:trHeight w:val="214"/>
        </w:trPr>
        <w:tc>
          <w:tcPr>
            <w:tcW w:w="308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Owner occupied commercial real estate</w:t>
            </w:r>
          </w:p>
        </w:tc>
        <w:tc>
          <w:tcPr>
            <w:tcW w:w="500" w:type="dxa"/>
            <w:vAlign w:val="bottom"/>
            <w:gridSpan w:val="2"/>
            <w:shd w:val="clear" w:color="auto" w:fill="F0FFFF"/>
          </w:tcPr>
          <w:p>
            <w:pPr>
              <w:jc w:val="right"/>
              <w:ind w:right="105"/>
              <w:spacing w:after="0"/>
              <w:rPr>
                <w:sz w:val="20"/>
                <w:szCs w:val="20"/>
                <w:color w:val="auto"/>
              </w:rPr>
            </w:pPr>
            <w:r>
              <w:rPr>
                <w:rFonts w:ascii="Arial" w:cs="Arial" w:eastAsia="Arial" w:hAnsi="Arial"/>
                <w:sz w:val="17"/>
                <w:szCs w:val="17"/>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1,059,528</w:t>
            </w:r>
          </w:p>
        </w:tc>
        <w:tc>
          <w:tcPr>
            <w:tcW w:w="120" w:type="dxa"/>
            <w:vAlign w:val="bottom"/>
            <w:shd w:val="clear" w:color="auto" w:fill="F0FFFF"/>
          </w:tcPr>
          <w:p>
            <w:pPr>
              <w:spacing w:after="0"/>
              <w:rPr>
                <w:sz w:val="18"/>
                <w:szCs w:val="18"/>
                <w:color w:val="auto"/>
              </w:rPr>
            </w:pPr>
          </w:p>
        </w:tc>
        <w:tc>
          <w:tcPr>
            <w:tcW w:w="320" w:type="dxa"/>
            <w:vAlign w:val="bottom"/>
            <w:gridSpan w:val="2"/>
            <w:shd w:val="clear" w:color="auto" w:fill="F0FFFF"/>
          </w:tcPr>
          <w:p>
            <w:pPr>
              <w:jc w:val="right"/>
              <w:ind w:right="35"/>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30,869</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47,525</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3,868</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1,141,791</w:t>
            </w:r>
          </w:p>
        </w:tc>
        <w:tc>
          <w:tcPr>
            <w:tcW w:w="100" w:type="dxa"/>
            <w:vAlign w:val="bottom"/>
            <w:shd w:val="clear" w:color="auto" w:fill="F0FFFF"/>
          </w:tcPr>
          <w:p>
            <w:pPr>
              <w:spacing w:after="0"/>
              <w:rPr>
                <w:sz w:val="18"/>
                <w:szCs w:val="18"/>
                <w:color w:val="auto"/>
              </w:rPr>
            </w:pPr>
          </w:p>
        </w:tc>
      </w:tr>
      <w:tr>
        <w:trPr>
          <w:trHeight w:val="205"/>
        </w:trPr>
        <w:tc>
          <w:tcPr>
            <w:tcW w:w="3080" w:type="dxa"/>
            <w:vAlign w:val="bottom"/>
            <w:gridSpan w:val="3"/>
          </w:tcPr>
          <w:p>
            <w:pPr>
              <w:spacing w:after="0"/>
              <w:rPr>
                <w:sz w:val="20"/>
                <w:szCs w:val="20"/>
                <w:color w:val="auto"/>
              </w:rPr>
            </w:pPr>
            <w:r>
              <w:rPr>
                <w:rFonts w:ascii="Arial" w:cs="Arial" w:eastAsia="Arial" w:hAnsi="Arial"/>
                <w:sz w:val="17"/>
                <w:szCs w:val="17"/>
                <w:color w:val="auto"/>
                <w:w w:val="98"/>
              </w:rPr>
              <w:t>Income producing commercial real estate</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577,771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7,982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36,800</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1,278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623,830</w:t>
            </w:r>
          </w:p>
        </w:tc>
      </w:tr>
      <w:tr>
        <w:trPr>
          <w:trHeight w:val="205"/>
        </w:trPr>
        <w:tc>
          <w:tcPr>
            <w:tcW w:w="308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Commercial &amp; industrial</w:t>
            </w:r>
          </w:p>
        </w:tc>
        <w:tc>
          <w:tcPr>
            <w:tcW w:w="24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481,310</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4,905</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8,141</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822</w:t>
            </w:r>
          </w:p>
        </w:tc>
        <w:tc>
          <w:tcPr>
            <w:tcW w:w="14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495,178</w:t>
            </w:r>
          </w:p>
        </w:tc>
      </w:tr>
      <w:tr>
        <w:trPr>
          <w:trHeight w:val="205"/>
        </w:trPr>
        <w:tc>
          <w:tcPr>
            <w:tcW w:w="3080" w:type="dxa"/>
            <w:vAlign w:val="bottom"/>
            <w:gridSpan w:val="3"/>
          </w:tcPr>
          <w:p>
            <w:pPr>
              <w:spacing w:after="0"/>
              <w:rPr>
                <w:sz w:val="20"/>
                <w:szCs w:val="20"/>
                <w:color w:val="auto"/>
              </w:rPr>
            </w:pPr>
            <w:r>
              <w:rPr>
                <w:rFonts w:ascii="Arial" w:cs="Arial" w:eastAsia="Arial" w:hAnsi="Arial"/>
                <w:sz w:val="17"/>
                <w:szCs w:val="17"/>
                <w:color w:val="auto"/>
              </w:rPr>
              <w:t>Commercial construction</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138,560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4,134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5,281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479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148,454</w:t>
            </w:r>
          </w:p>
        </w:tc>
      </w:tr>
      <w:tr>
        <w:trPr>
          <w:trHeight w:val="26"/>
        </w:trPr>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3080" w:type="dxa"/>
            <w:vAlign w:val="bottom"/>
            <w:gridSpan w:val="3"/>
            <w:shd w:val="clear" w:color="auto" w:fill="F0FFFF"/>
          </w:tcPr>
          <w:p>
            <w:pPr>
              <w:ind w:left="160"/>
              <w:spacing w:after="0"/>
              <w:rPr>
                <w:sz w:val="20"/>
                <w:szCs w:val="20"/>
                <w:color w:val="auto"/>
              </w:rPr>
            </w:pPr>
            <w:r>
              <w:rPr>
                <w:rFonts w:ascii="Arial" w:cs="Arial" w:eastAsia="Arial" w:hAnsi="Arial"/>
                <w:sz w:val="17"/>
                <w:szCs w:val="17"/>
                <w:color w:val="auto"/>
              </w:rPr>
              <w:t>Total commercial</w:t>
            </w:r>
          </w:p>
        </w:tc>
        <w:tc>
          <w:tcPr>
            <w:tcW w:w="24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2,257,169</w:t>
            </w: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47,890</w:t>
            </w: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97,747</w:t>
            </w: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6,447</w:t>
            </w: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2,409,253</w:t>
            </w:r>
          </w:p>
        </w:tc>
        <w:tc>
          <w:tcPr>
            <w:tcW w:w="100" w:type="dxa"/>
            <w:vAlign w:val="bottom"/>
            <w:shd w:val="clear" w:color="auto" w:fill="F0FFFF"/>
          </w:tcPr>
          <w:p>
            <w:pPr>
              <w:spacing w:after="0"/>
              <w:rPr>
                <w:sz w:val="17"/>
                <w:szCs w:val="17"/>
                <w:color w:val="auto"/>
              </w:rPr>
            </w:pPr>
          </w:p>
        </w:tc>
      </w:tr>
      <w:tr>
        <w:trPr>
          <w:trHeight w:val="205"/>
        </w:trPr>
        <w:tc>
          <w:tcPr>
            <w:tcW w:w="3080" w:type="dxa"/>
            <w:vAlign w:val="bottom"/>
            <w:gridSpan w:val="3"/>
          </w:tcPr>
          <w:p>
            <w:pPr>
              <w:spacing w:after="0"/>
              <w:rPr>
                <w:sz w:val="20"/>
                <w:szCs w:val="20"/>
                <w:color w:val="auto"/>
              </w:rPr>
            </w:pPr>
            <w:r>
              <w:rPr>
                <w:rFonts w:ascii="Arial" w:cs="Arial" w:eastAsia="Arial" w:hAnsi="Arial"/>
                <w:sz w:val="17"/>
                <w:szCs w:val="17"/>
                <w:color w:val="auto"/>
              </w:rPr>
              <w:t>Residential mortgage</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799,145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10,591</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43,572</w:t>
            </w: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13,307</w:t>
            </w: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866,615</w:t>
            </w:r>
          </w:p>
        </w:tc>
      </w:tr>
      <w:tr>
        <w:trPr>
          <w:trHeight w:val="205"/>
        </w:trPr>
        <w:tc>
          <w:tcPr>
            <w:tcW w:w="308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Home equity lines of credit</w:t>
            </w:r>
          </w:p>
        </w:tc>
        <w:tc>
          <w:tcPr>
            <w:tcW w:w="24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437,908</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29</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7,662</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1,106</w:t>
            </w: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446,705</w:t>
            </w:r>
          </w:p>
        </w:tc>
      </w:tr>
      <w:tr>
        <w:trPr>
          <w:trHeight w:val="205"/>
        </w:trPr>
        <w:tc>
          <w:tcPr>
            <w:tcW w:w="3080" w:type="dxa"/>
            <w:vAlign w:val="bottom"/>
            <w:gridSpan w:val="3"/>
          </w:tcPr>
          <w:p>
            <w:pPr>
              <w:spacing w:after="0"/>
              <w:rPr>
                <w:sz w:val="20"/>
                <w:szCs w:val="20"/>
                <w:color w:val="auto"/>
              </w:rPr>
            </w:pPr>
            <w:r>
              <w:rPr>
                <w:rFonts w:ascii="Arial" w:cs="Arial" w:eastAsia="Arial" w:hAnsi="Arial"/>
                <w:sz w:val="17"/>
                <w:szCs w:val="17"/>
                <w:color w:val="auto"/>
              </w:rPr>
              <w:t>Residential construction</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292,032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8,935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12,977</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3,805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317,749</w:t>
            </w:r>
          </w:p>
        </w:tc>
      </w:tr>
      <w:tr>
        <w:trPr>
          <w:trHeight w:val="205"/>
        </w:trPr>
        <w:tc>
          <w:tcPr>
            <w:tcW w:w="308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Consumer installment</w:t>
            </w:r>
          </w:p>
        </w:tc>
        <w:tc>
          <w:tcPr>
            <w:tcW w:w="24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104,379</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11</w:t>
            </w: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2,310</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291</w:t>
            </w:r>
          </w:p>
        </w:tc>
        <w:tc>
          <w:tcPr>
            <w:tcW w:w="14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106,991</w:t>
            </w:r>
          </w:p>
        </w:tc>
      </w:tr>
      <w:tr>
        <w:trPr>
          <w:trHeight w:val="205"/>
        </w:trPr>
        <w:tc>
          <w:tcPr>
            <w:tcW w:w="3080" w:type="dxa"/>
            <w:vAlign w:val="bottom"/>
            <w:gridSpan w:val="3"/>
          </w:tcPr>
          <w:p>
            <w:pPr>
              <w:spacing w:after="0"/>
              <w:rPr>
                <w:sz w:val="20"/>
                <w:szCs w:val="20"/>
                <w:color w:val="auto"/>
              </w:rPr>
            </w:pPr>
            <w:r>
              <w:rPr>
                <w:rFonts w:ascii="Arial" w:cs="Arial" w:eastAsia="Arial" w:hAnsi="Arial"/>
                <w:sz w:val="17"/>
                <w:szCs w:val="17"/>
                <w:color w:val="auto"/>
              </w:rPr>
              <w:t>Indirect auto</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207,504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597</w:t>
            </w: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294</w:t>
            </w: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208,395</w:t>
            </w:r>
          </w:p>
        </w:tc>
      </w:tr>
      <w:tr>
        <w:trPr>
          <w:trHeight w:val="26"/>
        </w:trPr>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3080" w:type="dxa"/>
            <w:vAlign w:val="bottom"/>
            <w:gridSpan w:val="3"/>
            <w:shd w:val="clear" w:color="auto" w:fill="F0FFFF"/>
          </w:tcPr>
          <w:p>
            <w:pPr>
              <w:ind w:left="160"/>
              <w:spacing w:after="0"/>
              <w:rPr>
                <w:sz w:val="20"/>
                <w:szCs w:val="20"/>
                <w:color w:val="auto"/>
              </w:rPr>
            </w:pPr>
            <w:r>
              <w:rPr>
                <w:rFonts w:ascii="Arial" w:cs="Arial" w:eastAsia="Arial" w:hAnsi="Arial"/>
                <w:sz w:val="17"/>
                <w:szCs w:val="17"/>
                <w:color w:val="auto"/>
              </w:rPr>
              <w:t>Total loans</w:t>
            </w:r>
          </w:p>
        </w:tc>
        <w:tc>
          <w:tcPr>
            <w:tcW w:w="240" w:type="dxa"/>
            <w:vAlign w:val="bottom"/>
            <w:shd w:val="clear" w:color="auto" w:fill="F0FFFF"/>
          </w:tcPr>
          <w:p>
            <w:pPr>
              <w:spacing w:after="0"/>
              <w:rPr>
                <w:sz w:val="19"/>
                <w:szCs w:val="19"/>
                <w:color w:val="auto"/>
              </w:rPr>
            </w:pPr>
          </w:p>
        </w:tc>
        <w:tc>
          <w:tcPr>
            <w:tcW w:w="260" w:type="dxa"/>
            <w:vAlign w:val="bottom"/>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4,098,137</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220" w:type="dxa"/>
            <w:vAlign w:val="bottom"/>
            <w:shd w:val="clear" w:color="auto" w:fill="F0FFFF"/>
          </w:tcPr>
          <w:p>
            <w:pPr>
              <w:jc w:val="right"/>
              <w:ind w:right="35"/>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67,456</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164,865</w:t>
            </w:r>
          </w:p>
        </w:tc>
        <w:tc>
          <w:tcPr>
            <w:tcW w:w="240" w:type="dxa"/>
            <w:vAlign w:val="bottom"/>
            <w:shd w:val="clear" w:color="auto" w:fill="F0FFFF"/>
          </w:tcPr>
          <w:p>
            <w:pPr>
              <w:spacing w:after="0"/>
              <w:rPr>
                <w:sz w:val="19"/>
                <w:szCs w:val="19"/>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25,250</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4,355,708</w:t>
            </w:r>
          </w:p>
        </w:tc>
        <w:tc>
          <w:tcPr>
            <w:tcW w:w="100" w:type="dxa"/>
            <w:vAlign w:val="bottom"/>
            <w:shd w:val="clear" w:color="auto" w:fill="F0FFFF"/>
          </w:tcPr>
          <w:p>
            <w:pPr>
              <w:spacing w:after="0"/>
              <w:rPr>
                <w:sz w:val="19"/>
                <w:szCs w:val="19"/>
                <w:color w:val="auto"/>
              </w:rPr>
            </w:pPr>
          </w:p>
        </w:tc>
      </w:tr>
      <w:tr>
        <w:trPr>
          <w:trHeight w:val="20"/>
        </w:trPr>
        <w:tc>
          <w:tcPr>
            <w:tcW w:w="156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28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 Ratings</w:t>
      </w:r>
    </w:p>
    <w:p>
      <w:pPr>
        <w:spacing w:after="0" w:line="24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United categorizes commercial loans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Watch. </w:t>
      </w:r>
      <w:r>
        <w:rPr>
          <w:rFonts w:ascii="Arial" w:cs="Arial" w:eastAsia="Arial" w:hAnsi="Arial"/>
          <w:sz w:val="17"/>
          <w:szCs w:val="17"/>
          <w:color w:val="auto"/>
        </w:rPr>
        <w:t>Loans in this category are presently protected from apparent loss; however, weaknesses exist that could cause future impairment, including the deterioration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financial ratios, past due status and questionable management capabilities. These loans require more than the ordinary amount of supervision. Collateral values generally afford adequate coverage, but may not be immediately marketable.</w:t>
      </w:r>
    </w:p>
    <w:p>
      <w:pPr>
        <w:spacing w:after="0" w:line="19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b w:val="1"/>
          <w:bCs w:val="1"/>
          <w:color w:val="auto"/>
        </w:rPr>
        <w:t xml:space="preserve">Substandard. </w:t>
      </w:r>
      <w:r>
        <w:rPr>
          <w:rFonts w:ascii="Arial" w:cs="Arial" w:eastAsia="Arial" w:hAnsi="Arial"/>
          <w:sz w:val="15"/>
          <w:szCs w:val="15"/>
          <w:color w:val="auto"/>
        </w:rPr>
        <w:t>These loans are inadequately protected by the current net worth and paying capacity of the obligor or by the collateral pledged. Specific and 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7"/>
          <w:szCs w:val="17"/>
          <w:b w:val="1"/>
          <w:bCs w:val="1"/>
          <w:color w:val="auto"/>
        </w:rPr>
        <w:t>UNITED COMMUNITY BANKS,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 xml:space="preserve">Doubtful. </w:t>
      </w:r>
      <w:r>
        <w:rPr>
          <w:rFonts w:ascii="Arial" w:cs="Arial" w:eastAsia="Arial" w:hAnsi="Arial"/>
          <w:sz w:val="17"/>
          <w:szCs w:val="17"/>
          <w:color w:val="auto"/>
        </w:rPr>
        <w:t>Specific weaknesses characterized as Substandard that are severe enough to make collection in full highly questionable and improbable. There is no</w:t>
      </w:r>
      <w:r>
        <w:rPr>
          <w:rFonts w:ascii="Arial" w:cs="Arial" w:eastAsia="Arial" w:hAnsi="Arial"/>
          <w:sz w:val="17"/>
          <w:szCs w:val="17"/>
          <w:b w:val="1"/>
          <w:bCs w:val="1"/>
          <w:color w:val="auto"/>
        </w:rPr>
        <w:t xml:space="preserve"> </w:t>
      </w:r>
      <w:r>
        <w:rPr>
          <w:rFonts w:ascii="Arial" w:cs="Arial" w:eastAsia="Arial" w:hAnsi="Arial"/>
          <w:sz w:val="17"/>
          <w:szCs w:val="17"/>
          <w:color w:val="auto"/>
        </w:rPr>
        <w:t>reliable secondary source of full repayment.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Loans categorized as Loss have the same characteristics as Doubtful; however, probability of loss is certain. Loans classified as Loss are charged off.</w:t>
      </w:r>
    </w:p>
    <w:p>
      <w:pPr>
        <w:spacing w:after="0" w:line="25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color w:val="auto"/>
        </w:rPr>
        <w:t xml:space="preserve">Consumer Purpose Loans. </w:t>
      </w:r>
      <w:r>
        <w:rPr>
          <w:rFonts w:ascii="Arial" w:cs="Arial" w:eastAsia="Arial" w:hAnsi="Arial"/>
          <w:sz w:val="16"/>
          <w:szCs w:val="16"/>
          <w:color w:val="auto"/>
        </w:rPr>
        <w:t>United applies a pass / fail grading system to all consumer purpose loans. Under the pass / fail grading system, consumer purpose loans</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the criteria of substandard are classified as “fail” and all other loans are classified as “pass”. For reporting purposes, consumer purpose loans classified as “fail” are reported in the performing substandard or nonaccrual columns and all other consumer purpose loans are reported in the “pass” column. Loan balances reported in the “watch” column for residential mortgage are generally commercial purpose loans secured by the borrower’s residence.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Loans not meeting the criteria above that are analyzed individually as part of the above described process are considered to be pass rated loans.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SBA Servicing Rights</w:t>
      </w:r>
    </w:p>
    <w:p>
      <w:pPr>
        <w:spacing w:after="0" w:line="244"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 xml:space="preserve">United accounts for SBA servicing rights at fair value and is included in other assets. Changes in the balances of servicing assets and servicing liabilities subsequently measured using the fair value measurement method for the three months ended March 31, 2015, are recorded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6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ASC 860 Servicing Asset Rollforward</w:t>
      </w:r>
    </w:p>
    <w:p>
      <w:pPr>
        <w:spacing w:after="0" w:line="25" w:lineRule="exact"/>
        <w:rPr>
          <w:sz w:val="20"/>
          <w:szCs w:val="20"/>
          <w:color w:val="auto"/>
        </w:rPr>
      </w:pPr>
    </w:p>
    <w:tbl>
      <w:tblPr>
        <w:tblLayout w:type="fixed"/>
        <w:tblInd w:w="17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6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7"/>
                <w:szCs w:val="17"/>
                <w:color w:val="auto"/>
              </w:rPr>
              <w:t>Fair value as of January 1, 2015</w:t>
            </w:r>
          </w:p>
        </w:tc>
        <w:tc>
          <w:tcPr>
            <w:tcW w:w="440" w:type="dxa"/>
            <w:vAlign w:val="bottom"/>
            <w:tcBorders>
              <w:top w:val="single" w:sz="8" w:color="auto"/>
            </w:tcBorders>
            <w:shd w:val="clear" w:color="auto" w:fill="F0FFFF"/>
          </w:tcPr>
          <w:p>
            <w:pPr>
              <w:jc w:val="right"/>
              <w:ind w:right="255"/>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2,551</w:t>
            </w:r>
          </w:p>
        </w:tc>
        <w:tc>
          <w:tcPr>
            <w:tcW w:w="100" w:type="dxa"/>
            <w:vAlign w:val="bottom"/>
            <w:shd w:val="clear" w:color="auto" w:fill="F0FFFF"/>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Arial" w:cs="Arial" w:eastAsia="Arial" w:hAnsi="Arial"/>
                <w:sz w:val="17"/>
                <w:szCs w:val="17"/>
                <w:color w:val="auto"/>
              </w:rPr>
              <w:t>Additions:</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680" w:type="dxa"/>
            <w:vAlign w:val="bottom"/>
            <w:shd w:val="clear" w:color="auto" w:fill="F0FFFF"/>
          </w:tcPr>
          <w:p>
            <w:pPr>
              <w:ind w:left="280"/>
              <w:spacing w:after="0"/>
              <w:rPr>
                <w:sz w:val="20"/>
                <w:szCs w:val="20"/>
                <w:color w:val="auto"/>
              </w:rPr>
            </w:pPr>
            <w:r>
              <w:rPr>
                <w:rFonts w:ascii="Arial" w:cs="Arial" w:eastAsia="Arial" w:hAnsi="Arial"/>
                <w:sz w:val="17"/>
                <w:szCs w:val="17"/>
                <w:color w:val="auto"/>
              </w:rPr>
              <w:t>Originated servicing rights capitalized upon sale of loans</w:t>
            </w:r>
          </w:p>
        </w:tc>
        <w:tc>
          <w:tcPr>
            <w:tcW w:w="440" w:type="dxa"/>
            <w:vAlign w:val="bottom"/>
            <w:shd w:val="clear" w:color="auto" w:fill="F0FFFF"/>
          </w:tcPr>
          <w:p>
            <w:pPr>
              <w:spacing w:after="0"/>
              <w:rPr>
                <w:sz w:val="17"/>
                <w:szCs w:val="17"/>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190</w:t>
            </w:r>
          </w:p>
        </w:tc>
        <w:tc>
          <w:tcPr>
            <w:tcW w:w="100" w:type="dxa"/>
            <w:vAlign w:val="bottom"/>
            <w:shd w:val="clear" w:color="auto" w:fill="F0FF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Arial" w:cs="Arial" w:eastAsia="Arial" w:hAnsi="Arial"/>
                <w:sz w:val="17"/>
                <w:szCs w:val="17"/>
                <w:color w:val="auto"/>
              </w:rPr>
              <w:t>Subtractions:</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680" w:type="dxa"/>
            <w:vAlign w:val="bottom"/>
            <w:shd w:val="clear" w:color="auto" w:fill="F0FFFF"/>
          </w:tcPr>
          <w:p>
            <w:pPr>
              <w:ind w:left="280"/>
              <w:spacing w:after="0"/>
              <w:rPr>
                <w:sz w:val="20"/>
                <w:szCs w:val="20"/>
                <w:color w:val="auto"/>
              </w:rPr>
            </w:pPr>
            <w:r>
              <w:rPr>
                <w:rFonts w:ascii="Arial" w:cs="Arial" w:eastAsia="Arial" w:hAnsi="Arial"/>
                <w:sz w:val="17"/>
                <w:szCs w:val="17"/>
                <w:color w:val="auto"/>
              </w:rPr>
              <w:t>Disposals</w:t>
            </w:r>
          </w:p>
        </w:tc>
        <w:tc>
          <w:tcPr>
            <w:tcW w:w="440" w:type="dxa"/>
            <w:vAlign w:val="bottom"/>
            <w:shd w:val="clear" w:color="auto" w:fill="F0FFFF"/>
          </w:tcPr>
          <w:p>
            <w:pPr>
              <w:spacing w:after="0"/>
              <w:rPr>
                <w:sz w:val="17"/>
                <w:szCs w:val="17"/>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Arial" w:cs="Arial" w:eastAsia="Arial" w:hAnsi="Arial"/>
                <w:sz w:val="17"/>
                <w:szCs w:val="17"/>
                <w:color w:val="auto"/>
              </w:rPr>
              <w:t>Changes in fair value:</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6680" w:type="dxa"/>
            <w:vAlign w:val="bottom"/>
            <w:shd w:val="clear" w:color="auto" w:fill="F0FFFF"/>
          </w:tcPr>
          <w:p>
            <w:pPr>
              <w:ind w:left="280"/>
              <w:spacing w:after="0"/>
              <w:rPr>
                <w:sz w:val="20"/>
                <w:szCs w:val="20"/>
                <w:color w:val="auto"/>
              </w:rPr>
            </w:pPr>
            <w:r>
              <w:rPr>
                <w:rFonts w:ascii="Arial" w:cs="Arial" w:eastAsia="Arial" w:hAnsi="Arial"/>
                <w:sz w:val="17"/>
                <w:szCs w:val="17"/>
                <w:color w:val="auto"/>
              </w:rPr>
              <w:t>Due to change in valuation inputs or assumptions used in the valuation model</w:t>
            </w:r>
          </w:p>
        </w:tc>
        <w:tc>
          <w:tcPr>
            <w:tcW w:w="44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(24)</w:t>
            </w:r>
          </w:p>
        </w:tc>
      </w:tr>
      <w:tr>
        <w:trPr>
          <w:trHeight w:val="205"/>
        </w:trPr>
        <w:tc>
          <w:tcPr>
            <w:tcW w:w="20" w:type="dxa"/>
            <w:vAlign w:val="bottom"/>
          </w:tcPr>
          <w:p>
            <w:pPr>
              <w:spacing w:after="0"/>
              <w:rPr>
                <w:sz w:val="17"/>
                <w:szCs w:val="17"/>
                <w:color w:val="auto"/>
              </w:rPr>
            </w:pPr>
          </w:p>
        </w:tc>
        <w:tc>
          <w:tcPr>
            <w:tcW w:w="6680" w:type="dxa"/>
            <w:vAlign w:val="bottom"/>
            <w:tcBorders>
              <w:top w:val="single" w:sz="8" w:color="F0FFFF"/>
            </w:tcBorders>
          </w:tcPr>
          <w:p>
            <w:pPr>
              <w:spacing w:after="0"/>
              <w:rPr>
                <w:sz w:val="20"/>
                <w:szCs w:val="20"/>
                <w:color w:val="auto"/>
              </w:rPr>
            </w:pPr>
            <w:r>
              <w:rPr>
                <w:rFonts w:ascii="Arial" w:cs="Arial" w:eastAsia="Arial" w:hAnsi="Arial"/>
                <w:sz w:val="17"/>
                <w:szCs w:val="17"/>
                <w:color w:val="auto"/>
              </w:rPr>
              <w:t>Fair value as of March 31, 2015</w:t>
            </w:r>
          </w:p>
        </w:tc>
        <w:tc>
          <w:tcPr>
            <w:tcW w:w="44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2,717</w:t>
            </w:r>
          </w:p>
        </w:tc>
        <w:tc>
          <w:tcPr>
            <w:tcW w:w="100" w:type="dxa"/>
            <w:vAlign w:val="bottom"/>
            <w:tcBorders>
              <w:top w:val="single" w:sz="8" w:color="F0FFFF"/>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line="346" w:lineRule="auto"/>
        <w:rPr>
          <w:sz w:val="20"/>
          <w:szCs w:val="20"/>
          <w:color w:val="auto"/>
        </w:rPr>
      </w:pPr>
      <w:r>
        <w:rPr>
          <w:rFonts w:ascii="Arial" w:cs="Arial" w:eastAsia="Arial" w:hAnsi="Arial"/>
          <w:sz w:val="15"/>
          <w:szCs w:val="15"/>
          <w:color w:val="auto"/>
        </w:rPr>
        <w:t xml:space="preserve">A summary of the key characteristics, inputs, and economic assumptions used to estimate the fair value of the Company’s SBA Servicing Asset as of March 31, 2015 and December 31, 2014, and the sensitivity of the fair values to immediate adverse changes in those assumptions are shown in the table below </w:t>
      </w:r>
      <w:r>
        <w:rPr>
          <w:rFonts w:ascii="Arial" w:cs="Arial" w:eastAsia="Arial" w:hAnsi="Arial"/>
          <w:sz w:val="15"/>
          <w:szCs w:val="15"/>
          <w:i w:val="1"/>
          <w:iCs w:val="1"/>
          <w:color w:val="auto"/>
        </w:rPr>
        <w:t>(in thousands)</w:t>
      </w:r>
      <w:r>
        <w:rPr>
          <w:rFonts w:ascii="Arial" w:cs="Arial" w:eastAsia="Arial" w:hAnsi="Arial"/>
          <w:sz w:val="15"/>
          <w:szCs w:val="15"/>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96"/>
              </w:rPr>
              <w:t>March 31,</w:t>
            </w:r>
          </w:p>
        </w:tc>
        <w:tc>
          <w:tcPr>
            <w:tcW w:w="140" w:type="dxa"/>
            <w:vAlign w:val="bottom"/>
          </w:tcPr>
          <w:p>
            <w:pPr>
              <w:spacing w:after="0"/>
              <w:rPr>
                <w:sz w:val="17"/>
                <w:szCs w:val="17"/>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0"/>
              </w:rPr>
              <w:t>December 31,</w:t>
            </w:r>
          </w:p>
        </w:tc>
        <w:tc>
          <w:tcPr>
            <w:tcW w:w="2860" w:type="dxa"/>
            <w:vAlign w:val="bottom"/>
          </w:tcPr>
          <w:p>
            <w:pPr>
              <w:spacing w:after="0"/>
              <w:rPr>
                <w:sz w:val="17"/>
                <w:szCs w:val="17"/>
                <w:color w:val="auto"/>
              </w:rPr>
            </w:pPr>
          </w:p>
        </w:tc>
      </w:tr>
      <w:tr>
        <w:trPr>
          <w:trHeight w:val="227"/>
        </w:trPr>
        <w:tc>
          <w:tcPr>
            <w:tcW w:w="28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2015</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2014</w:t>
            </w:r>
          </w:p>
        </w:tc>
        <w:tc>
          <w:tcPr>
            <w:tcW w:w="2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193"/>
        </w:trPr>
        <w:tc>
          <w:tcPr>
            <w:tcW w:w="2860" w:type="dxa"/>
            <w:vAlign w:val="bottom"/>
          </w:tcPr>
          <w:p>
            <w:pPr>
              <w:spacing w:after="0"/>
              <w:rPr>
                <w:sz w:val="16"/>
                <w:szCs w:val="16"/>
                <w:color w:val="auto"/>
              </w:rPr>
            </w:pPr>
          </w:p>
        </w:tc>
        <w:tc>
          <w:tcPr>
            <w:tcW w:w="2400" w:type="dxa"/>
            <w:vAlign w:val="bottom"/>
            <w:shd w:val="clear" w:color="auto" w:fill="F0FFFF"/>
          </w:tcPr>
          <w:p>
            <w:pPr>
              <w:spacing w:after="0" w:line="193" w:lineRule="exact"/>
              <w:rPr>
                <w:sz w:val="20"/>
                <w:szCs w:val="20"/>
                <w:color w:val="auto"/>
              </w:rPr>
            </w:pPr>
            <w:r>
              <w:rPr>
                <w:rFonts w:ascii="Arial" w:cs="Arial" w:eastAsia="Arial" w:hAnsi="Arial"/>
                <w:sz w:val="17"/>
                <w:szCs w:val="17"/>
                <w:color w:val="auto"/>
              </w:rPr>
              <w:t>Fair value of retained Servicing</w:t>
            </w:r>
          </w:p>
        </w:tc>
        <w:tc>
          <w:tcPr>
            <w:tcW w:w="2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60" w:type="dxa"/>
            <w:vAlign w:val="bottom"/>
            <w:shd w:val="clear" w:color="auto" w:fill="F0FFFF"/>
          </w:tcPr>
          <w:p>
            <w:pPr>
              <w:spacing w:after="0"/>
              <w:rPr>
                <w:sz w:val="16"/>
                <w:szCs w:val="16"/>
                <w:color w:val="auto"/>
              </w:rPr>
            </w:pPr>
          </w:p>
        </w:tc>
        <w:tc>
          <w:tcPr>
            <w:tcW w:w="3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26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2860" w:type="dxa"/>
            <w:vAlign w:val="bottom"/>
          </w:tcPr>
          <w:p>
            <w:pPr>
              <w:spacing w:after="0"/>
              <w:rPr>
                <w:sz w:val="16"/>
                <w:szCs w:val="16"/>
                <w:color w:val="auto"/>
              </w:rPr>
            </w:pPr>
          </w:p>
        </w:tc>
      </w:tr>
      <w:tr>
        <w:trPr>
          <w:trHeight w:val="218"/>
        </w:trPr>
        <w:tc>
          <w:tcPr>
            <w:tcW w:w="2860" w:type="dxa"/>
            <w:vAlign w:val="bottom"/>
          </w:tcPr>
          <w:p>
            <w:pPr>
              <w:spacing w:after="0"/>
              <w:rPr>
                <w:sz w:val="18"/>
                <w:szCs w:val="18"/>
                <w:color w:val="auto"/>
              </w:rPr>
            </w:pPr>
          </w:p>
        </w:tc>
        <w:tc>
          <w:tcPr>
            <w:tcW w:w="2400" w:type="dxa"/>
            <w:vAlign w:val="bottom"/>
            <w:shd w:val="clear" w:color="auto" w:fill="F0FFFF"/>
          </w:tcPr>
          <w:p>
            <w:pPr>
              <w:spacing w:after="0"/>
              <w:rPr>
                <w:sz w:val="20"/>
                <w:szCs w:val="20"/>
                <w:color w:val="auto"/>
              </w:rPr>
            </w:pPr>
            <w:r>
              <w:rPr>
                <w:rFonts w:ascii="Arial" w:cs="Arial" w:eastAsia="Arial" w:hAnsi="Arial"/>
                <w:sz w:val="17"/>
                <w:szCs w:val="17"/>
                <w:color w:val="auto"/>
              </w:rPr>
              <w:t>Assets</w:t>
            </w:r>
          </w:p>
        </w:tc>
        <w:tc>
          <w:tcPr>
            <w:tcW w:w="34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F0FFFF"/>
          </w:tcPr>
          <w:p>
            <w:pPr>
              <w:jc w:val="right"/>
              <w:ind w:right="300"/>
              <w:spacing w:after="0"/>
              <w:rPr>
                <w:sz w:val="20"/>
                <w:szCs w:val="20"/>
                <w:color w:val="auto"/>
              </w:rPr>
            </w:pPr>
            <w:r>
              <w:rPr>
                <w:rFonts w:ascii="Arial" w:cs="Arial" w:eastAsia="Arial" w:hAnsi="Arial"/>
                <w:sz w:val="17"/>
                <w:szCs w:val="17"/>
                <w:color w:val="auto"/>
              </w:rPr>
              <w:t>2,717</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2,551</w:t>
            </w:r>
          </w:p>
        </w:tc>
        <w:tc>
          <w:tcPr>
            <w:tcW w:w="2860" w:type="dxa"/>
            <w:vAlign w:val="bottom"/>
          </w:tcPr>
          <w:p>
            <w:pPr>
              <w:spacing w:after="0"/>
              <w:rPr>
                <w:sz w:val="18"/>
                <w:szCs w:val="18"/>
                <w:color w:val="auto"/>
              </w:rPr>
            </w:pPr>
          </w:p>
        </w:tc>
      </w:tr>
      <w:tr>
        <w:trPr>
          <w:trHeight w:val="205"/>
        </w:trPr>
        <w:tc>
          <w:tcPr>
            <w:tcW w:w="286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7"/>
                <w:szCs w:val="17"/>
                <w:color w:val="auto"/>
              </w:rPr>
              <w:t>Prepayment rate assumption</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7"/>
                <w:szCs w:val="17"/>
                <w:color w:val="auto"/>
              </w:rPr>
              <w:t>7.26%</w:t>
            </w:r>
          </w:p>
        </w:tc>
        <w:tc>
          <w:tcPr>
            <w:tcW w:w="14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7"/>
                <w:szCs w:val="17"/>
                <w:color w:val="auto"/>
              </w:rPr>
              <w:t>6.70%</w:t>
            </w:r>
          </w:p>
        </w:tc>
        <w:tc>
          <w:tcPr>
            <w:tcW w:w="2860" w:type="dxa"/>
            <w:vAlign w:val="bottom"/>
          </w:tcPr>
          <w:p>
            <w:pPr>
              <w:spacing w:after="0"/>
              <w:rPr>
                <w:sz w:val="17"/>
                <w:szCs w:val="17"/>
                <w:color w:val="auto"/>
              </w:rPr>
            </w:pPr>
          </w:p>
        </w:tc>
      </w:tr>
      <w:tr>
        <w:trPr>
          <w:trHeight w:val="205"/>
        </w:trPr>
        <w:tc>
          <w:tcPr>
            <w:tcW w:w="2860" w:type="dxa"/>
            <w:vAlign w:val="bottom"/>
          </w:tcPr>
          <w:p>
            <w:pPr>
              <w:spacing w:after="0"/>
              <w:rPr>
                <w:sz w:val="17"/>
                <w:szCs w:val="17"/>
                <w:color w:val="auto"/>
              </w:rPr>
            </w:pPr>
          </w:p>
        </w:tc>
        <w:tc>
          <w:tcPr>
            <w:tcW w:w="2400" w:type="dxa"/>
            <w:vAlign w:val="bottom"/>
            <w:shd w:val="clear" w:color="auto" w:fill="F0FFFF"/>
          </w:tcPr>
          <w:p>
            <w:pPr>
              <w:spacing w:after="0"/>
              <w:rPr>
                <w:sz w:val="20"/>
                <w:szCs w:val="20"/>
                <w:color w:val="auto"/>
              </w:rPr>
            </w:pPr>
            <w:r>
              <w:rPr>
                <w:rFonts w:ascii="Arial" w:cs="Arial" w:eastAsia="Arial" w:hAnsi="Arial"/>
                <w:sz w:val="17"/>
                <w:szCs w:val="17"/>
                <w:color w:val="auto"/>
              </w:rPr>
              <w:t>10% adverse change</w:t>
            </w:r>
          </w:p>
        </w:tc>
        <w:tc>
          <w:tcPr>
            <w:tcW w:w="34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(75)</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(62)</w:t>
            </w:r>
          </w:p>
        </w:tc>
        <w:tc>
          <w:tcPr>
            <w:tcW w:w="2860" w:type="dxa"/>
            <w:vAlign w:val="bottom"/>
          </w:tcPr>
          <w:p>
            <w:pPr>
              <w:spacing w:after="0"/>
              <w:rPr>
                <w:sz w:val="17"/>
                <w:szCs w:val="17"/>
                <w:color w:val="auto"/>
              </w:rPr>
            </w:pPr>
          </w:p>
        </w:tc>
      </w:tr>
      <w:tr>
        <w:trPr>
          <w:trHeight w:val="205"/>
        </w:trPr>
        <w:tc>
          <w:tcPr>
            <w:tcW w:w="286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7"/>
                <w:szCs w:val="17"/>
                <w:color w:val="auto"/>
              </w:rPr>
              <w:t>20% adverse change</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(146)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40"/>
              <w:spacing w:after="0"/>
              <w:rPr>
                <w:sz w:val="20"/>
                <w:szCs w:val="20"/>
                <w:color w:val="auto"/>
              </w:rPr>
            </w:pPr>
            <w:r>
              <w:rPr>
                <w:rFonts w:ascii="Arial" w:cs="Arial" w:eastAsia="Arial" w:hAnsi="Arial"/>
                <w:sz w:val="17"/>
                <w:szCs w:val="17"/>
                <w:color w:val="auto"/>
              </w:rPr>
              <w:t>(122)</w:t>
            </w:r>
          </w:p>
        </w:tc>
        <w:tc>
          <w:tcPr>
            <w:tcW w:w="2860" w:type="dxa"/>
            <w:vAlign w:val="bottom"/>
          </w:tcPr>
          <w:p>
            <w:pPr>
              <w:spacing w:after="0"/>
              <w:rPr>
                <w:sz w:val="17"/>
                <w:szCs w:val="17"/>
                <w:color w:val="auto"/>
              </w:rPr>
            </w:pPr>
          </w:p>
        </w:tc>
      </w:tr>
      <w:tr>
        <w:trPr>
          <w:trHeight w:val="205"/>
        </w:trPr>
        <w:tc>
          <w:tcPr>
            <w:tcW w:w="2860" w:type="dxa"/>
            <w:vAlign w:val="bottom"/>
          </w:tcPr>
          <w:p>
            <w:pPr>
              <w:spacing w:after="0"/>
              <w:rPr>
                <w:sz w:val="17"/>
                <w:szCs w:val="17"/>
                <w:color w:val="auto"/>
              </w:rPr>
            </w:pPr>
          </w:p>
        </w:tc>
        <w:tc>
          <w:tcPr>
            <w:tcW w:w="2400" w:type="dxa"/>
            <w:vAlign w:val="bottom"/>
            <w:shd w:val="clear" w:color="auto" w:fill="F0FFFF"/>
          </w:tcPr>
          <w:p>
            <w:pPr>
              <w:spacing w:after="0"/>
              <w:rPr>
                <w:sz w:val="20"/>
                <w:szCs w:val="20"/>
                <w:color w:val="auto"/>
              </w:rPr>
            </w:pPr>
            <w:r>
              <w:rPr>
                <w:rFonts w:ascii="Arial" w:cs="Arial" w:eastAsia="Arial" w:hAnsi="Arial"/>
                <w:sz w:val="17"/>
                <w:szCs w:val="17"/>
                <w:color w:val="auto"/>
              </w:rPr>
              <w:t>Discount rate</w:t>
            </w:r>
          </w:p>
        </w:tc>
        <w:tc>
          <w:tcPr>
            <w:tcW w:w="2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3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11.1%</w:t>
            </w:r>
          </w:p>
        </w:tc>
        <w:tc>
          <w:tcPr>
            <w:tcW w:w="140" w:type="dxa"/>
            <w:vAlign w:val="bottom"/>
            <w:shd w:val="clear" w:color="auto" w:fill="F0FFFF"/>
          </w:tcPr>
          <w:p>
            <w:pPr>
              <w:spacing w:after="0"/>
              <w:rPr>
                <w:sz w:val="17"/>
                <w:szCs w:val="17"/>
                <w:color w:val="auto"/>
              </w:rPr>
            </w:pPr>
          </w:p>
        </w:tc>
        <w:tc>
          <w:tcPr>
            <w:tcW w:w="146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12.0%</w:t>
            </w:r>
          </w:p>
        </w:tc>
        <w:tc>
          <w:tcPr>
            <w:tcW w:w="2860" w:type="dxa"/>
            <w:vAlign w:val="bottom"/>
          </w:tcPr>
          <w:p>
            <w:pPr>
              <w:spacing w:after="0"/>
              <w:rPr>
                <w:sz w:val="17"/>
                <w:szCs w:val="17"/>
                <w:color w:val="auto"/>
              </w:rPr>
            </w:pPr>
          </w:p>
        </w:tc>
      </w:tr>
      <w:tr>
        <w:trPr>
          <w:trHeight w:val="205"/>
        </w:trPr>
        <w:tc>
          <w:tcPr>
            <w:tcW w:w="286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7"/>
                <w:szCs w:val="17"/>
                <w:color w:val="auto"/>
              </w:rPr>
              <w:t>100 bps adverse change</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(101)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40"/>
              <w:spacing w:after="0"/>
              <w:rPr>
                <w:sz w:val="20"/>
                <w:szCs w:val="20"/>
                <w:color w:val="auto"/>
              </w:rPr>
            </w:pPr>
            <w:r>
              <w:rPr>
                <w:rFonts w:ascii="Arial" w:cs="Arial" w:eastAsia="Arial" w:hAnsi="Arial"/>
                <w:sz w:val="17"/>
                <w:szCs w:val="17"/>
                <w:color w:val="auto"/>
              </w:rPr>
              <w:t>(85)</w:t>
            </w:r>
          </w:p>
        </w:tc>
        <w:tc>
          <w:tcPr>
            <w:tcW w:w="2860" w:type="dxa"/>
            <w:vAlign w:val="bottom"/>
          </w:tcPr>
          <w:p>
            <w:pPr>
              <w:spacing w:after="0"/>
              <w:rPr>
                <w:sz w:val="17"/>
                <w:szCs w:val="17"/>
                <w:color w:val="auto"/>
              </w:rPr>
            </w:pPr>
          </w:p>
        </w:tc>
      </w:tr>
      <w:tr>
        <w:trPr>
          <w:trHeight w:val="205"/>
        </w:trPr>
        <w:tc>
          <w:tcPr>
            <w:tcW w:w="2860" w:type="dxa"/>
            <w:vAlign w:val="bottom"/>
          </w:tcPr>
          <w:p>
            <w:pPr>
              <w:spacing w:after="0"/>
              <w:rPr>
                <w:sz w:val="17"/>
                <w:szCs w:val="17"/>
                <w:color w:val="auto"/>
              </w:rPr>
            </w:pPr>
          </w:p>
        </w:tc>
        <w:tc>
          <w:tcPr>
            <w:tcW w:w="2400" w:type="dxa"/>
            <w:vAlign w:val="bottom"/>
            <w:shd w:val="clear" w:color="auto" w:fill="F0FFFF"/>
          </w:tcPr>
          <w:p>
            <w:pPr>
              <w:spacing w:after="0"/>
              <w:rPr>
                <w:sz w:val="20"/>
                <w:szCs w:val="20"/>
                <w:color w:val="auto"/>
              </w:rPr>
            </w:pPr>
            <w:r>
              <w:rPr>
                <w:rFonts w:ascii="Arial" w:cs="Arial" w:eastAsia="Arial" w:hAnsi="Arial"/>
                <w:sz w:val="17"/>
                <w:szCs w:val="17"/>
                <w:color w:val="auto"/>
              </w:rPr>
              <w:t>200bps adverse change</w:t>
            </w:r>
          </w:p>
        </w:tc>
        <w:tc>
          <w:tcPr>
            <w:tcW w:w="34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(196)</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(164)</w:t>
            </w:r>
          </w:p>
        </w:tc>
        <w:tc>
          <w:tcPr>
            <w:tcW w:w="2860" w:type="dxa"/>
            <w:vAlign w:val="bottom"/>
          </w:tcPr>
          <w:p>
            <w:pPr>
              <w:spacing w:after="0"/>
              <w:rPr>
                <w:sz w:val="17"/>
                <w:szCs w:val="17"/>
                <w:color w:val="auto"/>
              </w:rPr>
            </w:pPr>
          </w:p>
        </w:tc>
      </w:tr>
      <w:tr>
        <w:trPr>
          <w:trHeight w:val="205"/>
        </w:trPr>
        <w:tc>
          <w:tcPr>
            <w:tcW w:w="286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7"/>
                <w:szCs w:val="17"/>
                <w:color w:val="auto"/>
              </w:rPr>
              <w:t>Weighted-average life (months)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7"/>
                <w:szCs w:val="17"/>
                <w:color w:val="auto"/>
              </w:rPr>
              <w:t>7.1</w:t>
            </w:r>
          </w:p>
        </w:tc>
        <w:tc>
          <w:tcPr>
            <w:tcW w:w="14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6.5</w:t>
            </w:r>
          </w:p>
        </w:tc>
        <w:tc>
          <w:tcPr>
            <w:tcW w:w="2860" w:type="dxa"/>
            <w:vAlign w:val="bottom"/>
          </w:tcPr>
          <w:p>
            <w:pPr>
              <w:spacing w:after="0"/>
              <w:rPr>
                <w:sz w:val="17"/>
                <w:szCs w:val="17"/>
                <w:color w:val="auto"/>
              </w:rPr>
            </w:pPr>
          </w:p>
        </w:tc>
      </w:tr>
      <w:tr>
        <w:trPr>
          <w:trHeight w:val="205"/>
        </w:trPr>
        <w:tc>
          <w:tcPr>
            <w:tcW w:w="2860" w:type="dxa"/>
            <w:vAlign w:val="bottom"/>
          </w:tcPr>
          <w:p>
            <w:pPr>
              <w:spacing w:after="0"/>
              <w:rPr>
                <w:sz w:val="17"/>
                <w:szCs w:val="17"/>
                <w:color w:val="auto"/>
              </w:rPr>
            </w:pPr>
          </w:p>
        </w:tc>
        <w:tc>
          <w:tcPr>
            <w:tcW w:w="2400" w:type="dxa"/>
            <w:vAlign w:val="bottom"/>
            <w:shd w:val="clear" w:color="auto" w:fill="F0FFFF"/>
          </w:tcPr>
          <w:p>
            <w:pPr>
              <w:spacing w:after="0"/>
              <w:rPr>
                <w:sz w:val="20"/>
                <w:szCs w:val="20"/>
                <w:color w:val="auto"/>
              </w:rPr>
            </w:pPr>
            <w:r>
              <w:rPr>
                <w:rFonts w:ascii="Arial" w:cs="Arial" w:eastAsia="Arial" w:hAnsi="Arial"/>
                <w:sz w:val="17"/>
                <w:szCs w:val="17"/>
                <w:color w:val="auto"/>
                <w:w w:val="98"/>
              </w:rPr>
              <w:t>Weighted-average gross margin</w:t>
            </w:r>
          </w:p>
        </w:tc>
        <w:tc>
          <w:tcPr>
            <w:tcW w:w="2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3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2.13%</w:t>
            </w:r>
          </w:p>
        </w:tc>
        <w:tc>
          <w:tcPr>
            <w:tcW w:w="140" w:type="dxa"/>
            <w:vAlign w:val="bottom"/>
            <w:shd w:val="clear" w:color="auto" w:fill="F0FFFF"/>
          </w:tcPr>
          <w:p>
            <w:pPr>
              <w:spacing w:after="0"/>
              <w:rPr>
                <w:sz w:val="17"/>
                <w:szCs w:val="17"/>
                <w:color w:val="auto"/>
              </w:rPr>
            </w:pPr>
          </w:p>
        </w:tc>
        <w:tc>
          <w:tcPr>
            <w:tcW w:w="146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2.00%</w:t>
            </w:r>
          </w:p>
        </w:tc>
        <w:tc>
          <w:tcPr>
            <w:tcW w:w="2860" w:type="dxa"/>
            <w:vAlign w:val="bottom"/>
          </w:tcPr>
          <w:p>
            <w:pPr>
              <w:spacing w:after="0"/>
              <w:rPr>
                <w:sz w:val="17"/>
                <w:szCs w:val="17"/>
                <w:color w:val="auto"/>
              </w:rPr>
            </w:pPr>
          </w:p>
        </w:tc>
      </w:tr>
      <w:tr>
        <w:trPr>
          <w:trHeight w:val="640"/>
        </w:trPr>
        <w:tc>
          <w:tcPr>
            <w:tcW w:w="2860" w:type="dxa"/>
            <w:vAlign w:val="bottom"/>
            <w:tcBorders>
              <w:bottom w:val="single" w:sz="8" w:color="DCDCDC"/>
            </w:tcBorders>
          </w:tcPr>
          <w:p>
            <w:pPr>
              <w:spacing w:after="0"/>
              <w:rPr>
                <w:sz w:val="24"/>
                <w:szCs w:val="24"/>
                <w:color w:val="auto"/>
              </w:rPr>
            </w:pPr>
          </w:p>
        </w:tc>
        <w:tc>
          <w:tcPr>
            <w:tcW w:w="24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jc w:val="right"/>
              <w:ind w:right="775"/>
              <w:spacing w:after="0"/>
              <w:rPr>
                <w:sz w:val="20"/>
                <w:szCs w:val="20"/>
                <w:color w:val="auto"/>
              </w:rPr>
            </w:pPr>
            <w:r>
              <w:rPr>
                <w:rFonts w:ascii="Arial" w:cs="Arial" w:eastAsia="Arial" w:hAnsi="Arial"/>
                <w:sz w:val="17"/>
                <w:szCs w:val="17"/>
                <w:color w:val="auto"/>
                <w:w w:val="94"/>
              </w:rPr>
              <w:t>22</w:t>
            </w:r>
          </w:p>
        </w:tc>
        <w:tc>
          <w:tcPr>
            <w:tcW w:w="3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26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28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79"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7"/>
          <w:szCs w:val="17"/>
          <w:b w:val="1"/>
          <w:bCs w:val="1"/>
          <w:color w:val="auto"/>
        </w:rPr>
        <w:t>UNITED COMMUNITY BANKS,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Reclassifications Out of Accumulated Other Comprehensive Income</w:t>
      </w:r>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The following table presents the details regarding amounts reclassified out of accumulated other comprehensive income for the three months ended March 31, 2015 and 2014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gridSpan w:val="6"/>
          </w:tcPr>
          <w:p>
            <w:pPr>
              <w:jc w:val="right"/>
              <w:ind w:right="440"/>
              <w:spacing w:after="0"/>
              <w:rPr>
                <w:sz w:val="20"/>
                <w:szCs w:val="20"/>
                <w:color w:val="auto"/>
              </w:rPr>
            </w:pPr>
            <w:r>
              <w:rPr>
                <w:rFonts w:ascii="Arial" w:cs="Arial" w:eastAsia="Arial" w:hAnsi="Arial"/>
                <w:sz w:val="17"/>
                <w:szCs w:val="17"/>
                <w:b w:val="1"/>
                <w:bCs w:val="1"/>
                <w:color w:val="auto"/>
                <w:w w:val="92"/>
              </w:rPr>
              <w:t>Amounts Reclassified from</w:t>
            </w:r>
          </w:p>
        </w:tc>
        <w:tc>
          <w:tcPr>
            <w:tcW w:w="4440" w:type="dxa"/>
            <w:vAlign w:val="bottom"/>
          </w:tcPr>
          <w:p>
            <w:pPr>
              <w:spacing w:after="0"/>
              <w:rPr>
                <w:sz w:val="17"/>
                <w:szCs w:val="17"/>
                <w:color w:val="auto"/>
              </w:rPr>
            </w:pPr>
          </w:p>
        </w:tc>
      </w:tr>
      <w:tr>
        <w:trPr>
          <w:trHeight w:val="205"/>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gridSpan w:val="6"/>
          </w:tcPr>
          <w:p>
            <w:pPr>
              <w:jc w:val="right"/>
              <w:ind w:right="640"/>
              <w:spacing w:after="0"/>
              <w:rPr>
                <w:sz w:val="20"/>
                <w:szCs w:val="20"/>
                <w:color w:val="auto"/>
              </w:rPr>
            </w:pPr>
            <w:r>
              <w:rPr>
                <w:rFonts w:ascii="Arial" w:cs="Arial" w:eastAsia="Arial" w:hAnsi="Arial"/>
                <w:sz w:val="17"/>
                <w:szCs w:val="17"/>
                <w:b w:val="1"/>
                <w:bCs w:val="1"/>
                <w:color w:val="auto"/>
              </w:rPr>
              <w:t>Accumulated Other</w:t>
            </w:r>
          </w:p>
        </w:tc>
        <w:tc>
          <w:tcPr>
            <w:tcW w:w="4440" w:type="dxa"/>
            <w:vAlign w:val="bottom"/>
          </w:tcPr>
          <w:p>
            <w:pPr>
              <w:spacing w:after="0"/>
              <w:rPr>
                <w:sz w:val="17"/>
                <w:szCs w:val="17"/>
                <w:color w:val="auto"/>
              </w:rPr>
            </w:pPr>
          </w:p>
        </w:tc>
      </w:tr>
      <w:tr>
        <w:trPr>
          <w:trHeight w:val="205"/>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gridSpan w:val="6"/>
          </w:tcPr>
          <w:p>
            <w:pPr>
              <w:jc w:val="right"/>
              <w:ind w:right="500"/>
              <w:spacing w:after="0"/>
              <w:rPr>
                <w:sz w:val="20"/>
                <w:szCs w:val="20"/>
                <w:color w:val="auto"/>
              </w:rPr>
            </w:pPr>
            <w:r>
              <w:rPr>
                <w:rFonts w:ascii="Arial" w:cs="Arial" w:eastAsia="Arial" w:hAnsi="Arial"/>
                <w:sz w:val="17"/>
                <w:szCs w:val="17"/>
                <w:b w:val="1"/>
                <w:bCs w:val="1"/>
                <w:color w:val="auto"/>
              </w:rPr>
              <w:t>Comprehensive Income</w:t>
            </w:r>
          </w:p>
        </w:tc>
        <w:tc>
          <w:tcPr>
            <w:tcW w:w="4440" w:type="dxa"/>
            <w:vAlign w:val="bottom"/>
          </w:tcPr>
          <w:p>
            <w:pPr>
              <w:spacing w:after="0"/>
              <w:rPr>
                <w:sz w:val="17"/>
                <w:szCs w:val="17"/>
                <w:color w:val="auto"/>
              </w:rPr>
            </w:pPr>
          </w:p>
        </w:tc>
      </w:tr>
      <w:tr>
        <w:trPr>
          <w:trHeight w:val="205"/>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gridSpan w:val="6"/>
          </w:tcPr>
          <w:p>
            <w:pPr>
              <w:jc w:val="right"/>
              <w:ind w:right="420"/>
              <w:spacing w:after="0"/>
              <w:rPr>
                <w:sz w:val="20"/>
                <w:szCs w:val="20"/>
                <w:color w:val="auto"/>
              </w:rPr>
            </w:pPr>
            <w:r>
              <w:rPr>
                <w:rFonts w:ascii="Arial" w:cs="Arial" w:eastAsia="Arial" w:hAnsi="Arial"/>
                <w:sz w:val="17"/>
                <w:szCs w:val="17"/>
                <w:b w:val="1"/>
                <w:bCs w:val="1"/>
                <w:color w:val="auto"/>
                <w:w w:val="91"/>
              </w:rPr>
              <w:t>For the three months ended</w:t>
            </w:r>
          </w:p>
        </w:tc>
        <w:tc>
          <w:tcPr>
            <w:tcW w:w="4440" w:type="dxa"/>
            <w:vAlign w:val="bottom"/>
          </w:tcPr>
          <w:p>
            <w:pPr>
              <w:spacing w:after="0"/>
              <w:rPr>
                <w:sz w:val="17"/>
                <w:szCs w:val="17"/>
                <w:color w:val="auto"/>
              </w:rPr>
            </w:pPr>
          </w:p>
        </w:tc>
      </w:tr>
      <w:tr>
        <w:trPr>
          <w:trHeight w:val="227"/>
        </w:trPr>
        <w:tc>
          <w:tcPr>
            <w:tcW w:w="4240" w:type="dxa"/>
            <w:vAlign w:val="bottom"/>
          </w:tcPr>
          <w:p>
            <w:pPr>
              <w:ind w:left="900"/>
              <w:spacing w:after="0"/>
              <w:rPr>
                <w:sz w:val="20"/>
                <w:szCs w:val="20"/>
                <w:color w:val="auto"/>
              </w:rPr>
            </w:pPr>
            <w:r>
              <w:rPr>
                <w:rFonts w:ascii="Arial" w:cs="Arial" w:eastAsia="Arial" w:hAnsi="Arial"/>
                <w:sz w:val="17"/>
                <w:szCs w:val="17"/>
                <w:b w:val="1"/>
                <w:bCs w:val="1"/>
                <w:color w:val="auto"/>
              </w:rPr>
              <w:t>Details about Accumulated Other</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7"/>
                <w:szCs w:val="17"/>
                <w:b w:val="1"/>
                <w:bCs w:val="1"/>
                <w:color w:val="auto"/>
              </w:rPr>
              <w:t>March 31,</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tcPr>
          <w:p>
            <w:pPr>
              <w:ind w:left="920"/>
              <w:spacing w:after="0"/>
              <w:rPr>
                <w:sz w:val="20"/>
                <w:szCs w:val="20"/>
                <w:color w:val="auto"/>
              </w:rPr>
            </w:pPr>
            <w:r>
              <w:rPr>
                <w:rFonts w:ascii="Arial" w:cs="Arial" w:eastAsia="Arial" w:hAnsi="Arial"/>
                <w:sz w:val="17"/>
                <w:szCs w:val="17"/>
                <w:b w:val="1"/>
                <w:bCs w:val="1"/>
                <w:color w:val="auto"/>
              </w:rPr>
              <w:t>Affected Line Item in the Statement</w:t>
            </w:r>
          </w:p>
        </w:tc>
      </w:tr>
      <w:tr>
        <w:trPr>
          <w:trHeight w:val="211"/>
        </w:trPr>
        <w:tc>
          <w:tcPr>
            <w:tcW w:w="4240" w:type="dxa"/>
            <w:vAlign w:val="bottom"/>
            <w:tcBorders>
              <w:bottom w:val="single" w:sz="8" w:color="auto"/>
            </w:tcBorders>
          </w:tcPr>
          <w:p>
            <w:pPr>
              <w:ind w:left="780"/>
              <w:spacing w:after="0"/>
              <w:rPr>
                <w:sz w:val="20"/>
                <w:szCs w:val="20"/>
                <w:color w:val="auto"/>
              </w:rPr>
            </w:pPr>
            <w:r>
              <w:rPr>
                <w:rFonts w:ascii="Arial" w:cs="Arial" w:eastAsia="Arial" w:hAnsi="Arial"/>
                <w:sz w:val="17"/>
                <w:szCs w:val="17"/>
                <w:b w:val="1"/>
                <w:bCs w:val="1"/>
                <w:color w:val="auto"/>
              </w:rPr>
              <w:t>Comprehensive Income Components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8"/>
                <w:szCs w:val="18"/>
                <w:color w:val="auto"/>
              </w:rPr>
            </w:pPr>
          </w:p>
        </w:tc>
        <w:tc>
          <w:tcPr>
            <w:tcW w:w="4440" w:type="dxa"/>
            <w:vAlign w:val="bottom"/>
            <w:tcBorders>
              <w:bottom w:val="single" w:sz="8" w:color="auto"/>
            </w:tcBorders>
          </w:tcPr>
          <w:p>
            <w:pPr>
              <w:ind w:left="1080"/>
              <w:spacing w:after="0"/>
              <w:rPr>
                <w:sz w:val="20"/>
                <w:szCs w:val="20"/>
                <w:color w:val="auto"/>
              </w:rPr>
            </w:pPr>
            <w:r>
              <w:rPr>
                <w:rFonts w:ascii="Arial" w:cs="Arial" w:eastAsia="Arial" w:hAnsi="Arial"/>
                <w:sz w:val="17"/>
                <w:szCs w:val="17"/>
                <w:b w:val="1"/>
                <w:bCs w:val="1"/>
                <w:color w:val="auto"/>
              </w:rPr>
              <w:t>Where Net Income is Presented</w:t>
            </w:r>
          </w:p>
        </w:tc>
      </w:tr>
      <w:tr>
        <w:trPr>
          <w:trHeight w:val="205"/>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tcPr>
          <w:p>
            <w:pPr>
              <w:spacing w:after="0"/>
              <w:rPr>
                <w:sz w:val="17"/>
                <w:szCs w:val="17"/>
                <w:color w:val="auto"/>
              </w:rPr>
            </w:pPr>
          </w:p>
        </w:tc>
      </w:tr>
      <w:tr>
        <w:trPr>
          <w:trHeight w:val="205"/>
        </w:trPr>
        <w:tc>
          <w:tcPr>
            <w:tcW w:w="4240" w:type="dxa"/>
            <w:vAlign w:val="bottom"/>
            <w:shd w:val="clear" w:color="auto" w:fill="F0FFFF"/>
          </w:tcPr>
          <w:p>
            <w:pPr>
              <w:spacing w:after="0"/>
              <w:rPr>
                <w:sz w:val="20"/>
                <w:szCs w:val="20"/>
                <w:color w:val="auto"/>
              </w:rPr>
            </w:pPr>
            <w:r>
              <w:rPr>
                <w:rFonts w:ascii="Arial" w:cs="Arial" w:eastAsia="Arial" w:hAnsi="Arial"/>
                <w:sz w:val="17"/>
                <w:szCs w:val="17"/>
                <w:color w:val="auto"/>
              </w:rPr>
              <w:t>Realized gains on sales of available-for-sale securities:</w:t>
            </w: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440" w:type="dxa"/>
            <w:vAlign w:val="bottom"/>
            <w:shd w:val="clear" w:color="auto" w:fill="F0FFFF"/>
          </w:tcPr>
          <w:p>
            <w:pPr>
              <w:spacing w:after="0"/>
              <w:rPr>
                <w:sz w:val="17"/>
                <w:szCs w:val="17"/>
                <w:color w:val="auto"/>
              </w:rPr>
            </w:pPr>
          </w:p>
        </w:tc>
      </w:tr>
      <w:tr>
        <w:trPr>
          <w:trHeight w:val="205"/>
        </w:trPr>
        <w:tc>
          <w:tcPr>
            <w:tcW w:w="42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1,539</w:t>
            </w: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217</w:t>
            </w:r>
          </w:p>
        </w:tc>
        <w:tc>
          <w:tcPr>
            <w:tcW w:w="4440" w:type="dxa"/>
            <w:vAlign w:val="bottom"/>
          </w:tcPr>
          <w:p>
            <w:pPr>
              <w:spacing w:after="0"/>
              <w:rPr>
                <w:sz w:val="20"/>
                <w:szCs w:val="20"/>
                <w:color w:val="auto"/>
              </w:rPr>
            </w:pPr>
            <w:r>
              <w:rPr>
                <w:rFonts w:ascii="Arial" w:cs="Arial" w:eastAsia="Arial" w:hAnsi="Arial"/>
                <w:sz w:val="17"/>
                <w:szCs w:val="17"/>
                <w:color w:val="auto"/>
              </w:rPr>
              <w:t>Securities gains, net</w:t>
            </w:r>
          </w:p>
        </w:tc>
      </w:tr>
      <w:tr>
        <w:trPr>
          <w:trHeight w:val="205"/>
        </w:trPr>
        <w:tc>
          <w:tcPr>
            <w:tcW w:w="42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(598)</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(92)</w:t>
            </w:r>
          </w:p>
        </w:tc>
        <w:tc>
          <w:tcPr>
            <w:tcW w:w="4440" w:type="dxa"/>
            <w:vAlign w:val="bottom"/>
            <w:shd w:val="clear" w:color="auto" w:fill="F0FFFF"/>
          </w:tcPr>
          <w:p>
            <w:pPr>
              <w:spacing w:after="0"/>
              <w:rPr>
                <w:sz w:val="20"/>
                <w:szCs w:val="20"/>
                <w:color w:val="auto"/>
              </w:rPr>
            </w:pPr>
            <w:r>
              <w:rPr>
                <w:rFonts w:ascii="Arial" w:cs="Arial" w:eastAsia="Arial" w:hAnsi="Arial"/>
                <w:sz w:val="17"/>
                <w:szCs w:val="17"/>
                <w:color w:val="auto"/>
              </w:rPr>
              <w:t>Tax expense</w:t>
            </w:r>
          </w:p>
        </w:tc>
      </w:tr>
      <w:tr>
        <w:trPr>
          <w:trHeight w:val="26"/>
        </w:trPr>
        <w:tc>
          <w:tcPr>
            <w:tcW w:w="42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4440" w:type="dxa"/>
            <w:vAlign w:val="bottom"/>
            <w:shd w:val="clear" w:color="auto" w:fill="F0FFFF"/>
          </w:tcPr>
          <w:p>
            <w:pPr>
              <w:spacing w:after="0"/>
              <w:rPr>
                <w:sz w:val="2"/>
                <w:szCs w:val="2"/>
                <w:color w:val="auto"/>
              </w:rPr>
            </w:pPr>
          </w:p>
        </w:tc>
      </w:tr>
      <w:tr>
        <w:trPr>
          <w:trHeight w:val="205"/>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941</w:t>
            </w: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125</w:t>
            </w:r>
          </w:p>
        </w:tc>
        <w:tc>
          <w:tcPr>
            <w:tcW w:w="4440" w:type="dxa"/>
            <w:vAlign w:val="bottom"/>
          </w:tcPr>
          <w:p>
            <w:pPr>
              <w:spacing w:after="0"/>
              <w:rPr>
                <w:sz w:val="20"/>
                <w:szCs w:val="20"/>
                <w:color w:val="auto"/>
              </w:rPr>
            </w:pPr>
            <w:r>
              <w:rPr>
                <w:rFonts w:ascii="Arial" w:cs="Arial" w:eastAsia="Arial" w:hAnsi="Arial"/>
                <w:sz w:val="17"/>
                <w:szCs w:val="17"/>
                <w:color w:val="auto"/>
              </w:rPr>
              <w:t>Net of tax</w:t>
            </w: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196"/>
        </w:trPr>
        <w:tc>
          <w:tcPr>
            <w:tcW w:w="11420" w:type="dxa"/>
            <w:vAlign w:val="bottom"/>
            <w:gridSpan w:val="10"/>
            <w:shd w:val="clear" w:color="auto" w:fill="F0FFFF"/>
          </w:tcPr>
          <w:p>
            <w:pPr>
              <w:spacing w:after="0"/>
              <w:rPr>
                <w:sz w:val="20"/>
                <w:szCs w:val="20"/>
                <w:color w:val="auto"/>
              </w:rPr>
            </w:pPr>
            <w:r>
              <w:rPr>
                <w:rFonts w:ascii="Arial" w:cs="Arial" w:eastAsia="Arial" w:hAnsi="Arial"/>
                <w:sz w:val="17"/>
                <w:szCs w:val="17"/>
                <w:color w:val="auto"/>
              </w:rPr>
              <w:t>Amortization of (losses) gains included in net income on available-for-sale securities transferred to held to maturity:</w:t>
            </w:r>
          </w:p>
        </w:tc>
      </w:tr>
      <w:tr>
        <w:trPr>
          <w:trHeight w:val="205"/>
        </w:trPr>
        <w:tc>
          <w:tcPr>
            <w:tcW w:w="42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(484)</w:t>
            </w: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(330)</w:t>
            </w:r>
          </w:p>
        </w:tc>
        <w:tc>
          <w:tcPr>
            <w:tcW w:w="4440" w:type="dxa"/>
            <w:vAlign w:val="bottom"/>
          </w:tcPr>
          <w:p>
            <w:pPr>
              <w:spacing w:after="0"/>
              <w:rPr>
                <w:sz w:val="20"/>
                <w:szCs w:val="20"/>
                <w:color w:val="auto"/>
              </w:rPr>
            </w:pPr>
            <w:r>
              <w:rPr>
                <w:rFonts w:ascii="Arial" w:cs="Arial" w:eastAsia="Arial" w:hAnsi="Arial"/>
                <w:sz w:val="17"/>
                <w:szCs w:val="17"/>
                <w:color w:val="auto"/>
              </w:rPr>
              <w:t>Investment securities interest revenue</w:t>
            </w:r>
          </w:p>
        </w:tc>
      </w:tr>
      <w:tr>
        <w:trPr>
          <w:trHeight w:val="205"/>
        </w:trPr>
        <w:tc>
          <w:tcPr>
            <w:tcW w:w="42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182</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123</w:t>
            </w:r>
          </w:p>
        </w:tc>
        <w:tc>
          <w:tcPr>
            <w:tcW w:w="4440" w:type="dxa"/>
            <w:vAlign w:val="bottom"/>
            <w:shd w:val="clear" w:color="auto" w:fill="F0FFFF"/>
          </w:tcPr>
          <w:p>
            <w:pPr>
              <w:spacing w:after="0"/>
              <w:rPr>
                <w:sz w:val="20"/>
                <w:szCs w:val="20"/>
                <w:color w:val="auto"/>
              </w:rPr>
            </w:pPr>
            <w:r>
              <w:rPr>
                <w:rFonts w:ascii="Arial" w:cs="Arial" w:eastAsia="Arial" w:hAnsi="Arial"/>
                <w:sz w:val="17"/>
                <w:szCs w:val="17"/>
                <w:color w:val="auto"/>
              </w:rPr>
              <w:t>Tax benefit (expense)</w:t>
            </w:r>
          </w:p>
        </w:tc>
      </w:tr>
      <w:tr>
        <w:trPr>
          <w:trHeight w:val="26"/>
        </w:trPr>
        <w:tc>
          <w:tcPr>
            <w:tcW w:w="42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4440" w:type="dxa"/>
            <w:vAlign w:val="bottom"/>
            <w:shd w:val="clear" w:color="auto" w:fill="F0FFFF"/>
          </w:tcPr>
          <w:p>
            <w:pPr>
              <w:spacing w:after="0"/>
              <w:rPr>
                <w:sz w:val="2"/>
                <w:szCs w:val="2"/>
                <w:color w:val="auto"/>
              </w:rPr>
            </w:pPr>
          </w:p>
        </w:tc>
      </w:tr>
      <w:tr>
        <w:trPr>
          <w:trHeight w:val="205"/>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(302)</w:t>
            </w: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(207)</w:t>
            </w:r>
          </w:p>
        </w:tc>
        <w:tc>
          <w:tcPr>
            <w:tcW w:w="4440" w:type="dxa"/>
            <w:vAlign w:val="bottom"/>
          </w:tcPr>
          <w:p>
            <w:pPr>
              <w:spacing w:after="0"/>
              <w:rPr>
                <w:sz w:val="20"/>
                <w:szCs w:val="20"/>
                <w:color w:val="auto"/>
              </w:rPr>
            </w:pPr>
            <w:r>
              <w:rPr>
                <w:rFonts w:ascii="Arial" w:cs="Arial" w:eastAsia="Arial" w:hAnsi="Arial"/>
                <w:sz w:val="17"/>
                <w:szCs w:val="17"/>
                <w:color w:val="auto"/>
              </w:rPr>
              <w:t>Net of tax</w:t>
            </w: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196"/>
        </w:trPr>
        <w:tc>
          <w:tcPr>
            <w:tcW w:w="6980" w:type="dxa"/>
            <w:vAlign w:val="bottom"/>
            <w:gridSpan w:val="9"/>
            <w:shd w:val="clear" w:color="auto" w:fill="F0FFFF"/>
          </w:tcPr>
          <w:p>
            <w:pPr>
              <w:spacing w:after="0"/>
              <w:rPr>
                <w:sz w:val="20"/>
                <w:szCs w:val="20"/>
                <w:color w:val="auto"/>
              </w:rPr>
            </w:pPr>
            <w:r>
              <w:rPr>
                <w:rFonts w:ascii="Arial" w:cs="Arial" w:eastAsia="Arial" w:hAnsi="Arial"/>
                <w:sz w:val="17"/>
                <w:szCs w:val="17"/>
                <w:color w:val="auto"/>
                <w:w w:val="92"/>
              </w:rPr>
              <w:t>Gains included in net income on derivative financial instruments accounted for as cash flow hedges:</w:t>
            </w:r>
          </w:p>
        </w:tc>
        <w:tc>
          <w:tcPr>
            <w:tcW w:w="4440" w:type="dxa"/>
            <w:vAlign w:val="bottom"/>
            <w:shd w:val="clear" w:color="auto" w:fill="F0FFFF"/>
          </w:tcPr>
          <w:p>
            <w:pPr>
              <w:spacing w:after="0"/>
              <w:rPr>
                <w:sz w:val="17"/>
                <w:szCs w:val="17"/>
                <w:color w:val="auto"/>
              </w:rPr>
            </w:pPr>
          </w:p>
        </w:tc>
      </w:tr>
      <w:tr>
        <w:trPr>
          <w:trHeight w:val="205"/>
        </w:trPr>
        <w:tc>
          <w:tcPr>
            <w:tcW w:w="4240" w:type="dxa"/>
            <w:vAlign w:val="bottom"/>
          </w:tcPr>
          <w:p>
            <w:pPr>
              <w:ind w:left="160"/>
              <w:spacing w:after="0"/>
              <w:rPr>
                <w:sz w:val="20"/>
                <w:szCs w:val="20"/>
                <w:color w:val="auto"/>
              </w:rPr>
            </w:pPr>
            <w:r>
              <w:rPr>
                <w:rFonts w:ascii="Arial" w:cs="Arial" w:eastAsia="Arial" w:hAnsi="Arial"/>
                <w:sz w:val="17"/>
                <w:szCs w:val="17"/>
                <w:color w:val="auto"/>
              </w:rPr>
              <w:t>Effective portion of interest rate contracts</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(97)</w:t>
            </w:r>
          </w:p>
        </w:tc>
        <w:tc>
          <w:tcPr>
            <w:tcW w:w="4440" w:type="dxa"/>
            <w:vAlign w:val="bottom"/>
          </w:tcPr>
          <w:p>
            <w:pPr>
              <w:spacing w:after="0"/>
              <w:rPr>
                <w:sz w:val="20"/>
                <w:szCs w:val="20"/>
                <w:color w:val="auto"/>
              </w:rPr>
            </w:pPr>
            <w:r>
              <w:rPr>
                <w:rFonts w:ascii="Arial" w:cs="Arial" w:eastAsia="Arial" w:hAnsi="Arial"/>
                <w:sz w:val="17"/>
                <w:szCs w:val="17"/>
                <w:color w:val="auto"/>
              </w:rPr>
              <w:t>Time deposit interest expense</w:t>
            </w:r>
          </w:p>
        </w:tc>
      </w:tr>
      <w:tr>
        <w:trPr>
          <w:trHeight w:val="205"/>
        </w:trPr>
        <w:tc>
          <w:tcPr>
            <w:tcW w:w="4240" w:type="dxa"/>
            <w:vAlign w:val="bottom"/>
            <w:shd w:val="clear" w:color="auto" w:fill="F0FFFF"/>
          </w:tcPr>
          <w:p>
            <w:pPr>
              <w:ind w:left="160"/>
              <w:spacing w:after="0"/>
              <w:rPr>
                <w:sz w:val="20"/>
                <w:szCs w:val="20"/>
                <w:color w:val="auto"/>
              </w:rPr>
            </w:pPr>
            <w:r>
              <w:rPr>
                <w:rFonts w:ascii="Arial" w:cs="Arial" w:eastAsia="Arial" w:hAnsi="Arial"/>
                <w:sz w:val="17"/>
                <w:szCs w:val="17"/>
                <w:color w:val="auto"/>
              </w:rPr>
              <w:t>Amortization of losses on de-designated positions</w:t>
            </w: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(48)</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7"/>
                <w:szCs w:val="17"/>
                <w:color w:val="auto"/>
                <w:w w:val="93"/>
              </w:rPr>
              <w:t>Deposits in banks and short-term investments interest revenue</w:t>
            </w:r>
          </w:p>
        </w:tc>
      </w:tr>
      <w:tr>
        <w:trPr>
          <w:trHeight w:val="205"/>
        </w:trPr>
        <w:tc>
          <w:tcPr>
            <w:tcW w:w="4240" w:type="dxa"/>
            <w:vAlign w:val="bottom"/>
          </w:tcPr>
          <w:p>
            <w:pPr>
              <w:ind w:left="160"/>
              <w:spacing w:after="0"/>
              <w:rPr>
                <w:sz w:val="20"/>
                <w:szCs w:val="20"/>
                <w:color w:val="auto"/>
              </w:rPr>
            </w:pPr>
            <w:r>
              <w:rPr>
                <w:rFonts w:ascii="Arial" w:cs="Arial" w:eastAsia="Arial" w:hAnsi="Arial"/>
                <w:sz w:val="17"/>
                <w:szCs w:val="17"/>
                <w:color w:val="auto"/>
              </w:rPr>
              <w:t>Amortization of losses on de-designated positions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7"/>
                <w:szCs w:val="17"/>
                <w:color w:val="auto"/>
              </w:rPr>
              <w:t>Money market deposit interest expense</w:t>
            </w:r>
          </w:p>
        </w:tc>
      </w:tr>
      <w:tr>
        <w:trPr>
          <w:trHeight w:val="205"/>
        </w:trPr>
        <w:tc>
          <w:tcPr>
            <w:tcW w:w="4240" w:type="dxa"/>
            <w:vAlign w:val="bottom"/>
            <w:shd w:val="clear" w:color="auto" w:fill="F0FFFF"/>
          </w:tcPr>
          <w:p>
            <w:pPr>
              <w:ind w:left="160"/>
              <w:spacing w:after="0"/>
              <w:rPr>
                <w:sz w:val="20"/>
                <w:szCs w:val="20"/>
                <w:color w:val="auto"/>
              </w:rPr>
            </w:pPr>
            <w:r>
              <w:rPr>
                <w:rFonts w:ascii="Arial" w:cs="Arial" w:eastAsia="Arial" w:hAnsi="Arial"/>
                <w:sz w:val="17"/>
                <w:szCs w:val="17"/>
                <w:color w:val="auto"/>
              </w:rPr>
              <w:t>Amortization of losses on de-designated positions</w:t>
            </w: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(258)</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7"/>
                <w:szCs w:val="17"/>
                <w:color w:val="auto"/>
              </w:rPr>
              <w:t>Federal Home Loan Bank advances interest expense</w:t>
            </w:r>
          </w:p>
        </w:tc>
      </w:tr>
      <w:tr>
        <w:trPr>
          <w:trHeight w:val="26"/>
        </w:trPr>
        <w:tc>
          <w:tcPr>
            <w:tcW w:w="42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4440" w:type="dxa"/>
            <w:vAlign w:val="bottom"/>
            <w:shd w:val="clear" w:color="auto" w:fill="F0FFFF"/>
          </w:tcPr>
          <w:p>
            <w:pPr>
              <w:spacing w:after="0"/>
              <w:rPr>
                <w:sz w:val="2"/>
                <w:szCs w:val="2"/>
                <w:color w:val="auto"/>
              </w:rPr>
            </w:pPr>
          </w:p>
        </w:tc>
      </w:tr>
      <w:tr>
        <w:trPr>
          <w:trHeight w:val="205"/>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(425)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(97)</w:t>
            </w:r>
          </w:p>
        </w:tc>
        <w:tc>
          <w:tcPr>
            <w:tcW w:w="4440" w:type="dxa"/>
            <w:vAlign w:val="bottom"/>
          </w:tcPr>
          <w:p>
            <w:pPr>
              <w:spacing w:after="0"/>
              <w:rPr>
                <w:sz w:val="20"/>
                <w:szCs w:val="20"/>
                <w:color w:val="auto"/>
              </w:rPr>
            </w:pPr>
            <w:r>
              <w:rPr>
                <w:rFonts w:ascii="Arial" w:cs="Arial" w:eastAsia="Arial" w:hAnsi="Arial"/>
                <w:sz w:val="17"/>
                <w:szCs w:val="17"/>
                <w:color w:val="auto"/>
              </w:rPr>
              <w:t>Total before tax</w:t>
            </w:r>
          </w:p>
        </w:tc>
      </w:tr>
      <w:tr>
        <w:trPr>
          <w:trHeight w:val="205"/>
        </w:trPr>
        <w:tc>
          <w:tcPr>
            <w:tcW w:w="42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165</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F0FFFF"/>
          </w:tcPr>
          <w:p>
            <w:pPr>
              <w:spacing w:after="0"/>
              <w:rPr>
                <w:sz w:val="17"/>
                <w:szCs w:val="17"/>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7"/>
                <w:szCs w:val="17"/>
                <w:color w:val="auto"/>
              </w:rPr>
              <w:t>Tax or benefit (expense)</w:t>
            </w:r>
          </w:p>
        </w:tc>
      </w:tr>
      <w:tr>
        <w:trPr>
          <w:trHeight w:val="26"/>
        </w:trPr>
        <w:tc>
          <w:tcPr>
            <w:tcW w:w="42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4440" w:type="dxa"/>
            <w:vAlign w:val="bottom"/>
            <w:shd w:val="clear" w:color="auto" w:fill="F0FFFF"/>
          </w:tcPr>
          <w:p>
            <w:pPr>
              <w:spacing w:after="0"/>
              <w:rPr>
                <w:sz w:val="2"/>
                <w:szCs w:val="2"/>
                <w:color w:val="auto"/>
              </w:rPr>
            </w:pPr>
          </w:p>
        </w:tc>
      </w:tr>
      <w:tr>
        <w:trPr>
          <w:trHeight w:val="205"/>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(260)</w:t>
            </w: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(59)</w:t>
            </w:r>
          </w:p>
        </w:tc>
        <w:tc>
          <w:tcPr>
            <w:tcW w:w="4440" w:type="dxa"/>
            <w:vAlign w:val="bottom"/>
          </w:tcPr>
          <w:p>
            <w:pPr>
              <w:spacing w:after="0"/>
              <w:rPr>
                <w:sz w:val="20"/>
                <w:szCs w:val="20"/>
                <w:color w:val="auto"/>
              </w:rPr>
            </w:pPr>
            <w:r>
              <w:rPr>
                <w:rFonts w:ascii="Arial" w:cs="Arial" w:eastAsia="Arial" w:hAnsi="Arial"/>
                <w:sz w:val="17"/>
                <w:szCs w:val="17"/>
                <w:color w:val="auto"/>
              </w:rPr>
              <w:t>Net of tax</w:t>
            </w: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196"/>
        </w:trPr>
        <w:tc>
          <w:tcPr>
            <w:tcW w:w="11420" w:type="dxa"/>
            <w:vAlign w:val="bottom"/>
            <w:gridSpan w:val="10"/>
            <w:shd w:val="clear" w:color="auto" w:fill="F0FFFF"/>
          </w:tcPr>
          <w:p>
            <w:pPr>
              <w:spacing w:after="0"/>
              <w:rPr>
                <w:sz w:val="20"/>
                <w:szCs w:val="20"/>
                <w:color w:val="auto"/>
              </w:rPr>
            </w:pPr>
            <w:r>
              <w:rPr>
                <w:rFonts w:ascii="Arial" w:cs="Arial" w:eastAsia="Arial" w:hAnsi="Arial"/>
                <w:sz w:val="17"/>
                <w:szCs w:val="17"/>
                <w:color w:val="auto"/>
              </w:rPr>
              <w:t>Amortization of prior service cost and actuarial losses included in net periodic pension cost for defined benefit pension plan</w:t>
            </w:r>
          </w:p>
        </w:tc>
      </w:tr>
      <w:tr>
        <w:trPr>
          <w:trHeight w:val="205"/>
        </w:trPr>
        <w:tc>
          <w:tcPr>
            <w:tcW w:w="4240" w:type="dxa"/>
            <w:vAlign w:val="bottom"/>
          </w:tcPr>
          <w:p>
            <w:pPr>
              <w:ind w:left="160"/>
              <w:spacing w:after="0"/>
              <w:rPr>
                <w:sz w:val="20"/>
                <w:szCs w:val="20"/>
                <w:color w:val="auto"/>
              </w:rPr>
            </w:pPr>
            <w:r>
              <w:rPr>
                <w:rFonts w:ascii="Arial" w:cs="Arial" w:eastAsia="Arial" w:hAnsi="Arial"/>
                <w:sz w:val="17"/>
                <w:szCs w:val="17"/>
                <w:color w:val="auto"/>
              </w:rPr>
              <w:t>Prior service cost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(91)</w:t>
            </w: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(91)</w:t>
            </w:r>
          </w:p>
        </w:tc>
        <w:tc>
          <w:tcPr>
            <w:tcW w:w="4440" w:type="dxa"/>
            <w:vAlign w:val="bottom"/>
          </w:tcPr>
          <w:p>
            <w:pPr>
              <w:spacing w:after="0"/>
              <w:rPr>
                <w:sz w:val="20"/>
                <w:szCs w:val="20"/>
                <w:color w:val="auto"/>
              </w:rPr>
            </w:pPr>
            <w:r>
              <w:rPr>
                <w:rFonts w:ascii="Arial" w:cs="Arial" w:eastAsia="Arial" w:hAnsi="Arial"/>
                <w:sz w:val="17"/>
                <w:szCs w:val="17"/>
                <w:color w:val="auto"/>
              </w:rPr>
              <w:t>Salaries and employee benefits expense</w:t>
            </w:r>
          </w:p>
        </w:tc>
      </w:tr>
      <w:tr>
        <w:trPr>
          <w:trHeight w:val="205"/>
        </w:trPr>
        <w:tc>
          <w:tcPr>
            <w:tcW w:w="4240" w:type="dxa"/>
            <w:vAlign w:val="bottom"/>
            <w:shd w:val="clear" w:color="auto" w:fill="F0FFFF"/>
          </w:tcPr>
          <w:p>
            <w:pPr>
              <w:ind w:left="160"/>
              <w:spacing w:after="0"/>
              <w:rPr>
                <w:sz w:val="20"/>
                <w:szCs w:val="20"/>
                <w:color w:val="auto"/>
              </w:rPr>
            </w:pPr>
            <w:r>
              <w:rPr>
                <w:rFonts w:ascii="Arial" w:cs="Arial" w:eastAsia="Arial" w:hAnsi="Arial"/>
                <w:sz w:val="17"/>
                <w:szCs w:val="17"/>
                <w:color w:val="auto"/>
              </w:rPr>
              <w:t>Actuarial losses</w:t>
            </w: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(68)</w:t>
            </w: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7"/>
                <w:szCs w:val="17"/>
                <w:color w:val="auto"/>
              </w:rPr>
              <w:t>Salaries and employee benefits expense</w:t>
            </w:r>
          </w:p>
        </w:tc>
      </w:tr>
      <w:tr>
        <w:trPr>
          <w:trHeight w:val="26"/>
        </w:trPr>
        <w:tc>
          <w:tcPr>
            <w:tcW w:w="42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4440" w:type="dxa"/>
            <w:vAlign w:val="bottom"/>
            <w:shd w:val="clear" w:color="auto" w:fill="F0FFFF"/>
          </w:tcPr>
          <w:p>
            <w:pPr>
              <w:spacing w:after="0"/>
              <w:rPr>
                <w:sz w:val="2"/>
                <w:szCs w:val="2"/>
                <w:color w:val="auto"/>
              </w:rPr>
            </w:pPr>
          </w:p>
        </w:tc>
      </w:tr>
      <w:tr>
        <w:trPr>
          <w:trHeight w:val="205"/>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(159)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(91)</w:t>
            </w:r>
          </w:p>
        </w:tc>
        <w:tc>
          <w:tcPr>
            <w:tcW w:w="4440" w:type="dxa"/>
            <w:vAlign w:val="bottom"/>
          </w:tcPr>
          <w:p>
            <w:pPr>
              <w:spacing w:after="0"/>
              <w:rPr>
                <w:sz w:val="20"/>
                <w:szCs w:val="20"/>
                <w:color w:val="auto"/>
              </w:rPr>
            </w:pPr>
            <w:r>
              <w:rPr>
                <w:rFonts w:ascii="Arial" w:cs="Arial" w:eastAsia="Arial" w:hAnsi="Arial"/>
                <w:sz w:val="17"/>
                <w:szCs w:val="17"/>
                <w:color w:val="auto"/>
              </w:rPr>
              <w:t>Total before tax</w:t>
            </w:r>
          </w:p>
        </w:tc>
      </w:tr>
      <w:tr>
        <w:trPr>
          <w:trHeight w:val="211"/>
        </w:trPr>
        <w:tc>
          <w:tcPr>
            <w:tcW w:w="4240" w:type="dxa"/>
            <w:vAlign w:val="bottom"/>
            <w:tcBorders>
              <w:bottom w:val="single" w:sz="8" w:color="F0FFFF"/>
            </w:tcBorders>
            <w:shd w:val="clear" w:color="auto" w:fill="F0FFFF"/>
          </w:tcPr>
          <w:p>
            <w:pPr>
              <w:spacing w:after="0"/>
              <w:rPr>
                <w:sz w:val="18"/>
                <w:szCs w:val="18"/>
                <w:color w:val="auto"/>
              </w:rPr>
            </w:pPr>
          </w:p>
        </w:tc>
        <w:tc>
          <w:tcPr>
            <w:tcW w:w="100" w:type="dxa"/>
            <w:vAlign w:val="bottom"/>
            <w:tcBorders>
              <w:bottom w:val="single" w:sz="8" w:color="F0FFFF"/>
            </w:tcBorders>
            <w:shd w:val="clear" w:color="auto" w:fill="F0FFFF"/>
          </w:tcPr>
          <w:p>
            <w:pPr>
              <w:spacing w:after="0"/>
              <w:rPr>
                <w:sz w:val="18"/>
                <w:szCs w:val="18"/>
                <w:color w:val="auto"/>
              </w:rPr>
            </w:pPr>
          </w:p>
        </w:tc>
        <w:tc>
          <w:tcPr>
            <w:tcW w:w="140" w:type="dxa"/>
            <w:vAlign w:val="bottom"/>
            <w:tcBorders>
              <w:bottom w:val="single" w:sz="8" w:color="auto"/>
            </w:tcBorders>
            <w:shd w:val="clear" w:color="auto" w:fill="F0FFFF"/>
          </w:tcPr>
          <w:p>
            <w:pPr>
              <w:spacing w:after="0"/>
              <w:rPr>
                <w:sz w:val="18"/>
                <w:szCs w:val="18"/>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62</w:t>
            </w:r>
          </w:p>
        </w:tc>
        <w:tc>
          <w:tcPr>
            <w:tcW w:w="140" w:type="dxa"/>
            <w:vAlign w:val="bottom"/>
            <w:tcBorders>
              <w:bottom w:val="single" w:sz="8" w:color="F0FFFF"/>
            </w:tcBorders>
            <w:shd w:val="clear" w:color="auto" w:fill="F0FFFF"/>
          </w:tcPr>
          <w:p>
            <w:pPr>
              <w:spacing w:after="0"/>
              <w:rPr>
                <w:sz w:val="18"/>
                <w:szCs w:val="18"/>
                <w:color w:val="auto"/>
              </w:rPr>
            </w:pPr>
          </w:p>
        </w:tc>
        <w:tc>
          <w:tcPr>
            <w:tcW w:w="100" w:type="dxa"/>
            <w:vAlign w:val="bottom"/>
            <w:tcBorders>
              <w:bottom w:val="single" w:sz="8" w:color="F0FFFF"/>
            </w:tcBorders>
            <w:shd w:val="clear" w:color="auto" w:fill="F0FFFF"/>
          </w:tcPr>
          <w:p>
            <w:pPr>
              <w:spacing w:after="0"/>
              <w:rPr>
                <w:sz w:val="18"/>
                <w:szCs w:val="18"/>
                <w:color w:val="auto"/>
              </w:rPr>
            </w:pPr>
          </w:p>
        </w:tc>
        <w:tc>
          <w:tcPr>
            <w:tcW w:w="320" w:type="dxa"/>
            <w:vAlign w:val="bottom"/>
            <w:tcBorders>
              <w:bottom w:val="single" w:sz="8" w:color="auto"/>
            </w:tcBorders>
            <w:shd w:val="clear" w:color="auto" w:fill="F0FFFF"/>
          </w:tcPr>
          <w:p>
            <w:pPr>
              <w:spacing w:after="0"/>
              <w:rPr>
                <w:sz w:val="18"/>
                <w:szCs w:val="18"/>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35</w:t>
            </w:r>
          </w:p>
        </w:tc>
        <w:tc>
          <w:tcPr>
            <w:tcW w:w="100" w:type="dxa"/>
            <w:vAlign w:val="bottom"/>
            <w:tcBorders>
              <w:bottom w:val="single" w:sz="8" w:color="F0FFFF"/>
            </w:tcBorders>
            <w:shd w:val="clear" w:color="auto" w:fill="F0FFFF"/>
          </w:tcPr>
          <w:p>
            <w:pPr>
              <w:spacing w:after="0"/>
              <w:rPr>
                <w:sz w:val="18"/>
                <w:szCs w:val="18"/>
                <w:color w:val="auto"/>
              </w:rPr>
            </w:pPr>
          </w:p>
        </w:tc>
        <w:tc>
          <w:tcPr>
            <w:tcW w:w="44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7"/>
                <w:szCs w:val="17"/>
                <w:color w:val="auto"/>
              </w:rPr>
              <w:t>Tax benefit</w:t>
            </w:r>
          </w:p>
        </w:tc>
      </w:tr>
      <w:tr>
        <w:trPr>
          <w:trHeight w:val="205"/>
        </w:trPr>
        <w:tc>
          <w:tcPr>
            <w:tcW w:w="42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(97)</w:t>
            </w: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(56)</w:t>
            </w:r>
          </w:p>
        </w:tc>
        <w:tc>
          <w:tcPr>
            <w:tcW w:w="4440" w:type="dxa"/>
            <w:vAlign w:val="bottom"/>
          </w:tcPr>
          <w:p>
            <w:pPr>
              <w:spacing w:after="0"/>
              <w:rPr>
                <w:sz w:val="20"/>
                <w:szCs w:val="20"/>
                <w:color w:val="auto"/>
              </w:rPr>
            </w:pPr>
            <w:r>
              <w:rPr>
                <w:rFonts w:ascii="Arial" w:cs="Arial" w:eastAsia="Arial" w:hAnsi="Arial"/>
                <w:sz w:val="17"/>
                <w:szCs w:val="17"/>
                <w:color w:val="auto"/>
              </w:rPr>
              <w:t>Net of tax</w:t>
            </w: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236"/>
        </w:trPr>
        <w:tc>
          <w:tcPr>
            <w:tcW w:w="4240" w:type="dxa"/>
            <w:vAlign w:val="bottom"/>
            <w:shd w:val="clear" w:color="auto" w:fill="F0FFFF"/>
          </w:tcPr>
          <w:p>
            <w:pPr>
              <w:spacing w:after="0"/>
              <w:rPr>
                <w:sz w:val="20"/>
                <w:szCs w:val="20"/>
                <w:color w:val="auto"/>
              </w:rPr>
            </w:pPr>
            <w:r>
              <w:rPr>
                <w:rFonts w:ascii="Arial" w:cs="Arial" w:eastAsia="Arial" w:hAnsi="Arial"/>
                <w:sz w:val="17"/>
                <w:szCs w:val="17"/>
                <w:color w:val="auto"/>
              </w:rPr>
              <w:t>Total reclassifications for the period</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282</w:t>
            </w:r>
          </w:p>
        </w:tc>
        <w:tc>
          <w:tcPr>
            <w:tcW w:w="42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(197)</w:t>
            </w:r>
          </w:p>
        </w:tc>
        <w:tc>
          <w:tcPr>
            <w:tcW w:w="4440" w:type="dxa"/>
            <w:vAlign w:val="bottom"/>
            <w:shd w:val="clear" w:color="auto" w:fill="F0FFFF"/>
          </w:tcPr>
          <w:p>
            <w:pPr>
              <w:spacing w:after="0"/>
              <w:rPr>
                <w:sz w:val="20"/>
                <w:szCs w:val="20"/>
                <w:color w:val="auto"/>
              </w:rPr>
            </w:pPr>
            <w:r>
              <w:rPr>
                <w:rFonts w:ascii="Arial" w:cs="Arial" w:eastAsia="Arial" w:hAnsi="Arial"/>
                <w:sz w:val="17"/>
                <w:szCs w:val="17"/>
                <w:color w:val="auto"/>
              </w:rPr>
              <w:t>Net of tax</w:t>
            </w:r>
          </w:p>
        </w:tc>
      </w:tr>
      <w:tr>
        <w:trPr>
          <w:trHeight w:val="208"/>
        </w:trPr>
        <w:tc>
          <w:tcPr>
            <w:tcW w:w="4240" w:type="dxa"/>
            <w:vAlign w:val="bottom"/>
            <w:tcBorders>
              <w:top w:val="single" w:sz="8" w:color="F0FFFF"/>
            </w:tcBorders>
          </w:tcPr>
          <w:p>
            <w:pPr>
              <w:spacing w:after="0"/>
              <w:rPr>
                <w:sz w:val="20"/>
                <w:szCs w:val="20"/>
                <w:color w:val="auto"/>
              </w:rPr>
            </w:pPr>
            <w:r>
              <w:rPr>
                <w:rFonts w:ascii="Arial" w:cs="Arial" w:eastAsia="Arial" w:hAnsi="Arial"/>
                <w:sz w:val="17"/>
                <w:szCs w:val="17"/>
                <w:color w:val="auto"/>
              </w:rPr>
              <w:t>Amounts shown above in parentheses reduce earnings</w:t>
            </w:r>
          </w:p>
        </w:tc>
        <w:tc>
          <w:tcPr>
            <w:tcW w:w="10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4440" w:type="dxa"/>
            <w:vAlign w:val="bottom"/>
            <w:tcBorders>
              <w:top w:val="single" w:sz="8" w:color="F0FFFF"/>
            </w:tcBorders>
          </w:tcPr>
          <w:p>
            <w:pPr>
              <w:spacing w:after="0"/>
              <w:rPr>
                <w:sz w:val="18"/>
                <w:szCs w:val="18"/>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Earnings Per Share</w:t>
      </w:r>
    </w:p>
    <w:p>
      <w:pPr>
        <w:spacing w:after="0" w:line="24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United is required to report on the face of the consolidated statement of income, earnings per common share with and without the dilutive effects of potential common stock issuances from instruments such as options, convertible securities and warrants. Basic earnings per common share is based on the weighted average number of common shares outstanding during the period while the effects of potential common shares outstanding during the period are included in diluted earnings per common share.</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During the three months ended March 31, 2015 and 2014, United accrued dividends on preferred stock, including accretion of discounts, as shown in the following table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2200" w:type="dxa"/>
            <w:vAlign w:val="bottom"/>
            <w:gridSpan w:val="4"/>
          </w:tcPr>
          <w:p>
            <w:pPr>
              <w:jc w:val="right"/>
              <w:ind w:right="82"/>
              <w:spacing w:after="0"/>
              <w:rPr>
                <w:sz w:val="20"/>
                <w:szCs w:val="20"/>
                <w:color w:val="auto"/>
              </w:rPr>
            </w:pPr>
            <w:r>
              <w:rPr>
                <w:rFonts w:ascii="Arial" w:cs="Arial" w:eastAsia="Arial" w:hAnsi="Arial"/>
                <w:sz w:val="17"/>
                <w:szCs w:val="17"/>
                <w:b w:val="1"/>
                <w:bCs w:val="1"/>
                <w:color w:val="auto"/>
              </w:rPr>
              <w:t>Three Months Ended</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7"/>
                <w:szCs w:val="17"/>
                <w:b w:val="1"/>
                <w:bCs w:val="1"/>
                <w:color w:val="auto"/>
              </w:rPr>
              <w:t>March 31,</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2015</w:t>
            </w:r>
          </w:p>
        </w:tc>
        <w:tc>
          <w:tcPr>
            <w:tcW w:w="3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b w:val="1"/>
                <w:bCs w:val="1"/>
                <w:color w:val="auto"/>
              </w:rPr>
              <w:t>2014</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7600" w:type="dxa"/>
            <w:vAlign w:val="bottom"/>
            <w:shd w:val="clear" w:color="auto" w:fill="F0FFFF"/>
          </w:tcPr>
          <w:p>
            <w:pPr>
              <w:spacing w:after="0"/>
              <w:rPr>
                <w:sz w:val="20"/>
                <w:szCs w:val="20"/>
                <w:color w:val="auto"/>
              </w:rPr>
            </w:pPr>
            <w:r>
              <w:rPr>
                <w:rFonts w:ascii="Arial" w:cs="Arial" w:eastAsia="Arial" w:hAnsi="Arial"/>
                <w:sz w:val="17"/>
                <w:szCs w:val="17"/>
                <w:color w:val="auto"/>
              </w:rPr>
              <w:t>Series B - 5% fixed until December 6, 2013, 9% thereafter</w:t>
            </w:r>
          </w:p>
        </w:tc>
        <w:tc>
          <w:tcPr>
            <w:tcW w:w="820" w:type="dxa"/>
            <w:vAlign w:val="bottom"/>
            <w:shd w:val="clear" w:color="auto" w:fill="F0FFFF"/>
          </w:tcPr>
          <w:p>
            <w:pPr>
              <w:jc w:val="right"/>
              <w:ind w:right="635"/>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w:t>
            </w:r>
          </w:p>
        </w:tc>
        <w:tc>
          <w:tcPr>
            <w:tcW w:w="820" w:type="dxa"/>
            <w:vAlign w:val="bottom"/>
            <w:shd w:val="clear" w:color="auto" w:fill="F0FFFF"/>
          </w:tcPr>
          <w:p>
            <w:pPr>
              <w:jc w:val="right"/>
              <w:ind w:right="662"/>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159</w:t>
            </w:r>
          </w:p>
        </w:tc>
      </w:tr>
      <w:tr>
        <w:trPr>
          <w:trHeight w:val="205"/>
        </w:trPr>
        <w:tc>
          <w:tcPr>
            <w:tcW w:w="20" w:type="dxa"/>
            <w:vAlign w:val="bottom"/>
          </w:tcPr>
          <w:p>
            <w:pPr>
              <w:spacing w:after="0"/>
              <w:rPr>
                <w:sz w:val="17"/>
                <w:szCs w:val="17"/>
                <w:color w:val="auto"/>
              </w:rPr>
            </w:pPr>
          </w:p>
        </w:tc>
        <w:tc>
          <w:tcPr>
            <w:tcW w:w="7600" w:type="dxa"/>
            <w:vAlign w:val="bottom"/>
          </w:tcPr>
          <w:p>
            <w:pPr>
              <w:spacing w:after="0"/>
              <w:rPr>
                <w:sz w:val="20"/>
                <w:szCs w:val="20"/>
                <w:color w:val="auto"/>
              </w:rPr>
            </w:pPr>
            <w:r>
              <w:rPr>
                <w:rFonts w:ascii="Arial" w:cs="Arial" w:eastAsia="Arial" w:hAnsi="Arial"/>
                <w:sz w:val="17"/>
                <w:szCs w:val="17"/>
                <w:color w:val="auto"/>
              </w:rPr>
              <w:t>Series D - LIBOR plus 9.6875%, resets quarterly</w:t>
            </w:r>
          </w:p>
        </w:tc>
        <w:tc>
          <w:tcPr>
            <w:tcW w:w="820" w:type="dxa"/>
            <w:vAlign w:val="bottom"/>
          </w:tcPr>
          <w:p>
            <w:pPr>
              <w:spacing w:after="0"/>
              <w:rPr>
                <w:sz w:val="17"/>
                <w:szCs w:val="17"/>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7"/>
                <w:szCs w:val="17"/>
                <w:color w:val="auto"/>
              </w:rPr>
              <w:t>280</w:t>
            </w:r>
          </w:p>
        </w:tc>
      </w:tr>
      <w:tr>
        <w:trPr>
          <w:trHeight w:val="26"/>
        </w:trPr>
        <w:tc>
          <w:tcPr>
            <w:tcW w:w="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20" w:type="dxa"/>
            <w:vAlign w:val="bottom"/>
          </w:tcPr>
          <w:p>
            <w:pPr>
              <w:spacing w:after="0"/>
              <w:rPr>
                <w:sz w:val="19"/>
                <w:szCs w:val="19"/>
                <w:color w:val="auto"/>
              </w:rPr>
            </w:pPr>
          </w:p>
        </w:tc>
        <w:tc>
          <w:tcPr>
            <w:tcW w:w="7600" w:type="dxa"/>
            <w:vAlign w:val="bottom"/>
            <w:shd w:val="clear" w:color="auto" w:fill="F0FFFF"/>
          </w:tcPr>
          <w:p>
            <w:pPr>
              <w:ind w:left="280"/>
              <w:spacing w:after="0"/>
              <w:rPr>
                <w:sz w:val="20"/>
                <w:szCs w:val="20"/>
                <w:color w:val="auto"/>
              </w:rPr>
            </w:pPr>
            <w:r>
              <w:rPr>
                <w:rFonts w:ascii="Arial" w:cs="Arial" w:eastAsia="Arial" w:hAnsi="Arial"/>
                <w:sz w:val="17"/>
                <w:szCs w:val="17"/>
                <w:color w:val="auto"/>
              </w:rPr>
              <w:t>Total preferred stock dividends</w:t>
            </w:r>
          </w:p>
        </w:tc>
        <w:tc>
          <w:tcPr>
            <w:tcW w:w="820" w:type="dxa"/>
            <w:vAlign w:val="bottom"/>
            <w:shd w:val="clear" w:color="auto" w:fill="F0FFFF"/>
          </w:tcPr>
          <w:p>
            <w:pPr>
              <w:jc w:val="right"/>
              <w:ind w:right="635"/>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w:t>
            </w:r>
          </w:p>
        </w:tc>
        <w:tc>
          <w:tcPr>
            <w:tcW w:w="820" w:type="dxa"/>
            <w:vAlign w:val="bottom"/>
            <w:shd w:val="clear" w:color="auto" w:fill="F0FFFF"/>
          </w:tcPr>
          <w:p>
            <w:pPr>
              <w:jc w:val="right"/>
              <w:ind w:right="662"/>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439</w:t>
            </w:r>
          </w:p>
        </w:tc>
      </w:tr>
      <w:tr>
        <w:trPr>
          <w:trHeight w:val="20"/>
        </w:trPr>
        <w:tc>
          <w:tcPr>
            <w:tcW w:w="20" w:type="dxa"/>
            <w:vAlign w:val="bottom"/>
          </w:tcPr>
          <w:p>
            <w:pPr>
              <w:spacing w:after="0" w:line="20" w:lineRule="exact"/>
              <w:rPr>
                <w:sz w:val="1"/>
                <w:szCs w:val="1"/>
                <w:color w:val="auto"/>
              </w:rPr>
            </w:pPr>
          </w:p>
        </w:tc>
        <w:tc>
          <w:tcPr>
            <w:tcW w:w="7600" w:type="dxa"/>
            <w:vAlign w:val="bottom"/>
            <w:tcBorders>
              <w:top w:val="single" w:sz="8" w:color="F0FFFF"/>
            </w:tcBorders>
            <w:shd w:val="clear" w:color="auto" w:fill="F0FF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r>
    </w:tbl>
    <w:p>
      <w:pPr>
        <w:spacing w:after="0" w:line="19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All preferred stock dividends are payable quarterly.</w:t>
      </w:r>
    </w:p>
    <w:p>
      <w:pPr>
        <w:spacing w:after="0" w:line="21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Series B preferred stock was issued at a discount. Dividend amounts shown include discount accretion for each period.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7"/>
          <w:szCs w:val="17"/>
          <w:b w:val="1"/>
          <w:bCs w:val="1"/>
          <w:color w:val="auto"/>
        </w:rPr>
        <w:t>UNITED COMMUNITY BANKS,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preferred stock dividends were subtracted from net income in order to arrive at net income available to common shareholders. All of United’s preferred stock was redeemed during the first quarter of 2014.</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The following table sets forth the computation of basic and diluted earnings per share for the three months ended March 31, 2015 and 2014 </w:t>
      </w:r>
      <w:r>
        <w:rPr>
          <w:rFonts w:ascii="Arial" w:cs="Arial" w:eastAsia="Arial" w:hAnsi="Arial"/>
          <w:sz w:val="17"/>
          <w:szCs w:val="17"/>
          <w:i w:val="1"/>
          <w:iCs w:val="1"/>
          <w:color w:val="auto"/>
        </w:rPr>
        <w:t>(in thousands, except per</w:t>
      </w:r>
      <w:r>
        <w:rPr>
          <w:rFonts w:ascii="Arial" w:cs="Arial" w:eastAsia="Arial" w:hAnsi="Arial"/>
          <w:sz w:val="17"/>
          <w:szCs w:val="17"/>
          <w:color w:val="auto"/>
        </w:rPr>
        <w:t xml:space="preserve"> </w:t>
      </w:r>
      <w:r>
        <w:rPr>
          <w:rFonts w:ascii="Arial" w:cs="Arial" w:eastAsia="Arial" w:hAnsi="Arial"/>
          <w:sz w:val="17"/>
          <w:szCs w:val="17"/>
          <w:i w:val="1"/>
          <w:iCs w:val="1"/>
          <w:color w:val="auto"/>
        </w:rPr>
        <w:t>share data)</w:t>
      </w:r>
      <w:r>
        <w:rPr>
          <w:rFonts w:ascii="Arial" w:cs="Arial" w:eastAsia="Arial" w:hAnsi="Arial"/>
          <w:sz w:val="17"/>
          <w:szCs w:val="17"/>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5"/>
          </w:tcPr>
          <w:p>
            <w:pPr>
              <w:jc w:val="right"/>
              <w:ind w:right="580"/>
              <w:spacing w:after="0"/>
              <w:rPr>
                <w:sz w:val="20"/>
                <w:szCs w:val="20"/>
                <w:color w:val="auto"/>
              </w:rPr>
            </w:pPr>
            <w:r>
              <w:rPr>
                <w:rFonts w:ascii="Arial" w:cs="Arial" w:eastAsia="Arial" w:hAnsi="Arial"/>
                <w:sz w:val="17"/>
                <w:szCs w:val="17"/>
                <w:b w:val="1"/>
                <w:bCs w:val="1"/>
                <w:color w:val="auto"/>
              </w:rPr>
              <w:t>Three Months Ended</w:t>
            </w:r>
          </w:p>
        </w:tc>
      </w:tr>
      <w:tr>
        <w:trPr>
          <w:trHeight w:val="227"/>
        </w:trPr>
        <w:tc>
          <w:tcPr>
            <w:tcW w:w="8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b w:val="1"/>
                <w:bCs w:val="1"/>
                <w:color w:val="auto"/>
              </w:rPr>
              <w:t>March 31,</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8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2015</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8"/>
                <w:szCs w:val="18"/>
                <w:color w:val="auto"/>
              </w:rPr>
            </w:pPr>
          </w:p>
        </w:tc>
      </w:tr>
      <w:tr>
        <w:trPr>
          <w:trHeight w:val="205"/>
        </w:trPr>
        <w:tc>
          <w:tcPr>
            <w:tcW w:w="8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5"/>
        </w:trPr>
        <w:tc>
          <w:tcPr>
            <w:tcW w:w="8820" w:type="dxa"/>
            <w:vAlign w:val="bottom"/>
            <w:shd w:val="clear" w:color="auto" w:fill="F0FFFF"/>
          </w:tcPr>
          <w:p>
            <w:pPr>
              <w:spacing w:after="0"/>
              <w:rPr>
                <w:sz w:val="20"/>
                <w:szCs w:val="20"/>
                <w:color w:val="auto"/>
              </w:rPr>
            </w:pPr>
            <w:r>
              <w:rPr>
                <w:rFonts w:ascii="Arial" w:cs="Arial" w:eastAsia="Arial" w:hAnsi="Arial"/>
                <w:sz w:val="17"/>
                <w:szCs w:val="17"/>
                <w:color w:val="auto"/>
              </w:rPr>
              <w:t>Net income available to common shareholders</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17,670</w:t>
            </w:r>
          </w:p>
        </w:tc>
        <w:tc>
          <w:tcPr>
            <w:tcW w:w="5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14,961</w:t>
            </w:r>
          </w:p>
        </w:tc>
      </w:tr>
      <w:tr>
        <w:trPr>
          <w:trHeight w:val="196"/>
        </w:trPr>
        <w:tc>
          <w:tcPr>
            <w:tcW w:w="8820" w:type="dxa"/>
            <w:vAlign w:val="bottom"/>
            <w:tcBorders>
              <w:top w:val="single" w:sz="8" w:color="F0FF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F0FF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r>
      <w:tr>
        <w:trPr>
          <w:trHeight w:val="205"/>
        </w:trPr>
        <w:tc>
          <w:tcPr>
            <w:tcW w:w="8820" w:type="dxa"/>
            <w:vAlign w:val="bottom"/>
            <w:shd w:val="clear" w:color="auto" w:fill="F0FFFF"/>
          </w:tcPr>
          <w:p>
            <w:pPr>
              <w:spacing w:after="0"/>
              <w:rPr>
                <w:sz w:val="20"/>
                <w:szCs w:val="20"/>
                <w:color w:val="auto"/>
              </w:rPr>
            </w:pPr>
            <w:r>
              <w:rPr>
                <w:rFonts w:ascii="Arial" w:cs="Arial" w:eastAsia="Arial" w:hAnsi="Arial"/>
                <w:sz w:val="17"/>
                <w:szCs w:val="17"/>
                <w:b w:val="1"/>
                <w:bCs w:val="1"/>
                <w:color w:val="auto"/>
              </w:rPr>
              <w:t>Weighted average shares outstanding:</w:t>
            </w:r>
          </w:p>
        </w:tc>
        <w:tc>
          <w:tcPr>
            <w:tcW w:w="2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8820" w:type="dxa"/>
            <w:vAlign w:val="bottom"/>
          </w:tcPr>
          <w:p>
            <w:pPr>
              <w:ind w:left="160"/>
              <w:spacing w:after="0"/>
              <w:rPr>
                <w:sz w:val="20"/>
                <w:szCs w:val="20"/>
                <w:color w:val="auto"/>
              </w:rPr>
            </w:pPr>
            <w:r>
              <w:rPr>
                <w:rFonts w:ascii="Arial" w:cs="Arial" w:eastAsia="Arial" w:hAnsi="Arial"/>
                <w:sz w:val="17"/>
                <w:szCs w:val="17"/>
                <w:color w:val="auto"/>
              </w:rPr>
              <w:t>Basic</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60,905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60,059</w:t>
            </w:r>
          </w:p>
        </w:tc>
      </w:tr>
      <w:tr>
        <w:trPr>
          <w:trHeight w:val="205"/>
        </w:trPr>
        <w:tc>
          <w:tcPr>
            <w:tcW w:w="8820" w:type="dxa"/>
            <w:vAlign w:val="bottom"/>
            <w:shd w:val="clear" w:color="auto" w:fill="F0FFFF"/>
          </w:tcPr>
          <w:p>
            <w:pPr>
              <w:ind w:left="160"/>
              <w:spacing w:after="0"/>
              <w:rPr>
                <w:sz w:val="20"/>
                <w:szCs w:val="20"/>
                <w:color w:val="auto"/>
              </w:rPr>
            </w:pPr>
            <w:r>
              <w:rPr>
                <w:rFonts w:ascii="Arial" w:cs="Arial" w:eastAsia="Arial" w:hAnsi="Arial"/>
                <w:sz w:val="17"/>
                <w:szCs w:val="17"/>
                <w:color w:val="auto"/>
              </w:rPr>
              <w:t>Effect of dilutive securities</w:t>
            </w:r>
          </w:p>
        </w:tc>
        <w:tc>
          <w:tcPr>
            <w:tcW w:w="2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8820" w:type="dxa"/>
            <w:vAlign w:val="bottom"/>
          </w:tcPr>
          <w:p>
            <w:pPr>
              <w:ind w:left="320"/>
              <w:spacing w:after="0"/>
              <w:rPr>
                <w:sz w:val="20"/>
                <w:szCs w:val="20"/>
                <w:color w:val="auto"/>
              </w:rPr>
            </w:pPr>
            <w:r>
              <w:rPr>
                <w:rFonts w:ascii="Arial" w:cs="Arial" w:eastAsia="Arial" w:hAnsi="Arial"/>
                <w:sz w:val="17"/>
                <w:szCs w:val="17"/>
                <w:color w:val="auto"/>
              </w:rPr>
              <w:t>Stock options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r>
      <w:tr>
        <w:trPr>
          <w:trHeight w:val="26"/>
        </w:trPr>
        <w:tc>
          <w:tcPr>
            <w:tcW w:w="8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8820" w:type="dxa"/>
            <w:vAlign w:val="bottom"/>
            <w:shd w:val="clear" w:color="auto" w:fill="F0FFFF"/>
          </w:tcPr>
          <w:p>
            <w:pPr>
              <w:ind w:left="160"/>
              <w:spacing w:after="0"/>
              <w:rPr>
                <w:sz w:val="20"/>
                <w:szCs w:val="20"/>
                <w:color w:val="auto"/>
              </w:rPr>
            </w:pPr>
            <w:r>
              <w:rPr>
                <w:rFonts w:ascii="Arial" w:cs="Arial" w:eastAsia="Arial" w:hAnsi="Arial"/>
                <w:sz w:val="17"/>
                <w:szCs w:val="17"/>
                <w:color w:val="auto"/>
              </w:rPr>
              <w:t>Diluted</w:t>
            </w:r>
          </w:p>
        </w:tc>
        <w:tc>
          <w:tcPr>
            <w:tcW w:w="240" w:type="dxa"/>
            <w:vAlign w:val="bottom"/>
            <w:shd w:val="clear" w:color="auto" w:fill="F0FFFF"/>
          </w:tcPr>
          <w:p>
            <w:pPr>
              <w:spacing w:after="0"/>
              <w:rPr>
                <w:sz w:val="21"/>
                <w:szCs w:val="21"/>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60,909</w:t>
            </w:r>
          </w:p>
        </w:tc>
        <w:tc>
          <w:tcPr>
            <w:tcW w:w="24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60,061</w:t>
            </w:r>
          </w:p>
        </w:tc>
      </w:tr>
      <w:tr>
        <w:trPr>
          <w:trHeight w:val="196"/>
        </w:trPr>
        <w:tc>
          <w:tcPr>
            <w:tcW w:w="8820" w:type="dxa"/>
            <w:vAlign w:val="bottom"/>
            <w:tcBorders>
              <w:top w:val="single" w:sz="8" w:color="F0FFFF"/>
            </w:tcBorders>
          </w:tcPr>
          <w:p>
            <w:pPr>
              <w:spacing w:after="0"/>
              <w:rPr>
                <w:sz w:val="20"/>
                <w:szCs w:val="20"/>
                <w:color w:val="auto"/>
              </w:rPr>
            </w:pPr>
            <w:r>
              <w:rPr>
                <w:rFonts w:ascii="Arial" w:cs="Arial" w:eastAsia="Arial" w:hAnsi="Arial"/>
                <w:sz w:val="17"/>
                <w:szCs w:val="17"/>
                <w:b w:val="1"/>
                <w:bCs w:val="1"/>
                <w:color w:val="auto"/>
              </w:rPr>
              <w:t>Net income per common share:</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F0FF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r>
      <w:tr>
        <w:trPr>
          <w:trHeight w:val="225"/>
        </w:trPr>
        <w:tc>
          <w:tcPr>
            <w:tcW w:w="8820" w:type="dxa"/>
            <w:vAlign w:val="bottom"/>
            <w:shd w:val="clear" w:color="auto" w:fill="F0FFFF"/>
          </w:tcPr>
          <w:p>
            <w:pPr>
              <w:ind w:left="160"/>
              <w:spacing w:after="0"/>
              <w:rPr>
                <w:sz w:val="20"/>
                <w:szCs w:val="20"/>
                <w:color w:val="auto"/>
              </w:rPr>
            </w:pPr>
            <w:r>
              <w:rPr>
                <w:rFonts w:ascii="Arial" w:cs="Arial" w:eastAsia="Arial" w:hAnsi="Arial"/>
                <w:sz w:val="17"/>
                <w:szCs w:val="17"/>
                <w:color w:val="auto"/>
              </w:rPr>
              <w:t>Basic</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.29</w:t>
            </w:r>
          </w:p>
        </w:tc>
        <w:tc>
          <w:tcPr>
            <w:tcW w:w="5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.25</w:t>
            </w:r>
          </w:p>
        </w:tc>
      </w:tr>
      <w:tr>
        <w:trPr>
          <w:trHeight w:val="20"/>
        </w:trPr>
        <w:tc>
          <w:tcPr>
            <w:tcW w:w="88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r>
      <w:tr>
        <w:trPr>
          <w:trHeight w:val="196"/>
        </w:trPr>
        <w:tc>
          <w:tcPr>
            <w:tcW w:w="8820" w:type="dxa"/>
            <w:vAlign w:val="bottom"/>
          </w:tcPr>
          <w:p>
            <w:pPr>
              <w:ind w:left="160"/>
              <w:spacing w:after="0"/>
              <w:rPr>
                <w:sz w:val="20"/>
                <w:szCs w:val="20"/>
                <w:color w:val="auto"/>
              </w:rPr>
            </w:pPr>
            <w:r>
              <w:rPr>
                <w:rFonts w:ascii="Arial" w:cs="Arial" w:eastAsia="Arial" w:hAnsi="Arial"/>
                <w:sz w:val="17"/>
                <w:szCs w:val="17"/>
                <w:color w:val="auto"/>
              </w:rPr>
              <w:t>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.29</w:t>
            </w:r>
          </w:p>
        </w:tc>
        <w:tc>
          <w:tcPr>
            <w:tcW w:w="5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.25</w:t>
            </w:r>
          </w:p>
        </w:tc>
      </w:tr>
      <w:tr>
        <w:trPr>
          <w:trHeight w:val="20"/>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At March 31, 2015, United had the following potentially dilutive stock options and warrants outstanding: a warrant to purchase 219,909 shares of common stock at $61.40 per share; 301,344 shares of common stock issuable upon exercise of stock options granted to employees with a weighted average exercise price of $93.01; and 773,304 shares of common stock issuable upon completion of vesting of restricted stock unit awards.</w:t>
      </w:r>
    </w:p>
    <w:p>
      <w:pPr>
        <w:spacing w:after="0" w:line="20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At March 31, 2014, United had the following potentially dilutive stock options and warrants outstanding: a warrant to purchase 219,909 common shares at $61.40 per share originally issued to the U.S. Treasury; 348,860 common shares issuable upon exercise of stock options granted to employees with a weighted average exercise price of $98.02; 1.10 million shares issuable upon completion of vesting of restricted stock unit awards; and warrants to purchase common stock equivalent junior preferred stock that would be convertible into 1,411,765 common shares exercisable at $21.25 per share granted to Fletcher International Ltd. (“Fletcher”) in connection with a 2010 asset purchase and sale agreement. United repurchased the warrant from Fletcher in the fourth quarter of 2014.</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Derivatives and Hedging Activities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 Management Objective of Using Derivatives</w:t>
      </w:r>
    </w:p>
    <w:p>
      <w:pPr>
        <w:spacing w:after="0" w:line="24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wholesale funding and through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by interest rates. United’s derivative financial instruments are used to manage differences in the amount, timing, and duration of United’s known or expected cash receipts and its known or expected cash payments principally related to United’s loans, investment securities, wholesale borrowings and deposits.</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conjunction with the FASB’s fair value measurement guidance, United made an accounting policy election to measure the credit risk of its derivative financial instruments that are subject to master netting agreements on a gross basis.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7"/>
          <w:szCs w:val="17"/>
          <w:b w:val="1"/>
          <w:bCs w:val="1"/>
          <w:color w:val="auto"/>
        </w:rPr>
        <w:t>UNITED COMMUNITY BANKS,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The table below presents the fair value of United’s derivative financial instruments as well as their classification on the consolidated balance sheet as of March 31, 2015, December 31, 2014 and March 31, 2014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20"/>
                <w:szCs w:val="20"/>
                <w:color w:val="auto"/>
              </w:rPr>
            </w:pPr>
            <w:r>
              <w:rPr>
                <w:rFonts w:ascii="Arial" w:cs="Arial" w:eastAsia="Arial" w:hAnsi="Arial"/>
                <w:sz w:val="17"/>
                <w:szCs w:val="17"/>
                <w:b w:val="1"/>
                <w:bCs w:val="1"/>
                <w:i w:val="1"/>
                <w:iCs w:val="1"/>
                <w:color w:val="auto"/>
                <w:w w:val="96"/>
              </w:rPr>
              <w:t>Derivatives designated as hedging instruments under ASC 815</w:t>
            </w: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3"/>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7"/>
                <w:szCs w:val="17"/>
                <w:b w:val="1"/>
                <w:bCs w:val="1"/>
                <w:color w:val="auto"/>
                <w:w w:val="95"/>
              </w:rPr>
              <w:t>Fair Value</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2"/>
          </w:tcPr>
          <w:p>
            <w:pPr>
              <w:jc w:val="center"/>
              <w:ind w:right="120"/>
              <w:spacing w:after="0" w:line="189" w:lineRule="exact"/>
              <w:rPr>
                <w:sz w:val="20"/>
                <w:szCs w:val="20"/>
                <w:color w:val="auto"/>
              </w:rPr>
            </w:pPr>
            <w:r>
              <w:rPr>
                <w:rFonts w:ascii="Arial" w:cs="Arial" w:eastAsia="Arial" w:hAnsi="Arial"/>
                <w:sz w:val="17"/>
                <w:szCs w:val="17"/>
                <w:b w:val="1"/>
                <w:bCs w:val="1"/>
                <w:color w:val="auto"/>
                <w:w w:val="87"/>
              </w:rPr>
              <w:t>Balance Sheet</w:t>
            </w:r>
          </w:p>
        </w:tc>
        <w:tc>
          <w:tcPr>
            <w:tcW w:w="140" w:type="dxa"/>
            <w:vAlign w:val="bottom"/>
          </w:tcPr>
          <w:p>
            <w:pPr>
              <w:spacing w:after="0"/>
              <w:rPr>
                <w:sz w:val="16"/>
                <w:szCs w:val="16"/>
                <w:color w:val="auto"/>
              </w:rPr>
            </w:pPr>
          </w:p>
        </w:tc>
        <w:tc>
          <w:tcPr>
            <w:tcW w:w="1240" w:type="dxa"/>
            <w:vAlign w:val="bottom"/>
            <w:gridSpan w:val="2"/>
          </w:tcPr>
          <w:p>
            <w:pPr>
              <w:jc w:val="center"/>
              <w:ind w:right="380"/>
              <w:spacing w:after="0" w:line="189" w:lineRule="exact"/>
              <w:rPr>
                <w:sz w:val="20"/>
                <w:szCs w:val="20"/>
                <w:color w:val="auto"/>
              </w:rPr>
            </w:pPr>
            <w:r>
              <w:rPr>
                <w:rFonts w:ascii="Arial" w:cs="Arial" w:eastAsia="Arial" w:hAnsi="Arial"/>
                <w:sz w:val="17"/>
                <w:szCs w:val="17"/>
                <w:b w:val="1"/>
                <w:bCs w:val="1"/>
                <w:color w:val="auto"/>
                <w:w w:val="94"/>
              </w:rPr>
              <w:t>March 31,</w:t>
            </w:r>
          </w:p>
        </w:tc>
        <w:tc>
          <w:tcPr>
            <w:tcW w:w="1260" w:type="dxa"/>
            <w:vAlign w:val="bottom"/>
            <w:gridSpan w:val="3"/>
          </w:tcPr>
          <w:p>
            <w:pPr>
              <w:ind w:left="20"/>
              <w:spacing w:after="0" w:line="189" w:lineRule="exact"/>
              <w:rPr>
                <w:sz w:val="20"/>
                <w:szCs w:val="20"/>
                <w:color w:val="auto"/>
              </w:rPr>
            </w:pPr>
            <w:r>
              <w:rPr>
                <w:rFonts w:ascii="Arial" w:cs="Arial" w:eastAsia="Arial" w:hAnsi="Arial"/>
                <w:sz w:val="17"/>
                <w:szCs w:val="17"/>
                <w:b w:val="1"/>
                <w:bCs w:val="1"/>
                <w:color w:val="auto"/>
              </w:rPr>
              <w:t>December 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w w:val="96"/>
              </w:rPr>
              <w:t>March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4920" w:type="dxa"/>
            <w:vAlign w:val="bottom"/>
            <w:tcBorders>
              <w:bottom w:val="single" w:sz="8" w:color="auto"/>
            </w:tcBorders>
          </w:tcPr>
          <w:p>
            <w:pPr>
              <w:ind w:left="1640"/>
              <w:spacing w:after="0"/>
              <w:rPr>
                <w:sz w:val="20"/>
                <w:szCs w:val="20"/>
                <w:color w:val="auto"/>
              </w:rPr>
            </w:pPr>
            <w:r>
              <w:rPr>
                <w:rFonts w:ascii="Arial" w:cs="Arial" w:eastAsia="Arial" w:hAnsi="Arial"/>
                <w:sz w:val="17"/>
                <w:szCs w:val="17"/>
                <w:b w:val="1"/>
                <w:bCs w:val="1"/>
                <w:color w:val="auto"/>
              </w:rPr>
              <w:t>Interest Rate Products</w:t>
            </w:r>
          </w:p>
        </w:tc>
        <w:tc>
          <w:tcPr>
            <w:tcW w:w="120" w:type="dxa"/>
            <w:vAlign w:val="bottom"/>
          </w:tcPr>
          <w:p>
            <w:pPr>
              <w:spacing w:after="0"/>
              <w:rPr>
                <w:sz w:val="21"/>
                <w:szCs w:val="21"/>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Location</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89"/>
              </w:rPr>
              <w:t>2015</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b w:val="1"/>
                <w:bCs w:val="1"/>
                <w:color w:val="auto"/>
                <w:w w:val="89"/>
              </w:rPr>
              <w:t>2014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89"/>
              </w:rPr>
              <w:t>2014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920" w:type="dxa"/>
            <w:vAlign w:val="bottom"/>
            <w:shd w:val="clear" w:color="auto" w:fill="F0FFFF"/>
          </w:tcPr>
          <w:p>
            <w:pPr>
              <w:spacing w:after="0"/>
              <w:rPr>
                <w:sz w:val="20"/>
                <w:szCs w:val="20"/>
                <w:color w:val="auto"/>
              </w:rPr>
            </w:pPr>
            <w:r>
              <w:rPr>
                <w:rFonts w:ascii="Arial" w:cs="Arial" w:eastAsia="Arial" w:hAnsi="Arial"/>
                <w:sz w:val="17"/>
                <w:szCs w:val="17"/>
                <w:color w:val="auto"/>
              </w:rPr>
              <w:t>Cash flow hedge of money market deposits</w:t>
            </w:r>
          </w:p>
        </w:tc>
        <w:tc>
          <w:tcPr>
            <w:tcW w:w="120" w:type="dxa"/>
            <w:vAlign w:val="bottom"/>
            <w:shd w:val="clear" w:color="auto" w:fill="F0FFFF"/>
          </w:tcPr>
          <w:p>
            <w:pPr>
              <w:spacing w:after="0"/>
              <w:rPr>
                <w:sz w:val="17"/>
                <w:szCs w:val="17"/>
                <w:color w:val="auto"/>
              </w:rPr>
            </w:pPr>
          </w:p>
        </w:tc>
        <w:tc>
          <w:tcPr>
            <w:tcW w:w="242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2,971</w:t>
            </w:r>
          </w:p>
        </w:tc>
        <w:tc>
          <w:tcPr>
            <w:tcW w:w="0" w:type="dxa"/>
            <w:vAlign w:val="bottom"/>
          </w:tcPr>
          <w:p>
            <w:pPr>
              <w:spacing w:after="0"/>
              <w:rPr>
                <w:sz w:val="1"/>
                <w:szCs w:val="1"/>
                <w:color w:val="auto"/>
              </w:rPr>
            </w:pPr>
          </w:p>
        </w:tc>
      </w:tr>
      <w:tr>
        <w:trPr>
          <w:trHeight w:val="205"/>
        </w:trPr>
        <w:tc>
          <w:tcPr>
            <w:tcW w:w="4920" w:type="dxa"/>
            <w:vAlign w:val="bottom"/>
          </w:tcPr>
          <w:p>
            <w:pPr>
              <w:spacing w:after="0"/>
              <w:rPr>
                <w:sz w:val="20"/>
                <w:szCs w:val="20"/>
                <w:color w:val="auto"/>
              </w:rPr>
            </w:pPr>
            <w:r>
              <w:rPr>
                <w:rFonts w:ascii="Arial" w:cs="Arial" w:eastAsia="Arial" w:hAnsi="Arial"/>
                <w:sz w:val="17"/>
                <w:szCs w:val="17"/>
                <w:color w:val="auto"/>
              </w:rPr>
              <w:t>Fair value hedge of brokered CD’s</w:t>
            </w:r>
          </w:p>
        </w:tc>
        <w:tc>
          <w:tcPr>
            <w:tcW w:w="120" w:type="dxa"/>
            <w:vAlign w:val="bottom"/>
          </w:tcPr>
          <w:p>
            <w:pPr>
              <w:spacing w:after="0"/>
              <w:rPr>
                <w:sz w:val="17"/>
                <w:szCs w:val="17"/>
                <w:color w:val="auto"/>
              </w:rPr>
            </w:pPr>
          </w:p>
        </w:tc>
        <w:tc>
          <w:tcPr>
            <w:tcW w:w="2420" w:type="dxa"/>
            <w:vAlign w:val="bottom"/>
            <w:gridSpan w:val="2"/>
          </w:tcPr>
          <w:p>
            <w:pPr>
              <w:spacing w:after="0"/>
              <w:rPr>
                <w:sz w:val="20"/>
                <w:szCs w:val="20"/>
                <w:color w:val="auto"/>
              </w:rPr>
            </w:pPr>
            <w:r>
              <w:rPr>
                <w:rFonts w:ascii="Arial" w:cs="Arial" w:eastAsia="Arial" w:hAnsi="Arial"/>
                <w:sz w:val="17"/>
                <w:szCs w:val="17"/>
                <w:color w:val="auto"/>
              </w:rPr>
              <w:t>Other assets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20" w:type="dxa"/>
            <w:vAlign w:val="bottom"/>
            <w:shd w:val="clear" w:color="auto" w:fill="F0FFFF"/>
          </w:tcPr>
          <w:p>
            <w:pPr>
              <w:spacing w:after="0"/>
              <w:rPr>
                <w:sz w:val="20"/>
                <w:szCs w:val="20"/>
                <w:color w:val="auto"/>
              </w:rPr>
            </w:pPr>
            <w:r>
              <w:rPr>
                <w:rFonts w:ascii="Arial" w:cs="Arial" w:eastAsia="Arial" w:hAnsi="Arial"/>
                <w:sz w:val="17"/>
                <w:szCs w:val="17"/>
                <w:color w:val="auto"/>
              </w:rPr>
              <w:t>Fair value hedge of corporate bonds</w:t>
            </w:r>
          </w:p>
        </w:tc>
        <w:tc>
          <w:tcPr>
            <w:tcW w:w="120" w:type="dxa"/>
            <w:vAlign w:val="bottom"/>
            <w:shd w:val="clear" w:color="auto" w:fill="F0FFFF"/>
          </w:tcPr>
          <w:p>
            <w:pPr>
              <w:spacing w:after="0"/>
              <w:rPr>
                <w:sz w:val="17"/>
                <w:szCs w:val="17"/>
                <w:color w:val="auto"/>
              </w:rPr>
            </w:pPr>
          </w:p>
        </w:tc>
        <w:tc>
          <w:tcPr>
            <w:tcW w:w="242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2,655</w:t>
            </w:r>
          </w:p>
        </w:tc>
        <w:tc>
          <w:tcPr>
            <w:tcW w:w="0" w:type="dxa"/>
            <w:vAlign w:val="bottom"/>
          </w:tcPr>
          <w:p>
            <w:pPr>
              <w:spacing w:after="0"/>
              <w:rPr>
                <w:sz w:val="1"/>
                <w:szCs w:val="1"/>
                <w:color w:val="auto"/>
              </w:rPr>
            </w:pPr>
          </w:p>
        </w:tc>
      </w:tr>
      <w:tr>
        <w:trPr>
          <w:trHeight w:val="26"/>
        </w:trPr>
        <w:tc>
          <w:tcPr>
            <w:tcW w:w="49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3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w:t>
            </w:r>
          </w:p>
        </w:tc>
        <w:tc>
          <w:tcPr>
            <w:tcW w:w="24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5,626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shd w:val="clear" w:color="auto" w:fill="F0FFFF"/>
          </w:tcPr>
          <w:p>
            <w:pPr>
              <w:spacing w:after="0"/>
              <w:rPr>
                <w:sz w:val="20"/>
                <w:szCs w:val="20"/>
                <w:color w:val="auto"/>
              </w:rPr>
            </w:pPr>
            <w:r>
              <w:rPr>
                <w:rFonts w:ascii="Arial" w:cs="Arial" w:eastAsia="Arial" w:hAnsi="Arial"/>
                <w:sz w:val="17"/>
                <w:szCs w:val="17"/>
                <w:color w:val="auto"/>
              </w:rPr>
              <w:t>Cash flow hedge of short-term debt</w:t>
            </w:r>
          </w:p>
        </w:tc>
        <w:tc>
          <w:tcPr>
            <w:tcW w:w="120" w:type="dxa"/>
            <w:vAlign w:val="bottom"/>
            <w:shd w:val="clear" w:color="auto" w:fill="F0FFFF"/>
          </w:tcPr>
          <w:p>
            <w:pPr>
              <w:spacing w:after="0"/>
              <w:rPr>
                <w:sz w:val="17"/>
                <w:szCs w:val="17"/>
                <w:color w:val="auto"/>
              </w:rPr>
            </w:pPr>
          </w:p>
        </w:tc>
        <w:tc>
          <w:tcPr>
            <w:tcW w:w="242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Other liabilities</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3,650</w:t>
            </w:r>
          </w:p>
        </w:tc>
        <w:tc>
          <w:tcPr>
            <w:tcW w:w="0" w:type="dxa"/>
            <w:vAlign w:val="bottom"/>
          </w:tcPr>
          <w:p>
            <w:pPr>
              <w:spacing w:after="0"/>
              <w:rPr>
                <w:sz w:val="1"/>
                <w:szCs w:val="1"/>
                <w:color w:val="auto"/>
              </w:rPr>
            </w:pPr>
          </w:p>
        </w:tc>
      </w:tr>
      <w:tr>
        <w:trPr>
          <w:trHeight w:val="205"/>
        </w:trPr>
        <w:tc>
          <w:tcPr>
            <w:tcW w:w="4920" w:type="dxa"/>
            <w:vAlign w:val="bottom"/>
          </w:tcPr>
          <w:p>
            <w:pPr>
              <w:spacing w:after="0"/>
              <w:rPr>
                <w:sz w:val="20"/>
                <w:szCs w:val="20"/>
                <w:color w:val="auto"/>
              </w:rPr>
            </w:pPr>
            <w:r>
              <w:rPr>
                <w:rFonts w:ascii="Arial" w:cs="Arial" w:eastAsia="Arial" w:hAnsi="Arial"/>
                <w:sz w:val="17"/>
                <w:szCs w:val="17"/>
                <w:color w:val="auto"/>
              </w:rPr>
              <w:t>Cash flow hedge of money market deposits</w:t>
            </w:r>
          </w:p>
        </w:tc>
        <w:tc>
          <w:tcPr>
            <w:tcW w:w="120" w:type="dxa"/>
            <w:vAlign w:val="bottom"/>
          </w:tcPr>
          <w:p>
            <w:pPr>
              <w:spacing w:after="0"/>
              <w:rPr>
                <w:sz w:val="17"/>
                <w:szCs w:val="17"/>
                <w:color w:val="auto"/>
              </w:rPr>
            </w:pPr>
          </w:p>
        </w:tc>
        <w:tc>
          <w:tcPr>
            <w:tcW w:w="2420" w:type="dxa"/>
            <w:vAlign w:val="bottom"/>
            <w:gridSpan w:val="2"/>
          </w:tcPr>
          <w:p>
            <w:pPr>
              <w:spacing w:after="0"/>
              <w:rPr>
                <w:sz w:val="20"/>
                <w:szCs w:val="20"/>
                <w:color w:val="auto"/>
              </w:rPr>
            </w:pPr>
            <w:r>
              <w:rPr>
                <w:rFonts w:ascii="Arial" w:cs="Arial" w:eastAsia="Arial" w:hAnsi="Arial"/>
                <w:sz w:val="17"/>
                <w:szCs w:val="17"/>
                <w:color w:val="auto"/>
              </w:rPr>
              <w:t>Other liabilities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350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678</w:t>
            </w:r>
          </w:p>
        </w:tc>
        <w:tc>
          <w:tcPr>
            <w:tcW w:w="0" w:type="dxa"/>
            <w:vAlign w:val="bottom"/>
          </w:tcPr>
          <w:p>
            <w:pPr>
              <w:spacing w:after="0"/>
              <w:rPr>
                <w:sz w:val="1"/>
                <w:szCs w:val="1"/>
                <w:color w:val="auto"/>
              </w:rPr>
            </w:pPr>
          </w:p>
        </w:tc>
      </w:tr>
      <w:tr>
        <w:trPr>
          <w:trHeight w:val="205"/>
        </w:trPr>
        <w:tc>
          <w:tcPr>
            <w:tcW w:w="4920" w:type="dxa"/>
            <w:vAlign w:val="bottom"/>
            <w:shd w:val="clear" w:color="auto" w:fill="F0FFFF"/>
          </w:tcPr>
          <w:p>
            <w:pPr>
              <w:spacing w:after="0"/>
              <w:rPr>
                <w:sz w:val="20"/>
                <w:szCs w:val="20"/>
                <w:color w:val="auto"/>
              </w:rPr>
            </w:pPr>
            <w:r>
              <w:rPr>
                <w:rFonts w:ascii="Arial" w:cs="Arial" w:eastAsia="Arial" w:hAnsi="Arial"/>
                <w:sz w:val="17"/>
                <w:szCs w:val="17"/>
                <w:color w:val="auto"/>
              </w:rPr>
              <w:t>Fair value hedge of AFS security</w:t>
            </w:r>
          </w:p>
        </w:tc>
        <w:tc>
          <w:tcPr>
            <w:tcW w:w="120" w:type="dxa"/>
            <w:vAlign w:val="bottom"/>
            <w:shd w:val="clear" w:color="auto" w:fill="F0FFFF"/>
          </w:tcPr>
          <w:p>
            <w:pPr>
              <w:spacing w:after="0"/>
              <w:rPr>
                <w:sz w:val="17"/>
                <w:szCs w:val="17"/>
                <w:color w:val="auto"/>
              </w:rPr>
            </w:pPr>
          </w:p>
        </w:tc>
        <w:tc>
          <w:tcPr>
            <w:tcW w:w="242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Other liabilities</w:t>
            </w: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345</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20" w:type="dxa"/>
            <w:vAlign w:val="bottom"/>
          </w:tcPr>
          <w:p>
            <w:pPr>
              <w:spacing w:after="0"/>
              <w:rPr>
                <w:sz w:val="20"/>
                <w:szCs w:val="20"/>
                <w:color w:val="auto"/>
              </w:rPr>
            </w:pPr>
            <w:r>
              <w:rPr>
                <w:rFonts w:ascii="Arial" w:cs="Arial" w:eastAsia="Arial" w:hAnsi="Arial"/>
                <w:sz w:val="17"/>
                <w:szCs w:val="17"/>
                <w:color w:val="auto"/>
              </w:rPr>
              <w:t>Fair value hedge of brokered CD’s</w:t>
            </w:r>
          </w:p>
        </w:tc>
        <w:tc>
          <w:tcPr>
            <w:tcW w:w="120" w:type="dxa"/>
            <w:vAlign w:val="bottom"/>
          </w:tcPr>
          <w:p>
            <w:pPr>
              <w:spacing w:after="0"/>
              <w:rPr>
                <w:sz w:val="17"/>
                <w:szCs w:val="17"/>
                <w:color w:val="auto"/>
              </w:rPr>
            </w:pPr>
          </w:p>
        </w:tc>
        <w:tc>
          <w:tcPr>
            <w:tcW w:w="2420" w:type="dxa"/>
            <w:vAlign w:val="bottom"/>
            <w:gridSpan w:val="2"/>
          </w:tcPr>
          <w:p>
            <w:pPr>
              <w:spacing w:after="0"/>
              <w:rPr>
                <w:sz w:val="20"/>
                <w:szCs w:val="20"/>
                <w:color w:val="auto"/>
              </w:rPr>
            </w:pPr>
            <w:r>
              <w:rPr>
                <w:rFonts w:ascii="Arial" w:cs="Arial" w:eastAsia="Arial" w:hAnsi="Arial"/>
                <w:sz w:val="17"/>
                <w:szCs w:val="17"/>
                <w:color w:val="auto"/>
              </w:rPr>
              <w:t>Other liabilities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3,452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5,817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14,119</w:t>
            </w:r>
          </w:p>
        </w:tc>
        <w:tc>
          <w:tcPr>
            <w:tcW w:w="0" w:type="dxa"/>
            <w:vAlign w:val="bottom"/>
          </w:tcPr>
          <w:p>
            <w:pPr>
              <w:spacing w:after="0"/>
              <w:rPr>
                <w:sz w:val="1"/>
                <w:szCs w:val="1"/>
                <w:color w:val="auto"/>
              </w:rPr>
            </w:pPr>
          </w:p>
        </w:tc>
      </w:tr>
      <w:tr>
        <w:trPr>
          <w:trHeight w:val="205"/>
        </w:trPr>
        <w:tc>
          <w:tcPr>
            <w:tcW w:w="4920" w:type="dxa"/>
            <w:vAlign w:val="bottom"/>
            <w:shd w:val="clear" w:color="auto" w:fill="F0FFFF"/>
          </w:tcPr>
          <w:p>
            <w:pPr>
              <w:spacing w:after="0"/>
              <w:rPr>
                <w:sz w:val="20"/>
                <w:szCs w:val="20"/>
                <w:color w:val="auto"/>
              </w:rPr>
            </w:pPr>
            <w:r>
              <w:rPr>
                <w:rFonts w:ascii="Arial" w:cs="Arial" w:eastAsia="Arial" w:hAnsi="Arial"/>
                <w:sz w:val="17"/>
                <w:szCs w:val="17"/>
                <w:color w:val="auto"/>
              </w:rPr>
              <w:t>Fair value hedge of corporate bonds</w:t>
            </w:r>
          </w:p>
        </w:tc>
        <w:tc>
          <w:tcPr>
            <w:tcW w:w="120" w:type="dxa"/>
            <w:vAlign w:val="bottom"/>
            <w:shd w:val="clear" w:color="auto" w:fill="F0FFFF"/>
          </w:tcPr>
          <w:p>
            <w:pPr>
              <w:spacing w:after="0"/>
              <w:rPr>
                <w:sz w:val="17"/>
                <w:szCs w:val="17"/>
                <w:color w:val="auto"/>
              </w:rPr>
            </w:pPr>
          </w:p>
        </w:tc>
        <w:tc>
          <w:tcPr>
            <w:tcW w:w="242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Other liabilities</w:t>
            </w: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2,729</w:t>
            </w:r>
          </w:p>
        </w:tc>
        <w:tc>
          <w:tcPr>
            <w:tcW w:w="0" w:type="dxa"/>
            <w:vAlign w:val="bottom"/>
          </w:tcPr>
          <w:p>
            <w:pPr>
              <w:spacing w:after="0"/>
              <w:rPr>
                <w:sz w:val="1"/>
                <w:szCs w:val="1"/>
                <w:color w:val="auto"/>
              </w:rPr>
            </w:pPr>
          </w:p>
        </w:tc>
      </w:tr>
      <w:tr>
        <w:trPr>
          <w:trHeight w:val="26"/>
        </w:trPr>
        <w:tc>
          <w:tcPr>
            <w:tcW w:w="49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3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3,797</w:t>
            </w:r>
          </w:p>
        </w:tc>
        <w:tc>
          <w:tcPr>
            <w:tcW w:w="24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6,167</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21,176</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7"/>
                <w:szCs w:val="17"/>
                <w:b w:val="1"/>
                <w:bCs w:val="1"/>
                <w:i w:val="1"/>
                <w:iCs w:val="1"/>
                <w:color w:val="auto"/>
                <w:w w:val="90"/>
              </w:rPr>
              <w:t>Derivatives not designated as hedging instruments under ASC 815</w:t>
            </w: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4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7"/>
                <w:szCs w:val="17"/>
                <w:b w:val="1"/>
                <w:bCs w:val="1"/>
                <w:color w:val="auto"/>
                <w:w w:val="98"/>
              </w:rPr>
              <w:t>Fair Value</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2"/>
          </w:tcPr>
          <w:p>
            <w:pPr>
              <w:jc w:val="center"/>
              <w:ind w:right="120"/>
              <w:spacing w:after="0" w:line="189" w:lineRule="exact"/>
              <w:rPr>
                <w:sz w:val="20"/>
                <w:szCs w:val="20"/>
                <w:color w:val="auto"/>
              </w:rPr>
            </w:pPr>
            <w:r>
              <w:rPr>
                <w:rFonts w:ascii="Arial" w:cs="Arial" w:eastAsia="Arial" w:hAnsi="Arial"/>
                <w:sz w:val="17"/>
                <w:szCs w:val="17"/>
                <w:b w:val="1"/>
                <w:bCs w:val="1"/>
                <w:color w:val="auto"/>
                <w:w w:val="87"/>
              </w:rPr>
              <w:t>Balance Sheet</w:t>
            </w:r>
          </w:p>
        </w:tc>
        <w:tc>
          <w:tcPr>
            <w:tcW w:w="140" w:type="dxa"/>
            <w:vAlign w:val="bottom"/>
          </w:tcPr>
          <w:p>
            <w:pPr>
              <w:spacing w:after="0"/>
              <w:rPr>
                <w:sz w:val="16"/>
                <w:szCs w:val="16"/>
                <w:color w:val="auto"/>
              </w:rPr>
            </w:pPr>
          </w:p>
        </w:tc>
        <w:tc>
          <w:tcPr>
            <w:tcW w:w="1240" w:type="dxa"/>
            <w:vAlign w:val="bottom"/>
            <w:gridSpan w:val="2"/>
          </w:tcPr>
          <w:p>
            <w:pPr>
              <w:jc w:val="center"/>
              <w:ind w:right="380"/>
              <w:spacing w:after="0" w:line="189" w:lineRule="exact"/>
              <w:rPr>
                <w:sz w:val="20"/>
                <w:szCs w:val="20"/>
                <w:color w:val="auto"/>
              </w:rPr>
            </w:pPr>
            <w:r>
              <w:rPr>
                <w:rFonts w:ascii="Arial" w:cs="Arial" w:eastAsia="Arial" w:hAnsi="Arial"/>
                <w:sz w:val="17"/>
                <w:szCs w:val="17"/>
                <w:b w:val="1"/>
                <w:bCs w:val="1"/>
                <w:color w:val="auto"/>
                <w:w w:val="94"/>
              </w:rPr>
              <w:t>March 31,</w:t>
            </w:r>
          </w:p>
        </w:tc>
        <w:tc>
          <w:tcPr>
            <w:tcW w:w="1260" w:type="dxa"/>
            <w:vAlign w:val="bottom"/>
            <w:gridSpan w:val="3"/>
          </w:tcPr>
          <w:p>
            <w:pPr>
              <w:jc w:val="center"/>
              <w:ind w:right="100"/>
              <w:spacing w:after="0" w:line="189" w:lineRule="exact"/>
              <w:rPr>
                <w:sz w:val="20"/>
                <w:szCs w:val="20"/>
                <w:color w:val="auto"/>
              </w:rPr>
            </w:pPr>
            <w:r>
              <w:rPr>
                <w:rFonts w:ascii="Arial" w:cs="Arial" w:eastAsia="Arial" w:hAnsi="Arial"/>
                <w:sz w:val="17"/>
                <w:szCs w:val="17"/>
                <w:b w:val="1"/>
                <w:bCs w:val="1"/>
                <w:color w:val="auto"/>
                <w:w w:val="90"/>
              </w:rPr>
              <w:t>December 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w w:val="96"/>
              </w:rPr>
              <w:t>March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920" w:type="dxa"/>
            <w:vAlign w:val="bottom"/>
            <w:tcBorders>
              <w:bottom w:val="single" w:sz="8" w:color="auto"/>
            </w:tcBorders>
          </w:tcPr>
          <w:p>
            <w:pPr>
              <w:ind w:left="1640"/>
              <w:spacing w:after="0"/>
              <w:rPr>
                <w:sz w:val="20"/>
                <w:szCs w:val="20"/>
                <w:color w:val="auto"/>
              </w:rPr>
            </w:pPr>
            <w:r>
              <w:rPr>
                <w:rFonts w:ascii="Arial" w:cs="Arial" w:eastAsia="Arial" w:hAnsi="Arial"/>
                <w:sz w:val="17"/>
                <w:szCs w:val="17"/>
                <w:b w:val="1"/>
                <w:bCs w:val="1"/>
                <w:color w:val="auto"/>
              </w:rPr>
              <w:t>Interest Rate Products</w:t>
            </w:r>
          </w:p>
        </w:tc>
        <w:tc>
          <w:tcPr>
            <w:tcW w:w="120" w:type="dxa"/>
            <w:vAlign w:val="bottom"/>
          </w:tcPr>
          <w:p>
            <w:pPr>
              <w:spacing w:after="0"/>
              <w:rPr>
                <w:sz w:val="19"/>
                <w:szCs w:val="19"/>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Location</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89"/>
              </w:rPr>
              <w:t>2015</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95"/>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920" w:type="dxa"/>
            <w:vAlign w:val="bottom"/>
            <w:shd w:val="clear" w:color="auto" w:fill="F0FFFF"/>
          </w:tcPr>
          <w:p>
            <w:pPr>
              <w:spacing w:after="0"/>
              <w:rPr>
                <w:sz w:val="20"/>
                <w:szCs w:val="20"/>
                <w:color w:val="auto"/>
              </w:rPr>
            </w:pPr>
            <w:r>
              <w:rPr>
                <w:rFonts w:ascii="Arial" w:cs="Arial" w:eastAsia="Arial" w:hAnsi="Arial"/>
                <w:sz w:val="17"/>
                <w:szCs w:val="17"/>
                <w:color w:val="auto"/>
              </w:rPr>
              <w:t>Customer swap positions</w:t>
            </w:r>
          </w:p>
        </w:tc>
        <w:tc>
          <w:tcPr>
            <w:tcW w:w="120" w:type="dxa"/>
            <w:vAlign w:val="bottom"/>
            <w:shd w:val="clear" w:color="auto" w:fill="F0FFFF"/>
          </w:tcPr>
          <w:p>
            <w:pPr>
              <w:spacing w:after="0"/>
              <w:rPr>
                <w:sz w:val="17"/>
                <w:szCs w:val="17"/>
                <w:color w:val="auto"/>
              </w:rPr>
            </w:pPr>
          </w:p>
        </w:tc>
        <w:tc>
          <w:tcPr>
            <w:tcW w:w="242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5,043</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3,433</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1,359</w:t>
            </w:r>
          </w:p>
        </w:tc>
        <w:tc>
          <w:tcPr>
            <w:tcW w:w="0" w:type="dxa"/>
            <w:vAlign w:val="bottom"/>
          </w:tcPr>
          <w:p>
            <w:pPr>
              <w:spacing w:after="0"/>
              <w:rPr>
                <w:sz w:val="1"/>
                <w:szCs w:val="1"/>
                <w:color w:val="auto"/>
              </w:rPr>
            </w:pPr>
          </w:p>
        </w:tc>
      </w:tr>
      <w:tr>
        <w:trPr>
          <w:trHeight w:val="205"/>
        </w:trPr>
        <w:tc>
          <w:tcPr>
            <w:tcW w:w="4920" w:type="dxa"/>
            <w:vAlign w:val="bottom"/>
          </w:tcPr>
          <w:p>
            <w:pPr>
              <w:spacing w:after="0"/>
              <w:rPr>
                <w:sz w:val="20"/>
                <w:szCs w:val="20"/>
                <w:color w:val="auto"/>
              </w:rPr>
            </w:pPr>
            <w:r>
              <w:rPr>
                <w:rFonts w:ascii="Arial" w:cs="Arial" w:eastAsia="Arial" w:hAnsi="Arial"/>
                <w:sz w:val="17"/>
                <w:szCs w:val="17"/>
                <w:color w:val="auto"/>
              </w:rPr>
              <w:t>Dealer offsets to customer swap positions</w:t>
            </w:r>
          </w:p>
        </w:tc>
        <w:tc>
          <w:tcPr>
            <w:tcW w:w="120" w:type="dxa"/>
            <w:vAlign w:val="bottom"/>
          </w:tcPr>
          <w:p>
            <w:pPr>
              <w:spacing w:after="0"/>
              <w:rPr>
                <w:sz w:val="17"/>
                <w:szCs w:val="17"/>
                <w:color w:val="auto"/>
              </w:rPr>
            </w:pPr>
          </w:p>
        </w:tc>
        <w:tc>
          <w:tcPr>
            <w:tcW w:w="2420" w:type="dxa"/>
            <w:vAlign w:val="bottom"/>
            <w:gridSpan w:val="2"/>
          </w:tcPr>
          <w:p>
            <w:pPr>
              <w:spacing w:after="0"/>
              <w:rPr>
                <w:sz w:val="20"/>
                <w:szCs w:val="20"/>
                <w:color w:val="auto"/>
              </w:rPr>
            </w:pPr>
            <w:r>
              <w:rPr>
                <w:rFonts w:ascii="Arial" w:cs="Arial" w:eastAsia="Arial" w:hAnsi="Arial"/>
                <w:sz w:val="17"/>
                <w:szCs w:val="17"/>
                <w:color w:val="auto"/>
              </w:rPr>
              <w:t>Other assets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825</w:t>
            </w:r>
          </w:p>
        </w:tc>
        <w:tc>
          <w:tcPr>
            <w:tcW w:w="0" w:type="dxa"/>
            <w:vAlign w:val="bottom"/>
          </w:tcPr>
          <w:p>
            <w:pPr>
              <w:spacing w:after="0"/>
              <w:rPr>
                <w:sz w:val="1"/>
                <w:szCs w:val="1"/>
                <w:color w:val="auto"/>
              </w:rPr>
            </w:pPr>
          </w:p>
        </w:tc>
      </w:tr>
      <w:tr>
        <w:trPr>
          <w:trHeight w:val="205"/>
        </w:trPr>
        <w:tc>
          <w:tcPr>
            <w:tcW w:w="4920" w:type="dxa"/>
            <w:vAlign w:val="bottom"/>
            <w:shd w:val="clear" w:color="auto" w:fill="F0FFFF"/>
          </w:tcPr>
          <w:p>
            <w:pPr>
              <w:spacing w:after="0"/>
              <w:rPr>
                <w:sz w:val="20"/>
                <w:szCs w:val="20"/>
                <w:color w:val="auto"/>
              </w:rPr>
            </w:pPr>
            <w:r>
              <w:rPr>
                <w:rFonts w:ascii="Arial" w:cs="Arial" w:eastAsia="Arial" w:hAnsi="Arial"/>
                <w:sz w:val="17"/>
                <w:szCs w:val="17"/>
                <w:color w:val="auto"/>
              </w:rPr>
              <w:t>Bifurcated embedded derivatives</w:t>
            </w:r>
          </w:p>
        </w:tc>
        <w:tc>
          <w:tcPr>
            <w:tcW w:w="120" w:type="dxa"/>
            <w:vAlign w:val="bottom"/>
            <w:shd w:val="clear" w:color="auto" w:fill="F0FFFF"/>
          </w:tcPr>
          <w:p>
            <w:pPr>
              <w:spacing w:after="0"/>
              <w:rPr>
                <w:sz w:val="17"/>
                <w:szCs w:val="17"/>
                <w:color w:val="auto"/>
              </w:rPr>
            </w:pPr>
          </w:p>
        </w:tc>
        <w:tc>
          <w:tcPr>
            <w:tcW w:w="242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8,117</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12,262</w:t>
            </w: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13,753</w:t>
            </w:r>
          </w:p>
        </w:tc>
        <w:tc>
          <w:tcPr>
            <w:tcW w:w="0" w:type="dxa"/>
            <w:vAlign w:val="bottom"/>
          </w:tcPr>
          <w:p>
            <w:pPr>
              <w:spacing w:after="0"/>
              <w:rPr>
                <w:sz w:val="1"/>
                <w:szCs w:val="1"/>
                <w:color w:val="auto"/>
              </w:rPr>
            </w:pPr>
          </w:p>
        </w:tc>
      </w:tr>
      <w:tr>
        <w:trPr>
          <w:trHeight w:val="205"/>
        </w:trPr>
        <w:tc>
          <w:tcPr>
            <w:tcW w:w="4920" w:type="dxa"/>
            <w:vAlign w:val="bottom"/>
          </w:tcPr>
          <w:p>
            <w:pPr>
              <w:spacing w:after="0"/>
              <w:rPr>
                <w:sz w:val="20"/>
                <w:szCs w:val="20"/>
                <w:color w:val="auto"/>
              </w:rPr>
            </w:pPr>
            <w:r>
              <w:rPr>
                <w:rFonts w:ascii="Arial" w:cs="Arial" w:eastAsia="Arial" w:hAnsi="Arial"/>
                <w:sz w:val="17"/>
                <w:szCs w:val="17"/>
                <w:color w:val="auto"/>
              </w:rPr>
              <w:t>Offsetting positions for de-designated cash flow hedges</w:t>
            </w:r>
          </w:p>
        </w:tc>
        <w:tc>
          <w:tcPr>
            <w:tcW w:w="120" w:type="dxa"/>
            <w:vAlign w:val="bottom"/>
          </w:tcPr>
          <w:p>
            <w:pPr>
              <w:spacing w:after="0"/>
              <w:rPr>
                <w:sz w:val="17"/>
                <w:szCs w:val="17"/>
                <w:color w:val="auto"/>
              </w:rPr>
            </w:pPr>
          </w:p>
        </w:tc>
        <w:tc>
          <w:tcPr>
            <w:tcW w:w="2420" w:type="dxa"/>
            <w:vAlign w:val="bottom"/>
            <w:gridSpan w:val="2"/>
          </w:tcPr>
          <w:p>
            <w:pPr>
              <w:spacing w:after="0"/>
              <w:rPr>
                <w:sz w:val="20"/>
                <w:szCs w:val="20"/>
                <w:color w:val="auto"/>
              </w:rPr>
            </w:pPr>
            <w:r>
              <w:rPr>
                <w:rFonts w:ascii="Arial" w:cs="Arial" w:eastAsia="Arial" w:hAnsi="Arial"/>
                <w:sz w:val="17"/>
                <w:szCs w:val="17"/>
                <w:color w:val="auto"/>
              </w:rPr>
              <w:t>Other assets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7,126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4,776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9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23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20,286</w:t>
            </w:r>
          </w:p>
        </w:tc>
        <w:tc>
          <w:tcPr>
            <w:tcW w:w="24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20,599</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15,937</w:t>
            </w:r>
          </w:p>
        </w:tc>
        <w:tc>
          <w:tcPr>
            <w:tcW w:w="0" w:type="dxa"/>
            <w:vAlign w:val="bottom"/>
          </w:tcPr>
          <w:p>
            <w:pPr>
              <w:spacing w:after="0"/>
              <w:rPr>
                <w:sz w:val="1"/>
                <w:szCs w:val="1"/>
                <w:color w:val="auto"/>
              </w:rPr>
            </w:pPr>
          </w:p>
        </w:tc>
      </w:tr>
      <w:tr>
        <w:trPr>
          <w:trHeight w:val="20"/>
        </w:trPr>
        <w:tc>
          <w:tcPr>
            <w:tcW w:w="49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3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tcPr>
          <w:p>
            <w:pPr>
              <w:spacing w:after="0"/>
              <w:rPr>
                <w:sz w:val="20"/>
                <w:szCs w:val="20"/>
                <w:color w:val="auto"/>
              </w:rPr>
            </w:pPr>
            <w:r>
              <w:rPr>
                <w:rFonts w:ascii="Arial" w:cs="Arial" w:eastAsia="Arial" w:hAnsi="Arial"/>
                <w:sz w:val="17"/>
                <w:szCs w:val="17"/>
                <w:color w:val="auto"/>
              </w:rPr>
              <w:t>Customer swap positions</w:t>
            </w:r>
          </w:p>
        </w:tc>
        <w:tc>
          <w:tcPr>
            <w:tcW w:w="120" w:type="dxa"/>
            <w:vAlign w:val="bottom"/>
          </w:tcPr>
          <w:p>
            <w:pPr>
              <w:spacing w:after="0"/>
              <w:rPr>
                <w:sz w:val="17"/>
                <w:szCs w:val="17"/>
                <w:color w:val="auto"/>
              </w:rPr>
            </w:pPr>
          </w:p>
        </w:tc>
        <w:tc>
          <w:tcPr>
            <w:tcW w:w="2420" w:type="dxa"/>
            <w:vAlign w:val="bottom"/>
            <w:gridSpan w:val="2"/>
          </w:tcPr>
          <w:p>
            <w:pPr>
              <w:spacing w:after="0"/>
              <w:rPr>
                <w:sz w:val="20"/>
                <w:szCs w:val="20"/>
                <w:color w:val="auto"/>
              </w:rPr>
            </w:pPr>
            <w:r>
              <w:rPr>
                <w:rFonts w:ascii="Arial" w:cs="Arial" w:eastAsia="Arial" w:hAnsi="Arial"/>
                <w:sz w:val="17"/>
                <w:szCs w:val="17"/>
                <w:color w:val="auto"/>
              </w:rPr>
              <w:t>Other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129</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825</w:t>
            </w:r>
          </w:p>
        </w:tc>
        <w:tc>
          <w:tcPr>
            <w:tcW w:w="0" w:type="dxa"/>
            <w:vAlign w:val="bottom"/>
          </w:tcPr>
          <w:p>
            <w:pPr>
              <w:spacing w:after="0"/>
              <w:rPr>
                <w:sz w:val="1"/>
                <w:szCs w:val="1"/>
                <w:color w:val="auto"/>
              </w:rPr>
            </w:pPr>
          </w:p>
        </w:tc>
      </w:tr>
      <w:tr>
        <w:trPr>
          <w:trHeight w:val="205"/>
        </w:trPr>
        <w:tc>
          <w:tcPr>
            <w:tcW w:w="4920" w:type="dxa"/>
            <w:vAlign w:val="bottom"/>
            <w:shd w:val="clear" w:color="auto" w:fill="F0FFFF"/>
          </w:tcPr>
          <w:p>
            <w:pPr>
              <w:spacing w:after="0"/>
              <w:rPr>
                <w:sz w:val="20"/>
                <w:szCs w:val="20"/>
                <w:color w:val="auto"/>
              </w:rPr>
            </w:pPr>
            <w:r>
              <w:rPr>
                <w:rFonts w:ascii="Arial" w:cs="Arial" w:eastAsia="Arial" w:hAnsi="Arial"/>
                <w:sz w:val="17"/>
                <w:szCs w:val="17"/>
                <w:color w:val="auto"/>
              </w:rPr>
              <w:t>Dealer offsets to customer swap positions</w:t>
            </w:r>
          </w:p>
        </w:tc>
        <w:tc>
          <w:tcPr>
            <w:tcW w:w="120" w:type="dxa"/>
            <w:vAlign w:val="bottom"/>
            <w:shd w:val="clear" w:color="auto" w:fill="F0FFFF"/>
          </w:tcPr>
          <w:p>
            <w:pPr>
              <w:spacing w:after="0"/>
              <w:rPr>
                <w:sz w:val="17"/>
                <w:szCs w:val="17"/>
                <w:color w:val="auto"/>
              </w:rPr>
            </w:pPr>
          </w:p>
        </w:tc>
        <w:tc>
          <w:tcPr>
            <w:tcW w:w="242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Other liabilities</w:t>
            </w: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5,107</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3,456</w:t>
            </w: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1,377</w:t>
            </w:r>
          </w:p>
        </w:tc>
        <w:tc>
          <w:tcPr>
            <w:tcW w:w="0" w:type="dxa"/>
            <w:vAlign w:val="bottom"/>
          </w:tcPr>
          <w:p>
            <w:pPr>
              <w:spacing w:after="0"/>
              <w:rPr>
                <w:sz w:val="1"/>
                <w:szCs w:val="1"/>
                <w:color w:val="auto"/>
              </w:rPr>
            </w:pPr>
          </w:p>
        </w:tc>
      </w:tr>
      <w:tr>
        <w:trPr>
          <w:trHeight w:val="205"/>
        </w:trPr>
        <w:tc>
          <w:tcPr>
            <w:tcW w:w="4920" w:type="dxa"/>
            <w:vAlign w:val="bottom"/>
          </w:tcPr>
          <w:p>
            <w:pPr>
              <w:spacing w:after="0"/>
              <w:rPr>
                <w:sz w:val="20"/>
                <w:szCs w:val="20"/>
                <w:color w:val="auto"/>
              </w:rPr>
            </w:pPr>
            <w:r>
              <w:rPr>
                <w:rFonts w:ascii="Arial" w:cs="Arial" w:eastAsia="Arial" w:hAnsi="Arial"/>
                <w:sz w:val="17"/>
                <w:szCs w:val="17"/>
                <w:color w:val="auto"/>
              </w:rPr>
              <w:t>Dealer offsets to bifurcated embedded derivatives</w:t>
            </w:r>
          </w:p>
        </w:tc>
        <w:tc>
          <w:tcPr>
            <w:tcW w:w="120" w:type="dxa"/>
            <w:vAlign w:val="bottom"/>
          </w:tcPr>
          <w:p>
            <w:pPr>
              <w:spacing w:after="0"/>
              <w:rPr>
                <w:sz w:val="17"/>
                <w:szCs w:val="17"/>
                <w:color w:val="auto"/>
              </w:rPr>
            </w:pPr>
          </w:p>
        </w:tc>
        <w:tc>
          <w:tcPr>
            <w:tcW w:w="2420" w:type="dxa"/>
            <w:vAlign w:val="bottom"/>
            <w:gridSpan w:val="2"/>
          </w:tcPr>
          <w:p>
            <w:pPr>
              <w:spacing w:after="0"/>
              <w:rPr>
                <w:sz w:val="20"/>
                <w:szCs w:val="20"/>
                <w:color w:val="auto"/>
              </w:rPr>
            </w:pPr>
            <w:r>
              <w:rPr>
                <w:rFonts w:ascii="Arial" w:cs="Arial" w:eastAsia="Arial" w:hAnsi="Arial"/>
                <w:sz w:val="17"/>
                <w:szCs w:val="17"/>
                <w:color w:val="auto"/>
              </w:rPr>
              <w:t>Other liabilities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13,244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17,467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18,931</w:t>
            </w:r>
          </w:p>
        </w:tc>
        <w:tc>
          <w:tcPr>
            <w:tcW w:w="0" w:type="dxa"/>
            <w:vAlign w:val="bottom"/>
          </w:tcPr>
          <w:p>
            <w:pPr>
              <w:spacing w:after="0"/>
              <w:rPr>
                <w:sz w:val="1"/>
                <w:szCs w:val="1"/>
                <w:color w:val="auto"/>
              </w:rPr>
            </w:pPr>
          </w:p>
        </w:tc>
      </w:tr>
      <w:tr>
        <w:trPr>
          <w:trHeight w:val="205"/>
        </w:trPr>
        <w:tc>
          <w:tcPr>
            <w:tcW w:w="4920" w:type="dxa"/>
            <w:vAlign w:val="bottom"/>
            <w:shd w:val="clear" w:color="auto" w:fill="F0FFFF"/>
          </w:tcPr>
          <w:p>
            <w:pPr>
              <w:spacing w:after="0"/>
              <w:rPr>
                <w:sz w:val="20"/>
                <w:szCs w:val="20"/>
                <w:color w:val="auto"/>
              </w:rPr>
            </w:pPr>
            <w:r>
              <w:rPr>
                <w:rFonts w:ascii="Arial" w:cs="Arial" w:eastAsia="Arial" w:hAnsi="Arial"/>
                <w:sz w:val="17"/>
                <w:szCs w:val="17"/>
                <w:color w:val="auto"/>
              </w:rPr>
              <w:t>De-designated cash flow hedges</w:t>
            </w:r>
          </w:p>
        </w:tc>
        <w:tc>
          <w:tcPr>
            <w:tcW w:w="120" w:type="dxa"/>
            <w:vAlign w:val="bottom"/>
            <w:shd w:val="clear" w:color="auto" w:fill="F0FFFF"/>
          </w:tcPr>
          <w:p>
            <w:pPr>
              <w:spacing w:after="0"/>
              <w:rPr>
                <w:sz w:val="17"/>
                <w:szCs w:val="17"/>
                <w:color w:val="auto"/>
              </w:rPr>
            </w:pPr>
          </w:p>
        </w:tc>
        <w:tc>
          <w:tcPr>
            <w:tcW w:w="2420" w:type="dxa"/>
            <w:vAlign w:val="bottom"/>
            <w:gridSpan w:val="2"/>
            <w:shd w:val="clear" w:color="auto" w:fill="F0FFFF"/>
          </w:tcPr>
          <w:p>
            <w:pPr>
              <w:spacing w:after="0"/>
              <w:rPr>
                <w:sz w:val="20"/>
                <w:szCs w:val="20"/>
                <w:color w:val="auto"/>
              </w:rPr>
            </w:pPr>
            <w:r>
              <w:rPr>
                <w:rFonts w:ascii="Arial" w:cs="Arial" w:eastAsia="Arial" w:hAnsi="Arial"/>
                <w:sz w:val="17"/>
                <w:szCs w:val="17"/>
                <w:color w:val="auto"/>
              </w:rPr>
              <w:t>Other liabilities</w:t>
            </w: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7,128</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4,778</w:t>
            </w: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9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3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25,479</w:t>
            </w:r>
          </w:p>
        </w:tc>
        <w:tc>
          <w:tcPr>
            <w:tcW w:w="24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25,830</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21,133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Derivative contracts that are not accounted for as hedging instruments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and are described as “customer derivatives,” are between United and certain commercial loan customers with offsetting positions to dealers under a back-to-back swap program. United also has three interest rate swap contracts that are not designated as hedging instruments but are economic hedges of market linked brokered certificates of deposit. The market linked brokered certificates of deposit contain embedded derivatives that are bifurcated from the host instruments and marked to market through earnings. The marks on the market linked swaps and the bifurcated embedded derivatives tend to move in opposite directions with changes in 90-day LIBOR and therefore provide an effective economic hedge.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 Hedges of Interest Rate Risk</w:t>
      </w:r>
    </w:p>
    <w:p>
      <w:pPr>
        <w:spacing w:after="0" w:line="244"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United’s objectives in using interest rate derivatives are to add stability to net interest revenue and to manage its exposure to interest rate movements. To accomplish this objective, United uses interest rate swaps as part of its interest rate risk management strategy. United’s interest rate swaps designated as cash flow hedges involved the payment of fixed-rate amounts to a counterparty in exchange for United receiving variable-rate payments over the life of the agreements without exchange of the underlying notional amount. United’s cash flow hedges were for the purpose of converting variable rate deposits and wholesale borrowings to the economic equivalent of a fixed rate to protect United in a rising rate environment. At March 31, 2015 United did not have any active cash flow hedges. At December 31, 2014, United had one swap contract outstanding with a total notional amount of $175 million that was designated as a cash flow hedge of indexed money market accounts. At March 31, 2014, United had three swap contracts outstanding with a total notional amount of $200 million that were designated as cash flow hedges of future issuances of three-month brokered deposits or other LIBOR based floating rate wholesale borrowings, and three swap contracts outstanding with a total notional amount of $375 million that were designated as cash flow hedges of indexed money market accounts. During the second and fourth quarters of 2014, United de-designated swaps with a notional of $500 million and put on offsetting positions which had a similar effect to terminating the positions. In addition, in the first quarter of 2015, United terminated its one remaining cash flow hedge with a notional of $175 million. Changes in United’s balance sheet composition and interest rate risk position made the hedges no longer necessary as protection against rising interest rates. The loss remaining in other comprehensive income on the de-designated swaps is being amortized into earnings over the original term of the swaps as the forecasted transactions that the swaps were originally designated to hedge are still expected to occur.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7"/>
          <w:szCs w:val="17"/>
          <w:b w:val="1"/>
          <w:bCs w:val="1"/>
          <w:color w:val="auto"/>
        </w:rPr>
        <w:t>UNITED COMMUNITY BANKS,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effective portion of changes in the fair value of derivatives designated and that qualify as cash flow hedges is recorded in accumulated other comprehensive income and is subsequently reclassified into earnings in the period that the hedged forecasted transaction affects earnings. Amounts reported in accumulated other comprehensive income related to derivatives will be reclassified to interest expense when the swaps become effective, as interest payments are made on United’s LIBOR based, variable-rate wholesale borrowings and indexed deposit accounts. United recognized $7,000 and $35,000, respectively, in hedge ineffectiveness gains in interest expense on active cash flow hedges during the first three months of 2015 and 2014. United expects that $1.83 million will be reclassified as an increase to deposit interest expense over the next twelve months related to these cash flow hedges.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Hedges of Interest Rate Risk</w:t>
      </w:r>
    </w:p>
    <w:p>
      <w:pPr>
        <w:spacing w:after="0" w:line="24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United is exposed to changes in the fair value of certain of its fixed rate obligations due to changes in interest rates. United uses interest rate swaps to manage its exposure to changes in fair value on these instruments attributable to changes in interest rates. Interest rate swaps designated as fair value hedges of brokered deposits involve the receipt of fixed-rate amounts from a counterparty in exchange for United making variable rate payments over the life of the agreements without the exchange of the underlying notional amount. Interest rate swaps designated as fair value hedges of fixed rate investments involve the receipt of variable-rate payments from a counterparty in exchange for United making fixed rate payments over the life of the instrument without the exchange of the underlying notional amount. At March 31, 2015, United had 16 interest rate swaps with an aggregate notional amount of $197 million that were designated as fair value hedges of interest rate risk and were pay-variable / receive-fixed swaps hedging the changes in the fair value of fixed rate brokered time deposits resulting from changes in interest rates. Also at March 31, 2015, United had one interest rate swap with a notional of $30 million that was designated as a pay-fixed / receive variable fair value hedge of changes in the fair value of a fixed rate corporate bond. At March 31, 2014, United had 24 interest rate swaps with an aggregate notional amount of $285 million that were designated as fair value hedges of interest rate risk. Eight of the interest rate swaps outstanding at March 31, 2014 with an aggregate notional amount of $86 million were receive-variable / pay-fixed swaps that were used for the purpose of hedging changes in the fair value of corporate bonds resulting from changes in interest rates. The other 16 were pay-variable / receive-fixed swaps hedging the changes in the fair value of fixed rate brokered time deposits resulting from changes in interest rates.</w:t>
      </w:r>
    </w:p>
    <w:p>
      <w:pPr>
        <w:spacing w:after="0" w:line="197"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 During the three months ended March 31, 2015, United recognized a net loss of $37,000 related to ineffectiveness in the fair value hedging relationships. During the three months ended March 31, 2014, United recognized net losses of $389,000 related to ineffectiveness of the fair value hedging relationships. United also recognized a net reduction of interest expense of $1.14 million and $1.21 million, respectively, for the three months ended March 31, 2015 and 2014 related to United’s fair value hedges of brokered time deposits, which includes net settlements on the derivatives. United recognized reductions of $74,000 and $530,000, respectively, of interest revenue on securities during the first three months of 2015 and 2014 related to United’s fair value hedges of corporate bonds.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Tabular Disclosure of the Effect of Derivative Instruments on the Income Statement</w:t>
      </w:r>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tables below present the effect of United’s derivative financial instruments on the consolidated statement of operations for the three months ended March 31, 2015 and 2014.</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Derivatives in Fair Value Hedging Relationships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40" w:type="dxa"/>
            <w:vAlign w:val="bottom"/>
          </w:tcPr>
          <w:p>
            <w:pPr>
              <w:spacing w:after="0"/>
              <w:rPr>
                <w:sz w:val="17"/>
                <w:szCs w:val="17"/>
                <w:color w:val="auto"/>
              </w:rPr>
            </w:pPr>
          </w:p>
        </w:tc>
        <w:tc>
          <w:tcPr>
            <w:tcW w:w="2060" w:type="dxa"/>
            <w:vAlign w:val="bottom"/>
          </w:tcPr>
          <w:p>
            <w:pPr>
              <w:jc w:val="center"/>
              <w:ind w:left="375"/>
              <w:spacing w:after="0"/>
              <w:rPr>
                <w:sz w:val="20"/>
                <w:szCs w:val="20"/>
                <w:color w:val="auto"/>
              </w:rPr>
            </w:pPr>
            <w:r>
              <w:rPr>
                <w:rFonts w:ascii="Arial" w:cs="Arial" w:eastAsia="Arial" w:hAnsi="Arial"/>
                <w:sz w:val="17"/>
                <w:szCs w:val="17"/>
                <w:b w:val="1"/>
                <w:bCs w:val="1"/>
                <w:color w:val="auto"/>
                <w:w w:val="92"/>
              </w:rPr>
              <w:t>Location of Gain</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5"/>
          </w:tcPr>
          <w:p>
            <w:pPr>
              <w:jc w:val="center"/>
              <w:ind w:right="460"/>
              <w:spacing w:after="0"/>
              <w:rPr>
                <w:sz w:val="20"/>
                <w:szCs w:val="20"/>
                <w:color w:val="auto"/>
              </w:rPr>
            </w:pPr>
            <w:r>
              <w:rPr>
                <w:rFonts w:ascii="Arial" w:cs="Arial" w:eastAsia="Arial" w:hAnsi="Arial"/>
                <w:sz w:val="17"/>
                <w:szCs w:val="17"/>
                <w:b w:val="1"/>
                <w:bCs w:val="1"/>
                <w:color w:val="auto"/>
                <w:w w:val="90"/>
              </w:rPr>
              <w:t>Amount of Gain (Loss)</w:t>
            </w:r>
          </w:p>
        </w:tc>
        <w:tc>
          <w:tcPr>
            <w:tcW w:w="260" w:type="dxa"/>
            <w:vAlign w:val="bottom"/>
          </w:tcPr>
          <w:p>
            <w:pPr>
              <w:spacing w:after="0"/>
              <w:rPr>
                <w:sz w:val="17"/>
                <w:szCs w:val="17"/>
                <w:color w:val="auto"/>
              </w:rPr>
            </w:pPr>
          </w:p>
        </w:tc>
        <w:tc>
          <w:tcPr>
            <w:tcW w:w="2320" w:type="dxa"/>
            <w:vAlign w:val="bottom"/>
            <w:gridSpan w:val="6"/>
          </w:tcPr>
          <w:p>
            <w:pPr>
              <w:jc w:val="center"/>
              <w:ind w:right="360"/>
              <w:spacing w:after="0"/>
              <w:rPr>
                <w:sz w:val="20"/>
                <w:szCs w:val="20"/>
                <w:color w:val="auto"/>
              </w:rPr>
            </w:pPr>
            <w:r>
              <w:rPr>
                <w:rFonts w:ascii="Arial" w:cs="Arial" w:eastAsia="Arial" w:hAnsi="Arial"/>
                <w:sz w:val="17"/>
                <w:szCs w:val="17"/>
                <w:b w:val="1"/>
                <w:bCs w:val="1"/>
                <w:color w:val="auto"/>
                <w:w w:val="91"/>
              </w:rPr>
              <w:t>Amount of Gain (Loss)</w:t>
            </w:r>
          </w:p>
        </w:tc>
        <w:tc>
          <w:tcPr>
            <w:tcW w:w="0" w:type="dxa"/>
            <w:vAlign w:val="bottom"/>
          </w:tcPr>
          <w:p>
            <w:pPr>
              <w:spacing w:after="0"/>
              <w:rPr>
                <w:sz w:val="1"/>
                <w:szCs w:val="1"/>
                <w:color w:val="auto"/>
              </w:rPr>
            </w:pPr>
          </w:p>
        </w:tc>
      </w:tr>
      <w:tr>
        <w:trPr>
          <w:trHeight w:val="205"/>
        </w:trPr>
        <w:tc>
          <w:tcPr>
            <w:tcW w:w="3440" w:type="dxa"/>
            <w:vAlign w:val="bottom"/>
          </w:tcPr>
          <w:p>
            <w:pPr>
              <w:spacing w:after="0"/>
              <w:rPr>
                <w:sz w:val="17"/>
                <w:szCs w:val="17"/>
                <w:color w:val="auto"/>
              </w:rPr>
            </w:pPr>
          </w:p>
        </w:tc>
        <w:tc>
          <w:tcPr>
            <w:tcW w:w="2060" w:type="dxa"/>
            <w:vAlign w:val="bottom"/>
          </w:tcPr>
          <w:p>
            <w:pPr>
              <w:jc w:val="center"/>
              <w:ind w:left="375"/>
              <w:spacing w:after="0"/>
              <w:rPr>
                <w:sz w:val="20"/>
                <w:szCs w:val="20"/>
                <w:color w:val="auto"/>
              </w:rPr>
            </w:pPr>
            <w:r>
              <w:rPr>
                <w:rFonts w:ascii="Arial" w:cs="Arial" w:eastAsia="Arial" w:hAnsi="Arial"/>
                <w:sz w:val="17"/>
                <w:szCs w:val="17"/>
                <w:b w:val="1"/>
                <w:bCs w:val="1"/>
                <w:color w:val="auto"/>
                <w:w w:val="87"/>
              </w:rPr>
              <w:t>(Loss) Recognized</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5"/>
          </w:tcPr>
          <w:p>
            <w:pPr>
              <w:jc w:val="center"/>
              <w:ind w:right="460"/>
              <w:spacing w:after="0"/>
              <w:rPr>
                <w:sz w:val="20"/>
                <w:szCs w:val="20"/>
                <w:color w:val="auto"/>
              </w:rPr>
            </w:pPr>
            <w:r>
              <w:rPr>
                <w:rFonts w:ascii="Arial" w:cs="Arial" w:eastAsia="Arial" w:hAnsi="Arial"/>
                <w:sz w:val="17"/>
                <w:szCs w:val="17"/>
                <w:b w:val="1"/>
                <w:bCs w:val="1"/>
                <w:color w:val="auto"/>
                <w:w w:val="90"/>
              </w:rPr>
              <w:t>Recognized in Income</w:t>
            </w:r>
          </w:p>
        </w:tc>
        <w:tc>
          <w:tcPr>
            <w:tcW w:w="260" w:type="dxa"/>
            <w:vAlign w:val="bottom"/>
          </w:tcPr>
          <w:p>
            <w:pPr>
              <w:spacing w:after="0"/>
              <w:rPr>
                <w:sz w:val="17"/>
                <w:szCs w:val="17"/>
                <w:color w:val="auto"/>
              </w:rPr>
            </w:pPr>
          </w:p>
        </w:tc>
        <w:tc>
          <w:tcPr>
            <w:tcW w:w="2320" w:type="dxa"/>
            <w:vAlign w:val="bottom"/>
            <w:gridSpan w:val="6"/>
          </w:tcPr>
          <w:p>
            <w:pPr>
              <w:jc w:val="center"/>
              <w:ind w:right="360"/>
              <w:spacing w:after="0"/>
              <w:rPr>
                <w:sz w:val="20"/>
                <w:szCs w:val="20"/>
                <w:color w:val="auto"/>
              </w:rPr>
            </w:pPr>
            <w:r>
              <w:rPr>
                <w:rFonts w:ascii="Arial" w:cs="Arial" w:eastAsia="Arial" w:hAnsi="Arial"/>
                <w:sz w:val="17"/>
                <w:szCs w:val="17"/>
                <w:b w:val="1"/>
                <w:bCs w:val="1"/>
                <w:color w:val="auto"/>
                <w:w w:val="89"/>
              </w:rPr>
              <w:t>Recognized in Income</w:t>
            </w:r>
          </w:p>
        </w:tc>
        <w:tc>
          <w:tcPr>
            <w:tcW w:w="0" w:type="dxa"/>
            <w:vAlign w:val="bottom"/>
          </w:tcPr>
          <w:p>
            <w:pPr>
              <w:spacing w:after="0"/>
              <w:rPr>
                <w:sz w:val="1"/>
                <w:szCs w:val="1"/>
                <w:color w:val="auto"/>
              </w:rPr>
            </w:pPr>
          </w:p>
        </w:tc>
      </w:tr>
      <w:tr>
        <w:trPr>
          <w:trHeight w:val="227"/>
        </w:trPr>
        <w:tc>
          <w:tcPr>
            <w:tcW w:w="3440" w:type="dxa"/>
            <w:vAlign w:val="bottom"/>
          </w:tcPr>
          <w:p>
            <w:pPr>
              <w:spacing w:after="0"/>
              <w:rPr>
                <w:sz w:val="19"/>
                <w:szCs w:val="19"/>
                <w:color w:val="auto"/>
              </w:rPr>
            </w:pPr>
          </w:p>
        </w:tc>
        <w:tc>
          <w:tcPr>
            <w:tcW w:w="2060" w:type="dxa"/>
            <w:vAlign w:val="bottom"/>
          </w:tcPr>
          <w:p>
            <w:pPr>
              <w:jc w:val="center"/>
              <w:ind w:left="375"/>
              <w:spacing w:after="0"/>
              <w:rPr>
                <w:sz w:val="20"/>
                <w:szCs w:val="20"/>
                <w:color w:val="auto"/>
              </w:rPr>
            </w:pPr>
            <w:r>
              <w:rPr>
                <w:rFonts w:ascii="Arial" w:cs="Arial" w:eastAsia="Arial" w:hAnsi="Arial"/>
                <w:sz w:val="17"/>
                <w:szCs w:val="17"/>
                <w:b w:val="1"/>
                <w:bCs w:val="1"/>
                <w:color w:val="auto"/>
                <w:w w:val="91"/>
              </w:rPr>
              <w:t>in Income on</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3"/>
          </w:tcPr>
          <w:p>
            <w:pPr>
              <w:jc w:val="center"/>
              <w:ind w:left="435"/>
              <w:spacing w:after="0"/>
              <w:rPr>
                <w:sz w:val="20"/>
                <w:szCs w:val="20"/>
                <w:color w:val="auto"/>
              </w:rPr>
            </w:pPr>
            <w:r>
              <w:rPr>
                <w:rFonts w:ascii="Arial" w:cs="Arial" w:eastAsia="Arial" w:hAnsi="Arial"/>
                <w:sz w:val="17"/>
                <w:szCs w:val="17"/>
                <w:b w:val="1"/>
                <w:bCs w:val="1"/>
                <w:color w:val="auto"/>
                <w:w w:val="91"/>
              </w:rPr>
              <w:t>on Derivative</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gridSpan w:val="6"/>
          </w:tcPr>
          <w:p>
            <w:pPr>
              <w:jc w:val="center"/>
              <w:ind w:right="360"/>
              <w:spacing w:after="0"/>
              <w:rPr>
                <w:sz w:val="20"/>
                <w:szCs w:val="20"/>
                <w:color w:val="auto"/>
              </w:rPr>
            </w:pPr>
            <w:r>
              <w:rPr>
                <w:rFonts w:ascii="Arial" w:cs="Arial" w:eastAsia="Arial" w:hAnsi="Arial"/>
                <w:sz w:val="17"/>
                <w:szCs w:val="17"/>
                <w:b w:val="1"/>
                <w:bCs w:val="1"/>
                <w:color w:val="auto"/>
                <w:w w:val="90"/>
              </w:rPr>
              <w:t>on Hedged Item</w:t>
            </w:r>
          </w:p>
        </w:tc>
        <w:tc>
          <w:tcPr>
            <w:tcW w:w="0" w:type="dxa"/>
            <w:vAlign w:val="bottom"/>
          </w:tcPr>
          <w:p>
            <w:pPr>
              <w:spacing w:after="0"/>
              <w:rPr>
                <w:sz w:val="1"/>
                <w:szCs w:val="1"/>
                <w:color w:val="auto"/>
              </w:rPr>
            </w:pPr>
          </w:p>
        </w:tc>
      </w:tr>
      <w:tr>
        <w:trPr>
          <w:trHeight w:val="211"/>
        </w:trPr>
        <w:tc>
          <w:tcPr>
            <w:tcW w:w="3440" w:type="dxa"/>
            <w:vAlign w:val="bottom"/>
          </w:tcPr>
          <w:p>
            <w:pPr>
              <w:spacing w:after="0"/>
              <w:rPr>
                <w:sz w:val="18"/>
                <w:szCs w:val="18"/>
                <w:color w:val="auto"/>
              </w:rPr>
            </w:pPr>
          </w:p>
        </w:tc>
        <w:tc>
          <w:tcPr>
            <w:tcW w:w="2060" w:type="dxa"/>
            <w:vAlign w:val="bottom"/>
            <w:tcBorders>
              <w:bottom w:val="single" w:sz="8" w:color="auto"/>
            </w:tcBorders>
          </w:tcPr>
          <w:p>
            <w:pPr>
              <w:jc w:val="center"/>
              <w:ind w:left="375"/>
              <w:spacing w:after="0"/>
              <w:rPr>
                <w:sz w:val="20"/>
                <w:szCs w:val="20"/>
                <w:color w:val="auto"/>
              </w:rPr>
            </w:pPr>
            <w:r>
              <w:rPr>
                <w:rFonts w:ascii="Arial" w:cs="Arial" w:eastAsia="Arial" w:hAnsi="Arial"/>
                <w:sz w:val="17"/>
                <w:szCs w:val="17"/>
                <w:b w:val="1"/>
                <w:bCs w:val="1"/>
                <w:color w:val="auto"/>
                <w:w w:val="93"/>
              </w:rPr>
              <w:t>Derivative</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2015</w:t>
            </w:r>
          </w:p>
        </w:tc>
        <w:tc>
          <w:tcPr>
            <w:tcW w:w="22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w w:val="89"/>
              </w:rPr>
              <w:t>2014</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40" w:type="dxa"/>
            <w:vAlign w:val="bottom"/>
            <w:shd w:val="clear" w:color="auto" w:fill="F0FFFF"/>
          </w:tcPr>
          <w:p>
            <w:pPr>
              <w:spacing w:after="0"/>
              <w:rPr>
                <w:sz w:val="20"/>
                <w:szCs w:val="20"/>
                <w:color w:val="auto"/>
              </w:rPr>
            </w:pPr>
            <w:r>
              <w:rPr>
                <w:rFonts w:ascii="Arial" w:cs="Arial" w:eastAsia="Arial" w:hAnsi="Arial"/>
                <w:sz w:val="17"/>
                <w:szCs w:val="17"/>
                <w:b w:val="1"/>
                <w:bCs w:val="1"/>
                <w:color w:val="auto"/>
              </w:rPr>
              <w:t>Three Months Ended March 31,</w:t>
            </w:r>
          </w:p>
        </w:tc>
        <w:tc>
          <w:tcPr>
            <w:tcW w:w="2060" w:type="dxa"/>
            <w:vAlign w:val="bottom"/>
            <w:shd w:val="clear" w:color="auto" w:fill="F0FFFF"/>
          </w:tcPr>
          <w:p>
            <w:pPr>
              <w:spacing w:after="0"/>
              <w:rPr>
                <w:sz w:val="17"/>
                <w:szCs w:val="17"/>
                <w:color w:val="auto"/>
              </w:rPr>
            </w:pPr>
          </w:p>
        </w:tc>
        <w:tc>
          <w:tcPr>
            <w:tcW w:w="4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40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40" w:type="dxa"/>
            <w:vAlign w:val="bottom"/>
          </w:tcPr>
          <w:p>
            <w:pPr>
              <w:spacing w:after="0"/>
              <w:rPr>
                <w:sz w:val="20"/>
                <w:szCs w:val="20"/>
                <w:color w:val="auto"/>
              </w:rPr>
            </w:pPr>
            <w:r>
              <w:rPr>
                <w:rFonts w:ascii="Arial" w:cs="Arial" w:eastAsia="Arial" w:hAnsi="Arial"/>
                <w:sz w:val="17"/>
                <w:szCs w:val="17"/>
                <w:color w:val="auto"/>
              </w:rPr>
              <w:t>Fair value hedges of brokered CD’s</w:t>
            </w:r>
          </w:p>
        </w:tc>
        <w:tc>
          <w:tcPr>
            <w:tcW w:w="2060" w:type="dxa"/>
            <w:vAlign w:val="bottom"/>
          </w:tcPr>
          <w:p>
            <w:pPr>
              <w:spacing w:after="0"/>
              <w:rPr>
                <w:sz w:val="20"/>
                <w:szCs w:val="20"/>
                <w:color w:val="auto"/>
              </w:rPr>
            </w:pPr>
            <w:r>
              <w:rPr>
                <w:rFonts w:ascii="Arial" w:cs="Arial" w:eastAsia="Arial" w:hAnsi="Arial"/>
                <w:sz w:val="17"/>
                <w:szCs w:val="17"/>
                <w:color w:val="auto"/>
              </w:rPr>
              <w:t>Interest expense</w:t>
            </w:r>
          </w:p>
        </w:tc>
        <w:tc>
          <w:tcPr>
            <w:tcW w:w="8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2,370</w:t>
            </w:r>
          </w:p>
        </w:tc>
        <w:tc>
          <w:tcPr>
            <w:tcW w:w="220" w:type="dxa"/>
            <w:vAlign w:val="bottom"/>
          </w:tcPr>
          <w:p>
            <w:pPr>
              <w:spacing w:after="0"/>
              <w:rPr>
                <w:sz w:val="17"/>
                <w:szCs w:val="17"/>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5,853</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(2,405)</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(6,034)</w:t>
            </w:r>
          </w:p>
        </w:tc>
        <w:tc>
          <w:tcPr>
            <w:tcW w:w="0" w:type="dxa"/>
            <w:vAlign w:val="bottom"/>
          </w:tcPr>
          <w:p>
            <w:pPr>
              <w:spacing w:after="0"/>
              <w:rPr>
                <w:sz w:val="1"/>
                <w:szCs w:val="1"/>
                <w:color w:val="auto"/>
              </w:rPr>
            </w:pPr>
          </w:p>
        </w:tc>
      </w:tr>
      <w:tr>
        <w:trPr>
          <w:trHeight w:val="205"/>
        </w:trPr>
        <w:tc>
          <w:tcPr>
            <w:tcW w:w="3440" w:type="dxa"/>
            <w:vAlign w:val="bottom"/>
            <w:shd w:val="clear" w:color="auto" w:fill="F0FFFF"/>
          </w:tcPr>
          <w:p>
            <w:pPr>
              <w:spacing w:after="0"/>
              <w:rPr>
                <w:sz w:val="20"/>
                <w:szCs w:val="20"/>
                <w:color w:val="auto"/>
              </w:rPr>
            </w:pPr>
            <w:r>
              <w:rPr>
                <w:rFonts w:ascii="Arial" w:cs="Arial" w:eastAsia="Arial" w:hAnsi="Arial"/>
                <w:sz w:val="17"/>
                <w:szCs w:val="17"/>
                <w:color w:val="auto"/>
              </w:rPr>
              <w:t>Fair value hedges of corporate bonds</w:t>
            </w:r>
          </w:p>
        </w:tc>
        <w:tc>
          <w:tcPr>
            <w:tcW w:w="2060" w:type="dxa"/>
            <w:vAlign w:val="bottom"/>
            <w:shd w:val="clear" w:color="auto" w:fill="F0FFFF"/>
          </w:tcPr>
          <w:p>
            <w:pPr>
              <w:spacing w:after="0"/>
              <w:rPr>
                <w:sz w:val="20"/>
                <w:szCs w:val="20"/>
                <w:color w:val="auto"/>
              </w:rPr>
            </w:pPr>
            <w:r>
              <w:rPr>
                <w:rFonts w:ascii="Arial" w:cs="Arial" w:eastAsia="Arial" w:hAnsi="Arial"/>
                <w:sz w:val="17"/>
                <w:szCs w:val="17"/>
                <w:color w:val="auto"/>
              </w:rPr>
              <w:t>Interest revenue</w:t>
            </w:r>
          </w:p>
        </w:tc>
        <w:tc>
          <w:tcPr>
            <w:tcW w:w="4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(345)</w:t>
            </w:r>
          </w:p>
        </w:tc>
        <w:tc>
          <w:tcPr>
            <w:tcW w:w="400" w:type="dxa"/>
            <w:vAlign w:val="bottom"/>
            <w:shd w:val="clear" w:color="auto" w:fill="F0FFFF"/>
          </w:tcPr>
          <w:p>
            <w:pPr>
              <w:spacing w:after="0"/>
              <w:rPr>
                <w:sz w:val="17"/>
                <w:szCs w:val="17"/>
                <w:color w:val="auto"/>
              </w:rPr>
            </w:pPr>
          </w:p>
        </w:tc>
        <w:tc>
          <w:tcPr>
            <w:tcW w:w="98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(1,704)</w:t>
            </w:r>
          </w:p>
        </w:tc>
        <w:tc>
          <w:tcPr>
            <w:tcW w:w="260" w:type="dxa"/>
            <w:vAlign w:val="bottom"/>
            <w:shd w:val="clear" w:color="auto" w:fill="F0FFFF"/>
          </w:tcPr>
          <w:p>
            <w:pPr>
              <w:spacing w:after="0"/>
              <w:rPr>
                <w:sz w:val="17"/>
                <w:szCs w:val="17"/>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343</w:t>
            </w:r>
          </w:p>
        </w:tc>
        <w:tc>
          <w:tcPr>
            <w:tcW w:w="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1,496</w:t>
            </w:r>
          </w:p>
        </w:tc>
        <w:tc>
          <w:tcPr>
            <w:tcW w:w="0" w:type="dxa"/>
            <w:vAlign w:val="bottom"/>
          </w:tcPr>
          <w:p>
            <w:pPr>
              <w:spacing w:after="0"/>
              <w:rPr>
                <w:sz w:val="1"/>
                <w:szCs w:val="1"/>
                <w:color w:val="auto"/>
              </w:rPr>
            </w:pPr>
          </w:p>
        </w:tc>
      </w:tr>
      <w:tr>
        <w:trPr>
          <w:trHeight w:val="26"/>
        </w:trPr>
        <w:tc>
          <w:tcPr>
            <w:tcW w:w="3440" w:type="dxa"/>
            <w:vAlign w:val="bottom"/>
            <w:shd w:val="clear" w:color="auto" w:fill="F0FFFF"/>
          </w:tcPr>
          <w:p>
            <w:pPr>
              <w:spacing w:after="0"/>
              <w:rPr>
                <w:sz w:val="2"/>
                <w:szCs w:val="2"/>
                <w:color w:val="auto"/>
              </w:rPr>
            </w:pPr>
          </w:p>
        </w:tc>
        <w:tc>
          <w:tcPr>
            <w:tcW w:w="2060" w:type="dxa"/>
            <w:vAlign w:val="bottom"/>
            <w:shd w:val="clear" w:color="auto" w:fill="F0FFFF"/>
          </w:tcPr>
          <w:p>
            <w:pPr>
              <w:spacing w:after="0"/>
              <w:rPr>
                <w:sz w:val="2"/>
                <w:szCs w:val="2"/>
                <w:color w:val="auto"/>
              </w:rPr>
            </w:pPr>
          </w:p>
        </w:tc>
        <w:tc>
          <w:tcPr>
            <w:tcW w:w="46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34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2,025</w:t>
            </w:r>
          </w:p>
        </w:tc>
        <w:tc>
          <w:tcPr>
            <w:tcW w:w="220" w:type="dxa"/>
            <w:vAlign w:val="bottom"/>
          </w:tcPr>
          <w:p>
            <w:pPr>
              <w:spacing w:after="0"/>
              <w:rPr>
                <w:sz w:val="17"/>
                <w:szCs w:val="17"/>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4,149</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(2,062)</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(4,538)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vMerge w:val="restart"/>
          </w:tcPr>
          <w:p>
            <w:pPr>
              <w:jc w:val="right"/>
              <w:ind w:right="75"/>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3440" w:type="dxa"/>
            <w:vAlign w:val="bottom"/>
            <w:tcBorders>
              <w:bottom w:val="single" w:sz="8" w:color="DCDCDC"/>
            </w:tcBorders>
          </w:tcPr>
          <w:p>
            <w:pPr>
              <w:spacing w:after="0"/>
              <w:rPr>
                <w:sz w:val="24"/>
                <w:szCs w:val="24"/>
                <w:color w:val="auto"/>
              </w:rPr>
            </w:pPr>
          </w:p>
        </w:tc>
        <w:tc>
          <w:tcPr>
            <w:tcW w:w="2060" w:type="dxa"/>
            <w:vAlign w:val="bottom"/>
            <w:tcBorders>
              <w:bottom w:val="single" w:sz="8" w:color="DCDCDC"/>
            </w:tcBorders>
          </w:tcPr>
          <w:p>
            <w:pPr>
              <w:spacing w:after="0"/>
              <w:rPr>
                <w:sz w:val="24"/>
                <w:szCs w:val="24"/>
                <w:color w:val="auto"/>
              </w:rPr>
            </w:pPr>
          </w:p>
        </w:tc>
        <w:tc>
          <w:tcPr>
            <w:tcW w:w="460" w:type="dxa"/>
            <w:vAlign w:val="bottom"/>
            <w:tcBorders>
              <w:bottom w:val="single" w:sz="8" w:color="DCDCDC"/>
            </w:tcBorders>
            <w:vMerge w:val="continue"/>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400" w:type="dxa"/>
            <w:vAlign w:val="bottom"/>
            <w:tcBorders>
              <w:bottom w:val="single" w:sz="8" w:color="DCDCDC"/>
            </w:tcBorders>
          </w:tcPr>
          <w:p>
            <w:pPr>
              <w:spacing w:after="0"/>
              <w:rPr>
                <w:sz w:val="24"/>
                <w:szCs w:val="24"/>
                <w:color w:val="auto"/>
              </w:rPr>
            </w:pPr>
          </w:p>
        </w:tc>
        <w:tc>
          <w:tcPr>
            <w:tcW w:w="7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9"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7"/>
          <w:szCs w:val="17"/>
          <w:b w:val="1"/>
          <w:bCs w:val="1"/>
          <w:color w:val="auto"/>
        </w:rPr>
        <w:t>UNITED COMMUNITY BANKS,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certain cases, the estate of deceased brokered certificate of deposit holders may put the certificate of deposit back to the issuing bank at par upon the death of the holder. When these estate puts occur, a gain or loss is recognized for the difference between the fair value and the par amount of the deposits put back. The change in the fair value of brokered time deposits that are being hedged in fair value hedging relationships reported in the table above includes gains and losses from estate puts and such gains and losses are included in the amount of reported ineffectiveness gains or losses.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Derivatives in Cash Flow Hedging Relationships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4"/>
          </w:tcPr>
          <w:p>
            <w:pPr>
              <w:jc w:val="center"/>
              <w:ind w:right="135"/>
              <w:spacing w:after="0"/>
              <w:rPr>
                <w:sz w:val="20"/>
                <w:szCs w:val="20"/>
                <w:color w:val="auto"/>
              </w:rPr>
            </w:pPr>
            <w:r>
              <w:rPr>
                <w:rFonts w:ascii="Arial" w:cs="Arial" w:eastAsia="Arial" w:hAnsi="Arial"/>
                <w:sz w:val="17"/>
                <w:szCs w:val="17"/>
                <w:b w:val="1"/>
                <w:bCs w:val="1"/>
                <w:color w:val="auto"/>
                <w:w w:val="91"/>
              </w:rPr>
              <w:t>Amount of Gain (Loss)</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4"/>
          </w:tcPr>
          <w:p>
            <w:pPr>
              <w:jc w:val="center"/>
              <w:ind w:right="155"/>
              <w:spacing w:after="0"/>
              <w:rPr>
                <w:sz w:val="20"/>
                <w:szCs w:val="20"/>
                <w:color w:val="auto"/>
              </w:rPr>
            </w:pPr>
            <w:r>
              <w:rPr>
                <w:rFonts w:ascii="Arial" w:cs="Arial" w:eastAsia="Arial" w:hAnsi="Arial"/>
                <w:sz w:val="17"/>
                <w:szCs w:val="17"/>
                <w:b w:val="1"/>
                <w:bCs w:val="1"/>
                <w:color w:val="auto"/>
                <w:w w:val="90"/>
              </w:rPr>
              <w:t>Recognized in Other</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4"/>
          </w:tcPr>
          <w:p>
            <w:pPr>
              <w:jc w:val="center"/>
              <w:ind w:right="135"/>
              <w:spacing w:after="0"/>
              <w:rPr>
                <w:sz w:val="20"/>
                <w:szCs w:val="20"/>
                <w:color w:val="auto"/>
              </w:rPr>
            </w:pPr>
            <w:r>
              <w:rPr>
                <w:rFonts w:ascii="Arial" w:cs="Arial" w:eastAsia="Arial" w:hAnsi="Arial"/>
                <w:sz w:val="17"/>
                <w:szCs w:val="17"/>
                <w:b w:val="1"/>
                <w:bCs w:val="1"/>
                <w:color w:val="auto"/>
                <w:w w:val="89"/>
              </w:rPr>
              <w:t>Comprehensive Income</w:t>
            </w:r>
          </w:p>
        </w:tc>
        <w:tc>
          <w:tcPr>
            <w:tcW w:w="100" w:type="dxa"/>
            <w:vAlign w:val="bottom"/>
          </w:tcPr>
          <w:p>
            <w:pPr>
              <w:spacing w:after="0"/>
              <w:rPr>
                <w:sz w:val="17"/>
                <w:szCs w:val="17"/>
                <w:color w:val="auto"/>
              </w:rPr>
            </w:pPr>
          </w:p>
        </w:tc>
        <w:tc>
          <w:tcPr>
            <w:tcW w:w="3440" w:type="dxa"/>
            <w:vAlign w:val="bottom"/>
            <w:gridSpan w:val="7"/>
          </w:tcPr>
          <w:p>
            <w:pPr>
              <w:jc w:val="center"/>
              <w:ind w:left="135"/>
              <w:spacing w:after="0"/>
              <w:rPr>
                <w:sz w:val="20"/>
                <w:szCs w:val="20"/>
                <w:color w:val="auto"/>
              </w:rPr>
            </w:pPr>
            <w:r>
              <w:rPr>
                <w:rFonts w:ascii="Arial" w:cs="Arial" w:eastAsia="Arial" w:hAnsi="Arial"/>
                <w:sz w:val="17"/>
                <w:szCs w:val="17"/>
                <w:b w:val="1"/>
                <w:bCs w:val="1"/>
                <w:color w:val="auto"/>
                <w:w w:val="90"/>
              </w:rPr>
              <w:t>Gain (Loss) Reclassified from Accumulated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4"/>
          </w:tcPr>
          <w:p>
            <w:pPr>
              <w:jc w:val="center"/>
              <w:ind w:right="155"/>
              <w:spacing w:after="0"/>
              <w:rPr>
                <w:sz w:val="20"/>
                <w:szCs w:val="20"/>
                <w:color w:val="auto"/>
              </w:rPr>
            </w:pPr>
            <w:r>
              <w:rPr>
                <w:rFonts w:ascii="Arial" w:cs="Arial" w:eastAsia="Arial" w:hAnsi="Arial"/>
                <w:sz w:val="17"/>
                <w:szCs w:val="17"/>
                <w:b w:val="1"/>
                <w:bCs w:val="1"/>
                <w:color w:val="auto"/>
                <w:w w:val="92"/>
              </w:rPr>
              <w:t>on Derivative (Effective</w:t>
            </w:r>
          </w:p>
        </w:tc>
        <w:tc>
          <w:tcPr>
            <w:tcW w:w="100" w:type="dxa"/>
            <w:vAlign w:val="bottom"/>
          </w:tcPr>
          <w:p>
            <w:pPr>
              <w:spacing w:after="0"/>
              <w:rPr>
                <w:sz w:val="17"/>
                <w:szCs w:val="17"/>
                <w:color w:val="auto"/>
              </w:rPr>
            </w:pPr>
          </w:p>
        </w:tc>
        <w:tc>
          <w:tcPr>
            <w:tcW w:w="3440" w:type="dxa"/>
            <w:vAlign w:val="bottom"/>
            <w:gridSpan w:val="7"/>
          </w:tcPr>
          <w:p>
            <w:pPr>
              <w:jc w:val="center"/>
              <w:ind w:left="135"/>
              <w:spacing w:after="0"/>
              <w:rPr>
                <w:sz w:val="20"/>
                <w:szCs w:val="20"/>
                <w:color w:val="auto"/>
              </w:rPr>
            </w:pPr>
            <w:r>
              <w:rPr>
                <w:rFonts w:ascii="Arial" w:cs="Arial" w:eastAsia="Arial" w:hAnsi="Arial"/>
                <w:sz w:val="17"/>
                <w:szCs w:val="17"/>
                <w:b w:val="1"/>
                <w:bCs w:val="1"/>
                <w:color w:val="auto"/>
                <w:w w:val="90"/>
              </w:rPr>
              <w:t>Other Comprehensive Income into Income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20" w:type="dxa"/>
            <w:vAlign w:val="bottom"/>
            <w:gridSpan w:val="8"/>
          </w:tcPr>
          <w:p>
            <w:pPr>
              <w:jc w:val="center"/>
              <w:ind w:right="120"/>
              <w:spacing w:after="0"/>
              <w:rPr>
                <w:sz w:val="20"/>
                <w:szCs w:val="20"/>
                <w:color w:val="auto"/>
              </w:rPr>
            </w:pPr>
            <w:r>
              <w:rPr>
                <w:rFonts w:ascii="Arial" w:cs="Arial" w:eastAsia="Arial" w:hAnsi="Arial"/>
                <w:sz w:val="17"/>
                <w:szCs w:val="17"/>
                <w:b w:val="1"/>
                <w:bCs w:val="1"/>
                <w:color w:val="auto"/>
                <w:w w:val="89"/>
              </w:rPr>
              <w:t>Gain (Loss) Recognized in Income on</w:t>
            </w:r>
          </w:p>
        </w:tc>
      </w:tr>
      <w:tr>
        <w:trPr>
          <w:trHeight w:val="227"/>
        </w:trPr>
        <w:tc>
          <w:tcPr>
            <w:tcW w:w="1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left="535"/>
              <w:spacing w:after="0"/>
              <w:rPr>
                <w:sz w:val="20"/>
                <w:szCs w:val="20"/>
                <w:color w:val="auto"/>
              </w:rPr>
            </w:pPr>
            <w:r>
              <w:rPr>
                <w:rFonts w:ascii="Arial" w:cs="Arial" w:eastAsia="Arial" w:hAnsi="Arial"/>
                <w:sz w:val="17"/>
                <w:szCs w:val="17"/>
                <w:color w:val="auto"/>
                <w:w w:val="94"/>
              </w:rPr>
              <w:t>Portion)</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7"/>
                <w:szCs w:val="17"/>
                <w:b w:val="1"/>
                <w:bCs w:val="1"/>
                <w:color w:val="auto"/>
                <w:w w:val="91"/>
              </w:rPr>
              <w:t>(Effective Portion)</w:t>
            </w: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tcBorders>
              <w:bottom w:val="single" w:sz="8" w:color="auto"/>
            </w:tcBorders>
            <w:gridSpan w:val="6"/>
          </w:tcPr>
          <w:p>
            <w:pPr>
              <w:jc w:val="center"/>
              <w:ind w:left="595"/>
              <w:spacing w:after="0"/>
              <w:rPr>
                <w:sz w:val="20"/>
                <w:szCs w:val="20"/>
                <w:color w:val="auto"/>
              </w:rPr>
            </w:pPr>
            <w:r>
              <w:rPr>
                <w:rFonts w:ascii="Arial" w:cs="Arial" w:eastAsia="Arial" w:hAnsi="Arial"/>
                <w:sz w:val="17"/>
                <w:szCs w:val="17"/>
                <w:b w:val="1"/>
                <w:bCs w:val="1"/>
                <w:color w:val="auto"/>
                <w:w w:val="91"/>
              </w:rPr>
              <w:t>Derivative (Ineffective Portion)</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75"/>
              <w:spacing w:after="0"/>
              <w:rPr>
                <w:sz w:val="20"/>
                <w:szCs w:val="20"/>
                <w:color w:val="auto"/>
              </w:rPr>
            </w:pPr>
            <w:r>
              <w:rPr>
                <w:rFonts w:ascii="Arial" w:cs="Arial" w:eastAsia="Arial" w:hAnsi="Arial"/>
                <w:sz w:val="17"/>
                <w:szCs w:val="17"/>
                <w:b w:val="1"/>
                <w:bCs w:val="1"/>
                <w:color w:val="auto"/>
              </w:rPr>
              <w:t>2015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5"/>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8"/>
                <w:szCs w:val="18"/>
                <w:color w:val="auto"/>
              </w:rPr>
            </w:pPr>
          </w:p>
        </w:tc>
        <w:tc>
          <w:tcPr>
            <w:tcW w:w="1140" w:type="dxa"/>
            <w:vAlign w:val="bottom"/>
          </w:tcPr>
          <w:p>
            <w:pPr>
              <w:ind w:left="240"/>
              <w:spacing w:after="0"/>
              <w:rPr>
                <w:sz w:val="20"/>
                <w:szCs w:val="20"/>
                <w:color w:val="auto"/>
              </w:rPr>
            </w:pPr>
            <w:r>
              <w:rPr>
                <w:rFonts w:ascii="Arial" w:cs="Arial" w:eastAsia="Arial" w:hAnsi="Arial"/>
                <w:sz w:val="17"/>
                <w:szCs w:val="17"/>
                <w:b w:val="1"/>
                <w:bCs w:val="1"/>
                <w:color w:val="auto"/>
              </w:rPr>
              <w:t>Location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center"/>
              <w:ind w:right="75"/>
              <w:spacing w:after="0"/>
              <w:rPr>
                <w:sz w:val="20"/>
                <w:szCs w:val="20"/>
                <w:color w:val="auto"/>
              </w:rPr>
            </w:pPr>
            <w:r>
              <w:rPr>
                <w:rFonts w:ascii="Arial" w:cs="Arial" w:eastAsia="Arial" w:hAnsi="Arial"/>
                <w:sz w:val="17"/>
                <w:szCs w:val="17"/>
                <w:b w:val="1"/>
                <w:bCs w:val="1"/>
                <w:color w:val="auto"/>
                <w:w w:val="89"/>
              </w:rPr>
              <w:t>2015</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2014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ind w:left="220"/>
              <w:spacing w:after="0"/>
              <w:rPr>
                <w:sz w:val="20"/>
                <w:szCs w:val="20"/>
                <w:color w:val="auto"/>
              </w:rPr>
            </w:pPr>
            <w:r>
              <w:rPr>
                <w:rFonts w:ascii="Arial" w:cs="Arial" w:eastAsia="Arial" w:hAnsi="Arial"/>
                <w:sz w:val="17"/>
                <w:szCs w:val="17"/>
                <w:b w:val="1"/>
                <w:bCs w:val="1"/>
                <w:color w:val="auto"/>
              </w:rPr>
              <w:t>Location</w:t>
            </w:r>
          </w:p>
        </w:tc>
        <w:tc>
          <w:tcPr>
            <w:tcW w:w="840" w:type="dxa"/>
            <w:vAlign w:val="bottom"/>
          </w:tcPr>
          <w:p>
            <w:pPr>
              <w:jc w:val="center"/>
              <w:ind w:right="95"/>
              <w:spacing w:after="0"/>
              <w:rPr>
                <w:sz w:val="20"/>
                <w:szCs w:val="20"/>
                <w:color w:val="auto"/>
              </w:rPr>
            </w:pPr>
            <w:r>
              <w:rPr>
                <w:rFonts w:ascii="Arial" w:cs="Arial" w:eastAsia="Arial" w:hAnsi="Arial"/>
                <w:sz w:val="17"/>
                <w:szCs w:val="17"/>
                <w:b w:val="1"/>
                <w:bCs w:val="1"/>
                <w:color w:val="auto"/>
                <w:w w:val="89"/>
              </w:rPr>
              <w:t>2015</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jc w:val="right"/>
              <w:ind w:right="235"/>
              <w:spacing w:after="0"/>
              <w:rPr>
                <w:sz w:val="20"/>
                <w:szCs w:val="20"/>
                <w:color w:val="auto"/>
              </w:rPr>
            </w:pPr>
            <w:r>
              <w:rPr>
                <w:rFonts w:ascii="Arial" w:cs="Arial" w:eastAsia="Arial" w:hAnsi="Arial"/>
                <w:sz w:val="17"/>
                <w:szCs w:val="17"/>
                <w:b w:val="1"/>
                <w:bCs w:val="1"/>
                <w:color w:val="auto"/>
                <w:w w:val="89"/>
              </w:rPr>
              <w:t>2014</w:t>
            </w:r>
          </w:p>
        </w:tc>
        <w:tc>
          <w:tcPr>
            <w:tcW w:w="100" w:type="dxa"/>
            <w:vAlign w:val="bottom"/>
          </w:tcPr>
          <w:p>
            <w:pPr>
              <w:spacing w:after="0"/>
              <w:rPr>
                <w:sz w:val="18"/>
                <w:szCs w:val="18"/>
                <w:color w:val="auto"/>
              </w:rPr>
            </w:pPr>
          </w:p>
        </w:tc>
      </w:tr>
      <w:tr>
        <w:trPr>
          <w:trHeight w:val="211"/>
        </w:trPr>
        <w:tc>
          <w:tcPr>
            <w:tcW w:w="1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2980" w:type="dxa"/>
            <w:vAlign w:val="bottom"/>
            <w:gridSpan w:val="5"/>
            <w:shd w:val="clear" w:color="auto" w:fill="F0FFFF"/>
          </w:tcPr>
          <w:p>
            <w:pPr>
              <w:spacing w:after="0"/>
              <w:rPr>
                <w:sz w:val="20"/>
                <w:szCs w:val="20"/>
                <w:color w:val="auto"/>
              </w:rPr>
            </w:pPr>
            <w:r>
              <w:rPr>
                <w:rFonts w:ascii="Arial" w:cs="Arial" w:eastAsia="Arial" w:hAnsi="Arial"/>
                <w:sz w:val="17"/>
                <w:szCs w:val="17"/>
                <w:b w:val="1"/>
                <w:bCs w:val="1"/>
                <w:color w:val="auto"/>
              </w:rPr>
              <w:t>Three Months Ended March 31,</w:t>
            </w:r>
          </w:p>
        </w:tc>
        <w:tc>
          <w:tcPr>
            <w:tcW w:w="8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1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86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20" w:type="dxa"/>
            <w:vAlign w:val="bottom"/>
            <w:shd w:val="clear" w:color="auto" w:fill="F0FFFF"/>
          </w:tcPr>
          <w:p>
            <w:pPr>
              <w:spacing w:after="0"/>
              <w:rPr>
                <w:sz w:val="19"/>
                <w:szCs w:val="19"/>
                <w:color w:val="auto"/>
              </w:rPr>
            </w:pPr>
          </w:p>
        </w:tc>
        <w:tc>
          <w:tcPr>
            <w:tcW w:w="88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84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420" w:type="dxa"/>
            <w:vAlign w:val="bottom"/>
            <w:shd w:val="clear" w:color="auto" w:fill="F0FFFF"/>
          </w:tcPr>
          <w:p>
            <w:pPr>
              <w:spacing w:after="0"/>
              <w:rPr>
                <w:sz w:val="19"/>
                <w:szCs w:val="19"/>
                <w:color w:val="auto"/>
              </w:rPr>
            </w:pPr>
          </w:p>
        </w:tc>
        <w:tc>
          <w:tcPr>
            <w:tcW w:w="6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r>
      <w:tr>
        <w:trPr>
          <w:trHeight w:val="190"/>
        </w:trPr>
        <w:tc>
          <w:tcPr>
            <w:tcW w:w="138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840" w:type="dxa"/>
            <w:vAlign w:val="bottom"/>
            <w:shd w:val="clear" w:color="auto" w:fill="F0FFFF"/>
          </w:tcPr>
          <w:p>
            <w:pPr>
              <w:spacing w:after="0"/>
              <w:rPr>
                <w:sz w:val="16"/>
                <w:szCs w:val="16"/>
                <w:color w:val="auto"/>
              </w:rPr>
            </w:pPr>
          </w:p>
        </w:tc>
        <w:tc>
          <w:tcPr>
            <w:tcW w:w="30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40" w:type="dxa"/>
            <w:vAlign w:val="bottom"/>
            <w:gridSpan w:val="2"/>
            <w:shd w:val="clear" w:color="auto" w:fill="F0FFFF"/>
          </w:tcPr>
          <w:p>
            <w:pPr>
              <w:spacing w:after="0"/>
              <w:rPr>
                <w:sz w:val="16"/>
                <w:szCs w:val="16"/>
                <w:color w:val="auto"/>
              </w:rPr>
            </w:pPr>
          </w:p>
        </w:tc>
        <w:tc>
          <w:tcPr>
            <w:tcW w:w="1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6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20" w:type="dxa"/>
            <w:vAlign w:val="bottom"/>
            <w:shd w:val="clear" w:color="auto" w:fill="F0FFFF"/>
          </w:tcPr>
          <w:p>
            <w:pPr>
              <w:spacing w:after="0"/>
              <w:rPr>
                <w:sz w:val="16"/>
                <w:szCs w:val="16"/>
                <w:color w:val="auto"/>
              </w:rPr>
            </w:pPr>
          </w:p>
        </w:tc>
        <w:tc>
          <w:tcPr>
            <w:tcW w:w="8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1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8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420" w:type="dxa"/>
            <w:vAlign w:val="bottom"/>
            <w:shd w:val="clear" w:color="auto" w:fill="F0FFFF"/>
          </w:tcPr>
          <w:p>
            <w:pPr>
              <w:spacing w:after="0"/>
              <w:rPr>
                <w:sz w:val="16"/>
                <w:szCs w:val="16"/>
                <w:color w:val="auto"/>
              </w:rPr>
            </w:pPr>
          </w:p>
        </w:tc>
        <w:tc>
          <w:tcPr>
            <w:tcW w:w="6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r>
      <w:tr>
        <w:trPr>
          <w:trHeight w:val="205"/>
        </w:trPr>
        <w:tc>
          <w:tcPr>
            <w:tcW w:w="1600" w:type="dxa"/>
            <w:vAlign w:val="bottom"/>
            <w:gridSpan w:val="2"/>
          </w:tcPr>
          <w:p>
            <w:pPr>
              <w:spacing w:after="0"/>
              <w:rPr>
                <w:sz w:val="20"/>
                <w:szCs w:val="20"/>
                <w:color w:val="auto"/>
              </w:rPr>
            </w:pPr>
            <w:r>
              <w:rPr>
                <w:rFonts w:ascii="Arial" w:cs="Arial" w:eastAsia="Arial" w:hAnsi="Arial"/>
                <w:sz w:val="17"/>
                <w:szCs w:val="17"/>
                <w:color w:val="auto"/>
              </w:rPr>
              <w:t>Interest rate swaps $</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(471) $</w:t>
            </w:r>
          </w:p>
        </w:tc>
        <w:tc>
          <w:tcPr>
            <w:tcW w:w="240" w:type="dxa"/>
            <w:vAlign w:val="bottom"/>
          </w:tcPr>
          <w:p>
            <w:pPr>
              <w:spacing w:after="0"/>
              <w:rPr>
                <w:sz w:val="17"/>
                <w:szCs w:val="17"/>
                <w:color w:val="auto"/>
              </w:rPr>
            </w:pPr>
          </w:p>
        </w:tc>
        <w:tc>
          <w:tcPr>
            <w:tcW w:w="2080" w:type="dxa"/>
            <w:vAlign w:val="bottom"/>
            <w:gridSpan w:val="3"/>
          </w:tcPr>
          <w:p>
            <w:pPr>
              <w:ind w:left="380"/>
              <w:spacing w:after="0"/>
              <w:rPr>
                <w:sz w:val="20"/>
                <w:szCs w:val="20"/>
                <w:color w:val="auto"/>
              </w:rPr>
            </w:pPr>
            <w:r>
              <w:rPr>
                <w:rFonts w:ascii="Arial" w:cs="Arial" w:eastAsia="Arial" w:hAnsi="Arial"/>
                <w:sz w:val="17"/>
                <w:szCs w:val="17"/>
                <w:color w:val="auto"/>
                <w:w w:val="90"/>
              </w:rPr>
              <w:t>(2,833) Interest Expense</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(425)</w:t>
            </w:r>
          </w:p>
        </w:tc>
        <w:tc>
          <w:tcPr>
            <w:tcW w:w="900" w:type="dxa"/>
            <w:vAlign w:val="bottom"/>
            <w:gridSpan w:val="2"/>
          </w:tcPr>
          <w:p>
            <w:pPr>
              <w:jc w:val="right"/>
              <w:ind w:right="800"/>
              <w:spacing w:after="0"/>
              <w:rPr>
                <w:sz w:val="20"/>
                <w:szCs w:val="20"/>
                <w:color w:val="auto"/>
              </w:rPr>
            </w:pPr>
            <w:r>
              <w:rPr>
                <w:rFonts w:ascii="Arial" w:cs="Arial" w:eastAsia="Arial" w:hAnsi="Arial"/>
                <w:sz w:val="17"/>
                <w:szCs w:val="17"/>
                <w:color w:val="auto"/>
                <w:w w:val="84"/>
              </w:rPr>
              <w:t>$</w:t>
            </w:r>
          </w:p>
        </w:tc>
        <w:tc>
          <w:tcPr>
            <w:tcW w:w="1820" w:type="dxa"/>
            <w:vAlign w:val="bottom"/>
            <w:gridSpan w:val="5"/>
          </w:tcPr>
          <w:p>
            <w:pPr>
              <w:spacing w:after="0"/>
              <w:rPr>
                <w:sz w:val="20"/>
                <w:szCs w:val="20"/>
                <w:color w:val="auto"/>
              </w:rPr>
            </w:pPr>
            <w:r>
              <w:rPr>
                <w:rFonts w:ascii="Arial" w:cs="Arial" w:eastAsia="Arial" w:hAnsi="Arial"/>
                <w:sz w:val="17"/>
                <w:szCs w:val="17"/>
                <w:color w:val="auto"/>
              </w:rPr>
              <w:t>(97) Interest expense  $</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(7)</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(35)</w:t>
            </w:r>
          </w:p>
        </w:tc>
      </w:tr>
      <w:tr>
        <w:trPr>
          <w:trHeight w:val="20"/>
        </w:trPr>
        <w:tc>
          <w:tcPr>
            <w:tcW w:w="1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Credit-Risk-Related Contingent Features</w:t>
      </w:r>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 As of March 31, 2015, collateral totaling $31.4 million was pledged toward derivatives in a liability position.</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or is subject to a prompt corrective action directive, the counterparty could terminate the derivative positions and United would be required to settle its obligations under the agreements.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Stock-Based Compensation</w:t>
      </w:r>
    </w:p>
    <w:p>
      <w:pPr>
        <w:spacing w:after="0" w:line="24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United has an equity compensation plan that allows for grants of incentive stock options, nonqualified stock options, restricted stock and restricted stock unit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options, restricted stock and restricted stock unit awards provide for accelerated vesting if there is a change in control (as defined in the plan). As of March 31, 2015, 405,000 additional awards could be granted under the plan. Through March 31, 2015, incentive stock options, nonqualified stock options, restricted stock and restricted stock unit awards, base salary stock grants and performance share awards have been granted under the plan.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20"/>
                <w:szCs w:val="20"/>
                <w:color w:val="auto"/>
              </w:rPr>
            </w:pPr>
            <w:r>
              <w:rPr>
                <w:rFonts w:ascii="Arial" w:cs="Arial" w:eastAsia="Arial" w:hAnsi="Arial"/>
                <w:sz w:val="17"/>
                <w:szCs w:val="17"/>
                <w:color w:val="auto"/>
                <w:w w:val="98"/>
              </w:rPr>
              <w:t>The following table shows stock option activity for the first three months of 2015.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w w:val="90"/>
              </w:rPr>
              <w:t>Weighted-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9"/>
              </w:rPr>
              <w:t>Average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0"/>
              </w:rPr>
              <w:t>Aggregate</w:t>
            </w:r>
          </w:p>
        </w:tc>
        <w:tc>
          <w:tcPr>
            <w:tcW w:w="0" w:type="dxa"/>
            <w:vAlign w:val="bottom"/>
          </w:tcPr>
          <w:p>
            <w:pPr>
              <w:spacing w:after="0"/>
              <w:rPr>
                <w:sz w:val="1"/>
                <w:szCs w:val="1"/>
                <w:color w:val="auto"/>
              </w:rPr>
            </w:pP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0"/>
              </w:rPr>
              <w:t>Weighted-</w:t>
            </w:r>
          </w:p>
        </w:tc>
        <w:tc>
          <w:tcPr>
            <w:tcW w:w="12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1"/>
              </w:rPr>
              <w:t>Remaining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5"/>
              </w:rPr>
              <w:t>Intrinisic</w:t>
            </w:r>
          </w:p>
        </w:tc>
        <w:tc>
          <w:tcPr>
            <w:tcW w:w="0" w:type="dxa"/>
            <w:vAlign w:val="bottom"/>
          </w:tcPr>
          <w:p>
            <w:pPr>
              <w:spacing w:after="0"/>
              <w:rPr>
                <w:sz w:val="1"/>
                <w:szCs w:val="1"/>
                <w:color w:val="auto"/>
              </w:rPr>
            </w:pP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4"/>
          </w:tcPr>
          <w:p>
            <w:pPr>
              <w:jc w:val="center"/>
              <w:ind w:right="120"/>
              <w:spacing w:after="0"/>
              <w:rPr>
                <w:sz w:val="20"/>
                <w:szCs w:val="20"/>
                <w:color w:val="auto"/>
              </w:rPr>
            </w:pPr>
            <w:r>
              <w:rPr>
                <w:rFonts w:ascii="Arial" w:cs="Arial" w:eastAsia="Arial" w:hAnsi="Arial"/>
                <w:sz w:val="17"/>
                <w:szCs w:val="17"/>
                <w:b w:val="1"/>
                <w:bCs w:val="1"/>
                <w:color w:val="auto"/>
                <w:w w:val="87"/>
              </w:rPr>
              <w:t>Average Exercise</w:t>
            </w:r>
          </w:p>
        </w:tc>
        <w:tc>
          <w:tcPr>
            <w:tcW w:w="12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3"/>
              </w:rPr>
              <w:t>Contractual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Value</w:t>
            </w:r>
          </w:p>
        </w:tc>
        <w:tc>
          <w:tcPr>
            <w:tcW w:w="0" w:type="dxa"/>
            <w:vAlign w:val="bottom"/>
          </w:tcPr>
          <w:p>
            <w:pPr>
              <w:spacing w:after="0"/>
              <w:rPr>
                <w:sz w:val="1"/>
                <w:szCs w:val="1"/>
                <w:color w:val="auto"/>
              </w:rPr>
            </w:pPr>
          </w:p>
        </w:tc>
      </w:tr>
      <w:tr>
        <w:trPr>
          <w:trHeight w:val="227"/>
        </w:trPr>
        <w:tc>
          <w:tcPr>
            <w:tcW w:w="5960" w:type="dxa"/>
            <w:vAlign w:val="bottom"/>
          </w:tcPr>
          <w:p>
            <w:pPr>
              <w:ind w:left="2680"/>
              <w:spacing w:after="0"/>
              <w:rPr>
                <w:sz w:val="20"/>
                <w:szCs w:val="20"/>
                <w:color w:val="auto"/>
              </w:rPr>
            </w:pPr>
            <w:r>
              <w:rPr>
                <w:rFonts w:ascii="Arial" w:cs="Arial" w:eastAsia="Arial" w:hAnsi="Arial"/>
                <w:sz w:val="17"/>
                <w:szCs w:val="17"/>
                <w:b w:val="1"/>
                <w:bCs w:val="1"/>
                <w:color w:val="auto"/>
              </w:rPr>
              <w:t>Options</w:t>
            </w:r>
          </w:p>
        </w:tc>
        <w:tc>
          <w:tcPr>
            <w:tcW w:w="10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Shares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1"/>
              </w:rPr>
              <w:t>Price</w:t>
            </w:r>
          </w:p>
        </w:tc>
        <w:tc>
          <w:tcPr>
            <w:tcW w:w="12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2"/>
              </w:rPr>
              <w:t>Term (Years)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center"/>
              <w:ind w:right="55"/>
              <w:spacing w:after="0"/>
              <w:rPr>
                <w:sz w:val="20"/>
                <w:szCs w:val="20"/>
                <w:color w:val="auto"/>
              </w:rPr>
            </w:pPr>
            <w:r>
              <w:rPr>
                <w:rFonts w:ascii="Arial" w:cs="Arial" w:eastAsia="Arial" w:hAnsi="Arial"/>
                <w:sz w:val="17"/>
                <w:szCs w:val="17"/>
                <w:b w:val="1"/>
                <w:bCs w:val="1"/>
                <w:color w:val="auto"/>
                <w:w w:val="89"/>
              </w:rPr>
              <w:t>$(000)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60" w:type="dxa"/>
            <w:vAlign w:val="bottom"/>
            <w:shd w:val="clear" w:color="auto" w:fill="F0FFFF"/>
          </w:tcPr>
          <w:p>
            <w:pPr>
              <w:spacing w:after="0"/>
              <w:rPr>
                <w:sz w:val="20"/>
                <w:szCs w:val="20"/>
                <w:color w:val="auto"/>
              </w:rPr>
            </w:pPr>
            <w:r>
              <w:rPr>
                <w:rFonts w:ascii="Arial" w:cs="Arial" w:eastAsia="Arial" w:hAnsi="Arial"/>
                <w:sz w:val="17"/>
                <w:szCs w:val="17"/>
                <w:color w:val="auto"/>
              </w:rPr>
              <w:t>Outstanding at December 31, 2014</w:t>
            </w:r>
          </w:p>
        </w:tc>
        <w:tc>
          <w:tcPr>
            <w:tcW w:w="1380" w:type="dxa"/>
            <w:vAlign w:val="bottom"/>
            <w:gridSpan w:val="3"/>
            <w:shd w:val="clear" w:color="auto" w:fill="F0FFFF"/>
          </w:tcPr>
          <w:p>
            <w:pPr>
              <w:jc w:val="right"/>
              <w:ind w:right="140"/>
              <w:spacing w:after="0"/>
              <w:rPr>
                <w:sz w:val="20"/>
                <w:szCs w:val="20"/>
                <w:color w:val="auto"/>
              </w:rPr>
            </w:pPr>
            <w:r>
              <w:rPr>
                <w:rFonts w:ascii="Arial" w:cs="Arial" w:eastAsia="Arial" w:hAnsi="Arial"/>
                <w:sz w:val="17"/>
                <w:szCs w:val="17"/>
                <w:color w:val="auto"/>
              </w:rPr>
              <w:t>313,555</w:t>
            </w:r>
          </w:p>
        </w:tc>
        <w:tc>
          <w:tcPr>
            <w:tcW w:w="24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93.40</w:t>
            </w:r>
          </w:p>
        </w:tc>
        <w:tc>
          <w:tcPr>
            <w:tcW w:w="1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Expired</w:t>
            </w:r>
          </w:p>
        </w:tc>
        <w:tc>
          <w:tcPr>
            <w:tcW w:w="100" w:type="dxa"/>
            <w:vAlign w:val="bottom"/>
          </w:tcPr>
          <w:p>
            <w:pPr>
              <w:spacing w:after="0"/>
              <w:rPr>
                <w:sz w:val="17"/>
                <w:szCs w:val="17"/>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(12,211)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103.12</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960" w:type="dxa"/>
            <w:vAlign w:val="bottom"/>
            <w:shd w:val="clear" w:color="auto" w:fill="F0FFFF"/>
          </w:tcPr>
          <w:p>
            <w:pPr>
              <w:spacing w:after="0"/>
              <w:rPr>
                <w:sz w:val="20"/>
                <w:szCs w:val="20"/>
                <w:color w:val="auto"/>
              </w:rPr>
            </w:pPr>
            <w:r>
              <w:rPr>
                <w:rFonts w:ascii="Arial" w:cs="Arial" w:eastAsia="Arial" w:hAnsi="Arial"/>
                <w:sz w:val="17"/>
                <w:szCs w:val="17"/>
                <w:color w:val="auto"/>
              </w:rPr>
              <w:t>Outstanding at March 31, 2015</w:t>
            </w:r>
          </w:p>
        </w:tc>
        <w:tc>
          <w:tcPr>
            <w:tcW w:w="100" w:type="dxa"/>
            <w:vAlign w:val="bottom"/>
            <w:shd w:val="clear" w:color="auto" w:fill="F0FFFF"/>
          </w:tcPr>
          <w:p>
            <w:pPr>
              <w:spacing w:after="0"/>
              <w:rPr>
                <w:sz w:val="21"/>
                <w:szCs w:val="21"/>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301,344</w:t>
            </w:r>
          </w:p>
        </w:tc>
        <w:tc>
          <w:tcPr>
            <w:tcW w:w="8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8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93.01</w:t>
            </w:r>
          </w:p>
        </w:tc>
        <w:tc>
          <w:tcPr>
            <w:tcW w:w="12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2.7</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196"/>
        </w:trPr>
        <w:tc>
          <w:tcPr>
            <w:tcW w:w="596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60" w:type="dxa"/>
            <w:vAlign w:val="bottom"/>
            <w:tcBorders>
              <w:top w:val="single" w:sz="8" w:color="F0FFFF"/>
            </w:tcBorders>
          </w:tcPr>
          <w:p>
            <w:pPr>
              <w:spacing w:after="0"/>
              <w:rPr>
                <w:sz w:val="17"/>
                <w:szCs w:val="17"/>
                <w:color w:val="auto"/>
              </w:rPr>
            </w:pPr>
          </w:p>
        </w:tc>
        <w:tc>
          <w:tcPr>
            <w:tcW w:w="1080" w:type="dxa"/>
            <w:vAlign w:val="bottom"/>
            <w:tcBorders>
              <w:top w:val="single" w:sz="8" w:color="F0FFFF"/>
            </w:tcBorders>
          </w:tcPr>
          <w:p>
            <w:pPr>
              <w:spacing w:after="0"/>
              <w:rPr>
                <w:sz w:val="17"/>
                <w:szCs w:val="17"/>
                <w:color w:val="auto"/>
              </w:rPr>
            </w:pPr>
          </w:p>
        </w:tc>
        <w:tc>
          <w:tcPr>
            <w:tcW w:w="200" w:type="dxa"/>
            <w:vAlign w:val="bottom"/>
            <w:tcBorders>
              <w:top w:val="single" w:sz="8" w:color="F0FFFF"/>
            </w:tcBorders>
          </w:tcPr>
          <w:p>
            <w:pPr>
              <w:spacing w:after="0"/>
              <w:rPr>
                <w:sz w:val="17"/>
                <w:szCs w:val="17"/>
                <w:color w:val="auto"/>
              </w:rPr>
            </w:pPr>
          </w:p>
        </w:tc>
        <w:tc>
          <w:tcPr>
            <w:tcW w:w="112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98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960" w:type="dxa"/>
            <w:vAlign w:val="bottom"/>
            <w:shd w:val="clear" w:color="auto" w:fill="F0FFFF"/>
          </w:tcPr>
          <w:p>
            <w:pPr>
              <w:spacing w:after="0"/>
              <w:rPr>
                <w:sz w:val="20"/>
                <w:szCs w:val="20"/>
                <w:color w:val="auto"/>
              </w:rPr>
            </w:pPr>
            <w:r>
              <w:rPr>
                <w:rFonts w:ascii="Arial" w:cs="Arial" w:eastAsia="Arial" w:hAnsi="Arial"/>
                <w:sz w:val="17"/>
                <w:szCs w:val="17"/>
                <w:color w:val="auto"/>
              </w:rPr>
              <w:t>Exercisable at March 31, 2015</w:t>
            </w:r>
          </w:p>
        </w:tc>
        <w:tc>
          <w:tcPr>
            <w:tcW w:w="100" w:type="dxa"/>
            <w:vAlign w:val="bottom"/>
            <w:shd w:val="clear" w:color="auto" w:fill="F0FFFF"/>
          </w:tcPr>
          <w:p>
            <w:pPr>
              <w:spacing w:after="0"/>
              <w:rPr>
                <w:sz w:val="19"/>
                <w:szCs w:val="19"/>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285,095</w:t>
            </w:r>
          </w:p>
        </w:tc>
        <w:tc>
          <w:tcPr>
            <w:tcW w:w="8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128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97.43</w:t>
            </w:r>
          </w:p>
        </w:tc>
        <w:tc>
          <w:tcPr>
            <w:tcW w:w="12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2.3</w:t>
            </w: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108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98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fair value of each option is estimated on the date of grant using the Black-Scholes model. No stock options were granted during the three months ended March 31, 2015 and 2014.</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7"/>
          <w:szCs w:val="17"/>
          <w:b w:val="1"/>
          <w:bCs w:val="1"/>
          <w:color w:val="auto"/>
        </w:rPr>
        <w:t>UNITED COMMUNITY BANKS,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Most of United’s outstanding stock options were granted prior to the economic downturn during which time United’s stock price decreased sharply. The lower stock price has rendered most of United’s outstanding options severely out of the money and potentially worthless to the grantee. Therefore, historical exercise patterns do not provide a reasonable basis for determining the expected life of new option grants. United therefore uses the formula provided by the SEC in Staff Accounting Bulletin No. 107 to determine the expected life of options.</w:t>
      </w:r>
    </w:p>
    <w:p>
      <w:pPr>
        <w:spacing w:after="0" w:line="204"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United recognized $10,000 in compensation expense related to stock options during the three months ended March 31, 2015. United recognized no compensation expense relating to stock options for the three months ended March 31, 2014. The amount of compensation expense was determined based on the fair value of the options at the time of grant, multiplied by the number of options granted that were expected to vest, which was then amortized over the vesting period. The forfeiture rate for new options issued is estimated to be approximately 3% per year. No options were exercised during the first three months of 2015 or 2014.</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restricted stock units activity for the first three months of 2015.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2"/>
              </w:rPr>
              <w:t>Weighted-</w:t>
            </w:r>
          </w:p>
        </w:tc>
      </w:tr>
      <w:tr>
        <w:trPr>
          <w:trHeight w:val="205"/>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4"/>
              </w:rPr>
              <w:t>Average Grant-</w:t>
            </w:r>
          </w:p>
        </w:tc>
      </w:tr>
      <w:tr>
        <w:trPr>
          <w:trHeight w:val="227"/>
        </w:trPr>
        <w:tc>
          <w:tcPr>
            <w:tcW w:w="3560" w:type="dxa"/>
            <w:vAlign w:val="bottom"/>
          </w:tcPr>
          <w:p>
            <w:pPr>
              <w:ind w:left="700"/>
              <w:spacing w:after="0"/>
              <w:rPr>
                <w:sz w:val="20"/>
                <w:szCs w:val="20"/>
                <w:color w:val="auto"/>
              </w:rPr>
            </w:pPr>
            <w:r>
              <w:rPr>
                <w:rFonts w:ascii="Arial" w:cs="Arial" w:eastAsia="Arial" w:hAnsi="Arial"/>
                <w:sz w:val="17"/>
                <w:szCs w:val="17"/>
                <w:b w:val="1"/>
                <w:bCs w:val="1"/>
                <w:color w:val="auto"/>
              </w:rPr>
              <w:t>Restricted Stock Unit Awards</w:t>
            </w:r>
          </w:p>
        </w:tc>
        <w:tc>
          <w:tcPr>
            <w:tcW w:w="100" w:type="dxa"/>
            <w:vAlign w:val="bottom"/>
          </w:tcPr>
          <w:p>
            <w:pPr>
              <w:spacing w:after="0"/>
              <w:rPr>
                <w:sz w:val="19"/>
                <w:szCs w:val="19"/>
                <w:color w:val="auto"/>
              </w:rPr>
            </w:pPr>
          </w:p>
        </w:tc>
        <w:tc>
          <w:tcPr>
            <w:tcW w:w="1400" w:type="dxa"/>
            <w:vAlign w:val="bottom"/>
            <w:gridSpan w:val="3"/>
          </w:tcPr>
          <w:p>
            <w:pPr>
              <w:ind w:left="340"/>
              <w:spacing w:after="0"/>
              <w:rPr>
                <w:sz w:val="20"/>
                <w:szCs w:val="20"/>
                <w:color w:val="auto"/>
              </w:rPr>
            </w:pPr>
            <w:r>
              <w:rPr>
                <w:rFonts w:ascii="Arial" w:cs="Arial" w:eastAsia="Arial" w:hAnsi="Arial"/>
                <w:sz w:val="17"/>
                <w:szCs w:val="17"/>
                <w:b w:val="1"/>
                <w:bCs w:val="1"/>
                <w:color w:val="auto"/>
              </w:rPr>
              <w:t>Shares</w:t>
            </w:r>
          </w:p>
        </w:tc>
        <w:tc>
          <w:tcPr>
            <w:tcW w:w="180" w:type="dxa"/>
            <w:vAlign w:val="bottom"/>
          </w:tcPr>
          <w:p>
            <w:pPr>
              <w:spacing w:after="0"/>
              <w:rPr>
                <w:sz w:val="19"/>
                <w:szCs w:val="19"/>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4"/>
              </w:rPr>
              <w:t>Date Fair Value</w:t>
            </w:r>
          </w:p>
        </w:tc>
      </w:tr>
      <w:tr>
        <w:trPr>
          <w:trHeight w:val="205"/>
        </w:trPr>
        <w:tc>
          <w:tcPr>
            <w:tcW w:w="3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560" w:type="dxa"/>
            <w:vAlign w:val="bottom"/>
            <w:shd w:val="clear" w:color="auto" w:fill="F0FFFF"/>
          </w:tcPr>
          <w:p>
            <w:pPr>
              <w:spacing w:after="0"/>
              <w:rPr>
                <w:sz w:val="20"/>
                <w:szCs w:val="20"/>
                <w:color w:val="auto"/>
              </w:rPr>
            </w:pPr>
            <w:r>
              <w:rPr>
                <w:rFonts w:ascii="Arial" w:cs="Arial" w:eastAsia="Arial" w:hAnsi="Arial"/>
                <w:sz w:val="17"/>
                <w:szCs w:val="17"/>
                <w:color w:val="auto"/>
              </w:rPr>
              <w:t>Outstanding at December 31, 2014</w:t>
            </w:r>
          </w:p>
        </w:tc>
        <w:tc>
          <w:tcPr>
            <w:tcW w:w="128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829,201</w:t>
            </w: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14.76</w:t>
            </w:r>
          </w:p>
        </w:tc>
        <w:tc>
          <w:tcPr>
            <w:tcW w:w="100" w:type="dxa"/>
            <w:vAlign w:val="bottom"/>
            <w:shd w:val="clear" w:color="auto" w:fill="F0FFFF"/>
          </w:tcPr>
          <w:p>
            <w:pPr>
              <w:spacing w:after="0"/>
              <w:rPr>
                <w:sz w:val="17"/>
                <w:szCs w:val="17"/>
                <w:color w:val="auto"/>
              </w:rPr>
            </w:pPr>
          </w:p>
        </w:tc>
      </w:tr>
      <w:tr>
        <w:trPr>
          <w:trHeight w:val="205"/>
        </w:trPr>
        <w:tc>
          <w:tcPr>
            <w:tcW w:w="3560" w:type="dxa"/>
            <w:vAlign w:val="bottom"/>
          </w:tcPr>
          <w:p>
            <w:pPr>
              <w:spacing w:after="0"/>
              <w:rPr>
                <w:sz w:val="20"/>
                <w:szCs w:val="20"/>
                <w:color w:val="auto"/>
              </w:rPr>
            </w:pPr>
            <w:r>
              <w:rPr>
                <w:rFonts w:ascii="Arial" w:cs="Arial" w:eastAsia="Arial" w:hAnsi="Arial"/>
                <w:sz w:val="17"/>
                <w:szCs w:val="17"/>
                <w:color w:val="auto"/>
              </w:rPr>
              <w:t>Granted</w:t>
            </w:r>
          </w:p>
        </w:tc>
        <w:tc>
          <w:tcPr>
            <w:tcW w:w="1400" w:type="dxa"/>
            <w:vAlign w:val="bottom"/>
            <w:gridSpan w:val="3"/>
          </w:tcPr>
          <w:p>
            <w:pPr>
              <w:jc w:val="right"/>
              <w:ind w:right="120"/>
              <w:spacing w:after="0"/>
              <w:rPr>
                <w:sz w:val="20"/>
                <w:szCs w:val="20"/>
                <w:color w:val="auto"/>
              </w:rPr>
            </w:pPr>
            <w:r>
              <w:rPr>
                <w:rFonts w:ascii="Arial" w:cs="Arial" w:eastAsia="Arial" w:hAnsi="Arial"/>
                <w:sz w:val="17"/>
                <w:szCs w:val="17"/>
                <w:color w:val="auto"/>
              </w:rPr>
              <w:t>95,167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18.06</w:t>
            </w:r>
          </w:p>
        </w:tc>
        <w:tc>
          <w:tcPr>
            <w:tcW w:w="100" w:type="dxa"/>
            <w:vAlign w:val="bottom"/>
          </w:tcPr>
          <w:p>
            <w:pPr>
              <w:spacing w:after="0"/>
              <w:rPr>
                <w:sz w:val="17"/>
                <w:szCs w:val="17"/>
                <w:color w:val="auto"/>
              </w:rPr>
            </w:pPr>
          </w:p>
        </w:tc>
      </w:tr>
      <w:tr>
        <w:trPr>
          <w:trHeight w:val="205"/>
        </w:trPr>
        <w:tc>
          <w:tcPr>
            <w:tcW w:w="3560" w:type="dxa"/>
            <w:vAlign w:val="bottom"/>
            <w:shd w:val="clear" w:color="auto" w:fill="F0FFFF"/>
          </w:tcPr>
          <w:p>
            <w:pPr>
              <w:spacing w:after="0"/>
              <w:rPr>
                <w:sz w:val="20"/>
                <w:szCs w:val="20"/>
                <w:color w:val="auto"/>
              </w:rPr>
            </w:pPr>
            <w:r>
              <w:rPr>
                <w:rFonts w:ascii="Arial" w:cs="Arial" w:eastAsia="Arial" w:hAnsi="Arial"/>
                <w:sz w:val="17"/>
                <w:szCs w:val="17"/>
                <w:color w:val="auto"/>
              </w:rPr>
              <w:t>Vested</w:t>
            </w:r>
          </w:p>
        </w:tc>
        <w:tc>
          <w:tcPr>
            <w:tcW w:w="1400" w:type="dxa"/>
            <w:vAlign w:val="bottom"/>
            <w:gridSpan w:val="3"/>
            <w:shd w:val="clear" w:color="auto" w:fill="F0FFFF"/>
          </w:tcPr>
          <w:p>
            <w:pPr>
              <w:jc w:val="right"/>
              <w:ind w:right="60"/>
              <w:spacing w:after="0"/>
              <w:rPr>
                <w:sz w:val="20"/>
                <w:szCs w:val="20"/>
                <w:color w:val="auto"/>
              </w:rPr>
            </w:pPr>
            <w:r>
              <w:rPr>
                <w:rFonts w:ascii="Arial" w:cs="Arial" w:eastAsia="Arial" w:hAnsi="Arial"/>
                <w:sz w:val="17"/>
                <w:szCs w:val="17"/>
                <w:color w:val="auto"/>
              </w:rPr>
              <w:t>(100,607)</w:t>
            </w: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5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15.36</w:t>
            </w:r>
          </w:p>
        </w:tc>
        <w:tc>
          <w:tcPr>
            <w:tcW w:w="100" w:type="dxa"/>
            <w:vAlign w:val="bottom"/>
            <w:shd w:val="clear" w:color="auto" w:fill="F0FFFF"/>
          </w:tcPr>
          <w:p>
            <w:pPr>
              <w:spacing w:after="0"/>
              <w:rPr>
                <w:sz w:val="17"/>
                <w:szCs w:val="17"/>
                <w:color w:val="auto"/>
              </w:rPr>
            </w:pPr>
          </w:p>
        </w:tc>
      </w:tr>
      <w:tr>
        <w:trPr>
          <w:trHeight w:val="211"/>
        </w:trPr>
        <w:tc>
          <w:tcPr>
            <w:tcW w:w="3560" w:type="dxa"/>
            <w:vAlign w:val="bottom"/>
          </w:tcPr>
          <w:p>
            <w:pPr>
              <w:spacing w:after="0"/>
              <w:rPr>
                <w:sz w:val="20"/>
                <w:szCs w:val="20"/>
                <w:color w:val="auto"/>
              </w:rPr>
            </w:pPr>
            <w:r>
              <w:rPr>
                <w:rFonts w:ascii="Arial" w:cs="Arial" w:eastAsia="Arial" w:hAnsi="Arial"/>
                <w:sz w:val="17"/>
                <w:szCs w:val="17"/>
                <w:color w:val="auto"/>
              </w:rPr>
              <w:t>Cancelled</w:t>
            </w:r>
          </w:p>
        </w:tc>
        <w:tc>
          <w:tcPr>
            <w:tcW w:w="100" w:type="dxa"/>
            <w:vAlign w:val="bottom"/>
          </w:tcPr>
          <w:p>
            <w:pPr>
              <w:spacing w:after="0"/>
              <w:rPr>
                <w:sz w:val="18"/>
                <w:szCs w:val="18"/>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(50,457)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15.09</w:t>
            </w:r>
          </w:p>
        </w:tc>
        <w:tc>
          <w:tcPr>
            <w:tcW w:w="100" w:type="dxa"/>
            <w:vAlign w:val="bottom"/>
          </w:tcPr>
          <w:p>
            <w:pPr>
              <w:spacing w:after="0"/>
              <w:rPr>
                <w:sz w:val="18"/>
                <w:szCs w:val="18"/>
                <w:color w:val="auto"/>
              </w:rPr>
            </w:pPr>
          </w:p>
        </w:tc>
      </w:tr>
      <w:tr>
        <w:trPr>
          <w:trHeight w:val="245"/>
        </w:trPr>
        <w:tc>
          <w:tcPr>
            <w:tcW w:w="3560" w:type="dxa"/>
            <w:vAlign w:val="bottom"/>
            <w:shd w:val="clear" w:color="auto" w:fill="F0FFFF"/>
          </w:tcPr>
          <w:p>
            <w:pPr>
              <w:spacing w:after="0" w:line="185" w:lineRule="exact"/>
              <w:rPr>
                <w:sz w:val="20"/>
                <w:szCs w:val="20"/>
                <w:color w:val="auto"/>
              </w:rPr>
            </w:pPr>
            <w:r>
              <w:rPr>
                <w:rFonts w:ascii="Arial" w:cs="Arial" w:eastAsia="Arial" w:hAnsi="Arial"/>
                <w:sz w:val="17"/>
                <w:szCs w:val="17"/>
                <w:color w:val="auto"/>
              </w:rPr>
              <w:t>Outstanding at March 31, 2015</w:t>
            </w:r>
          </w:p>
        </w:tc>
        <w:tc>
          <w:tcPr>
            <w:tcW w:w="1280" w:type="dxa"/>
            <w:vAlign w:val="bottom"/>
            <w:gridSpan w:val="2"/>
            <w:shd w:val="clear" w:color="auto" w:fill="F0FFFF"/>
          </w:tcPr>
          <w:p>
            <w:pPr>
              <w:jc w:val="right"/>
              <w:spacing w:after="0" w:line="185" w:lineRule="exact"/>
              <w:rPr>
                <w:sz w:val="20"/>
                <w:szCs w:val="20"/>
                <w:color w:val="auto"/>
              </w:rPr>
            </w:pPr>
            <w:r>
              <w:rPr>
                <w:rFonts w:ascii="Arial" w:cs="Arial" w:eastAsia="Arial" w:hAnsi="Arial"/>
                <w:sz w:val="17"/>
                <w:szCs w:val="17"/>
                <w:color w:val="auto"/>
              </w:rPr>
              <w:t>773,304</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500" w:type="dxa"/>
            <w:vAlign w:val="bottom"/>
            <w:shd w:val="clear" w:color="auto" w:fill="F0FFFF"/>
          </w:tcPr>
          <w:p>
            <w:pPr>
              <w:jc w:val="right"/>
              <w:spacing w:after="0" w:line="185" w:lineRule="exact"/>
              <w:rPr>
                <w:sz w:val="20"/>
                <w:szCs w:val="20"/>
                <w:color w:val="auto"/>
              </w:rPr>
            </w:pPr>
            <w:r>
              <w:rPr>
                <w:rFonts w:ascii="Arial" w:cs="Arial" w:eastAsia="Arial" w:hAnsi="Arial"/>
                <w:sz w:val="17"/>
                <w:szCs w:val="17"/>
                <w:color w:val="auto"/>
              </w:rPr>
              <w:t>15.07</w:t>
            </w:r>
          </w:p>
        </w:tc>
        <w:tc>
          <w:tcPr>
            <w:tcW w:w="100" w:type="dxa"/>
            <w:vAlign w:val="bottom"/>
            <w:shd w:val="clear" w:color="auto" w:fill="F0FFFF"/>
          </w:tcPr>
          <w:p>
            <w:pPr>
              <w:spacing w:after="0"/>
              <w:rPr>
                <w:sz w:val="21"/>
                <w:szCs w:val="21"/>
                <w:color w:val="auto"/>
              </w:rPr>
            </w:pPr>
          </w:p>
        </w:tc>
      </w:tr>
      <w:tr>
        <w:trPr>
          <w:trHeight w:val="196"/>
        </w:trPr>
        <w:tc>
          <w:tcPr>
            <w:tcW w:w="356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80" w:type="dxa"/>
            <w:vAlign w:val="bottom"/>
            <w:tcBorders>
              <w:top w:val="single" w:sz="8" w:color="F0FFFF"/>
            </w:tcBorders>
          </w:tcPr>
          <w:p>
            <w:pPr>
              <w:spacing w:after="0"/>
              <w:rPr>
                <w:sz w:val="17"/>
                <w:szCs w:val="17"/>
                <w:color w:val="auto"/>
              </w:rPr>
            </w:pPr>
          </w:p>
        </w:tc>
        <w:tc>
          <w:tcPr>
            <w:tcW w:w="150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r>
      <w:tr>
        <w:trPr>
          <w:trHeight w:val="245"/>
        </w:trPr>
        <w:tc>
          <w:tcPr>
            <w:tcW w:w="3560" w:type="dxa"/>
            <w:vAlign w:val="bottom"/>
            <w:tcBorders>
              <w:bottom w:val="single" w:sz="8" w:color="F0FFFF"/>
            </w:tcBorders>
            <w:shd w:val="clear" w:color="auto" w:fill="F0FFFF"/>
          </w:tcPr>
          <w:p>
            <w:pPr>
              <w:spacing w:after="0" w:line="185" w:lineRule="exact"/>
              <w:rPr>
                <w:sz w:val="20"/>
                <w:szCs w:val="20"/>
                <w:color w:val="auto"/>
              </w:rPr>
            </w:pPr>
            <w:r>
              <w:rPr>
                <w:rFonts w:ascii="Arial" w:cs="Arial" w:eastAsia="Arial" w:hAnsi="Arial"/>
                <w:sz w:val="17"/>
                <w:szCs w:val="17"/>
                <w:color w:val="auto"/>
              </w:rPr>
              <w:t>Vested at March 31, 2015</w:t>
            </w:r>
          </w:p>
        </w:tc>
        <w:tc>
          <w:tcPr>
            <w:tcW w:w="100" w:type="dxa"/>
            <w:vAlign w:val="bottom"/>
            <w:tcBorders>
              <w:bottom w:val="single" w:sz="8" w:color="F0FFFF"/>
            </w:tcBorders>
            <w:shd w:val="clear" w:color="auto" w:fill="F0FFFF"/>
          </w:tcPr>
          <w:p>
            <w:pPr>
              <w:spacing w:after="0"/>
              <w:rPr>
                <w:sz w:val="21"/>
                <w:szCs w:val="21"/>
                <w:color w:val="auto"/>
              </w:rPr>
            </w:pPr>
          </w:p>
        </w:tc>
        <w:tc>
          <w:tcPr>
            <w:tcW w:w="1180" w:type="dxa"/>
            <w:vAlign w:val="bottom"/>
            <w:tcBorders>
              <w:bottom w:val="single" w:sz="8" w:color="auto"/>
            </w:tcBorders>
            <w:shd w:val="clear" w:color="auto" w:fill="F0FFFF"/>
          </w:tcPr>
          <w:p>
            <w:pPr>
              <w:jc w:val="right"/>
              <w:spacing w:after="0" w:line="185" w:lineRule="exact"/>
              <w:rPr>
                <w:sz w:val="20"/>
                <w:szCs w:val="20"/>
                <w:color w:val="auto"/>
              </w:rPr>
            </w:pPr>
            <w:r>
              <w:rPr>
                <w:rFonts w:ascii="Arial" w:cs="Arial" w:eastAsia="Arial" w:hAnsi="Arial"/>
                <w:sz w:val="17"/>
                <w:szCs w:val="17"/>
                <w:color w:val="auto"/>
              </w:rPr>
              <w:t>7,580</w:t>
            </w:r>
          </w:p>
        </w:tc>
        <w:tc>
          <w:tcPr>
            <w:tcW w:w="1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600" w:type="dxa"/>
            <w:vAlign w:val="bottom"/>
            <w:tcBorders>
              <w:bottom w:val="single" w:sz="8" w:color="F0FFFF"/>
            </w:tcBorders>
            <w:gridSpan w:val="2"/>
            <w:shd w:val="clear" w:color="auto" w:fill="F0FFFF"/>
          </w:tcPr>
          <w:p>
            <w:pPr>
              <w:jc w:val="right"/>
              <w:ind w:right="100"/>
              <w:spacing w:after="0" w:line="185" w:lineRule="exact"/>
              <w:rPr>
                <w:sz w:val="20"/>
                <w:szCs w:val="20"/>
                <w:color w:val="auto"/>
              </w:rPr>
            </w:pPr>
            <w:r>
              <w:rPr>
                <w:rFonts w:ascii="Arial" w:cs="Arial" w:eastAsia="Arial" w:hAnsi="Arial"/>
                <w:sz w:val="17"/>
                <w:szCs w:val="17"/>
                <w:color w:val="auto"/>
              </w:rPr>
              <w:t>9.90</w:t>
            </w:r>
          </w:p>
        </w:tc>
      </w:tr>
    </w:tbl>
    <w:p>
      <w:pPr>
        <w:spacing w:after="0" w:line="218"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Compensation expense for restricted stock units is based on the fair value of restricted stock unit awards at the time of grant, which is equal to the value of United’s common stock on the date of grant. The value of restricted stock unit awards that are expected to vest is amortized into expense over the vesting period. For the three months ended March 31, 2015 and 2014, compensation expense of $956,000 and $1.10 million, respectively, was recognized related to restricted stock unit awards. In addition, for each of the three months ended March 31, 2015 and 2014 $25,000 was recognized in other operating expense for restricted stock unit awards granted to members of United’s board of directors. The total intrinsic value of outstanding restricted stock unit awards was $14.6 million at March 31, 2015.</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As of March 31, 2015, there was $9.46 million of unrecognized compensation cost related to non-vested stock options and restricted stock unit awards granted under the plan. That cost is expected to be recognized over a weighted-average period of 2.69 years. The aggregate grant date fair value of options and restricted stock unit awards that vested during the three months ended March 31, 2015, was $1.55 million.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Common and Preferred Stock Issued / Common Stock Issuable</w:t>
      </w:r>
    </w:p>
    <w:p>
      <w:pPr>
        <w:spacing w:after="0" w:line="244"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United sponsors a Dividend Reinvestment and Share Purchase Plan (“DRIP”) that allows participants who already own United’s common stock to purchase additional shares directly from United. The DRIP also allows participants to automatically reinvest their quarterly dividends in additional shares of common stock without a commission. No shares were issued through the DRIP in the first three months of 2014 as the DRIP was suspended during that time. The DRIP was re-activated following United’s reinstatement of its quarterly dividend in the second quarter of 2014. In the first quarter of 2015, 487 shares were issued through the DRIP.</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United’s 401(k) Plan has routinely purchased shares of United’s common stock directly from United. Effective January 1, 2015, the 401(k) Plan discontinued offering shares of United’s common stock as an investment option. During the three months ended March 31, 2014, United’s 401(k) Plan purchased 11,837 shares directly from United at the average of the high and low stock prices on the transaction dates which increased capital by $209,000.</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addition, United has an Employee Stock Purchase Program (“ESPP”) that allows eligible employees to purchase shares of common stock at a 5% discount, with no commission charges. Effective January 1, 2015, the discount was increased to 10% on purchases made through the ESPP. During the first three months of 2015 and 2014, United issued 3,202 shares and 2,639 shares, respectively through the ESPP.</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649"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7"/>
          <w:szCs w:val="17"/>
          <w:b w:val="1"/>
          <w:bCs w:val="1"/>
          <w:color w:val="auto"/>
        </w:rPr>
        <w:t>UNITED COMMUNITY BANKS,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United offers its common stock as an investment option in its deferred compensation plan. United also allows for the deferral of restricted stock unit awards. The common stock component of the deferred compensation plan is accounted for as an equity instrument and is reflected in the consolidated financial statements as common stock issuable. The deferred compensation plan does not allow for diversification once an election is made to invest in United’s common stock and settlement must be accomplished in shares at the time the deferral period is completed. At March 31, 2015 and 2014, 400,369 and 237,763 shares of common stock, respectively, were issuable under the deferred compensation plan.</w:t>
      </w:r>
    </w:p>
    <w:p>
      <w:pPr>
        <w:spacing w:after="0" w:line="206" w:lineRule="exact"/>
        <w:rPr>
          <w:sz w:val="20"/>
          <w:szCs w:val="20"/>
          <w:color w:val="auto"/>
        </w:rPr>
      </w:pPr>
    </w:p>
    <w:p>
      <w:pPr>
        <w:jc w:val="both"/>
        <w:spacing w:after="0" w:line="346" w:lineRule="auto"/>
        <w:rPr>
          <w:sz w:val="20"/>
          <w:szCs w:val="20"/>
          <w:color w:val="auto"/>
        </w:rPr>
      </w:pPr>
      <w:r>
        <w:rPr>
          <w:rFonts w:ascii="Arial" w:cs="Arial" w:eastAsia="Arial" w:hAnsi="Arial"/>
          <w:sz w:val="15"/>
          <w:szCs w:val="15"/>
          <w:color w:val="auto"/>
        </w:rPr>
        <w:t>In the first quarter of 2014, United redeemed all of its outstanding preferred stock. The preferred stock was redeemed at par and did not result in any gain or loss. The redemptions were funded from a combination of dividends from United Community Bank, borrowings on United’s holding company line of credit and cash on hand.</w:t>
      </w:r>
    </w:p>
    <w:p>
      <w:pPr>
        <w:spacing w:after="0" w:line="14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Pursuant to its settlement agreement with Fletcher, United agreed to deliver 640,000 shares of its common stock and cash that, together with the common stock, would have a combined fair value of $12 million. On March 25, 2014, to satisfy its obligations under the settlement agreement, United completed the sale of 640,000 shares of common stock and received approximately $12.2 million in net proceeds after discounts and expenses, $12.0 million of which was paid to Fletcher in November 2014.</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Income Taxes</w:t>
      </w:r>
    </w:p>
    <w:p>
      <w:pPr>
        <w:spacing w:after="0" w:line="24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income tax provision for the three months ended March 31, 2015 and 2014 was $10.4 million and $9.04 million, respectively, which represents effective tax rates of 37.0% for each period. At March 31, 2015, December 31, 2014 and March 31, 2014, United maintained a valuation allowance on its net deferred tax asset of $4.27 million, $4.12 million and $4.08 million, respectively. Management assesses the valuation allowance recorded against its net deferred tax asset at each reporting period. The determination of whether a valuation allowance for its net deferred tax asset is appropriate is subject to considerable judgment and requires an evaluation of all the positive and negative evidence.</w:t>
      </w:r>
    </w:p>
    <w:p>
      <w:pPr>
        <w:spacing w:after="0" w:line="20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United evaluated the need for a valuation allowance at March 31, 2015. Based on the assessment of all the positive and negative evidence, management concluded that it is more likely than not that nearly all of its net deferred tax asset will be realized based upon future taxable income. The remaining valuation allowance of $4.27 million is related to specific state income tax credits that have short carryforward periods and are expected to expire unused.</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valuation allowance could fluctuate in future periods based on the assessment of the positive and negative evidence. Management’s conclusion at March 31, 2015 that it was more likely than not that United’s net deferred tax asset of $202 million will be realized is based upon management’s estimate of future taxable income. Management’s estimate of future taxable income is based on internal forecasts that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even if caused by adverse macro-economic conditions, the valuation allowance may need to be increased for some or all of its net deferred tax asset. Such an increase to the net deferred tax asset valuation allowance could have a material adverse effect on United’s financial condition and results of operations.</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2011. Although United is unable to determine the ultimate outcome of future examinations, United believes that the liability recorded for uncertain tax positions is appropriate.</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At March 31, 2015, December 31, 2014 and March 31, 2014, unrecognized income tax benefits totaled $4.29 million, $4.20 million and $4.59 million, respectively.</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 Assets and Liabilities Measured at Fair Value</w:t>
      </w:r>
    </w:p>
    <w:p>
      <w:pPr>
        <w:spacing w:after="0" w:line="24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Fair Value Hierarchy</w:t>
      </w:r>
    </w:p>
    <w:p>
      <w:pPr>
        <w:spacing w:after="0" w:line="240" w:lineRule="exact"/>
        <w:rPr>
          <w:sz w:val="20"/>
          <w:szCs w:val="20"/>
          <w:color w:val="auto"/>
        </w:rPr>
      </w:pPr>
    </w:p>
    <w:p>
      <w:pPr>
        <w:ind w:left="460"/>
        <w:spacing w:after="0"/>
        <w:tabs>
          <w:tab w:leader="none" w:pos="1160" w:val="left"/>
        </w:tabs>
        <w:rPr>
          <w:sz w:val="20"/>
          <w:szCs w:val="20"/>
          <w:color w:val="auto"/>
        </w:rPr>
      </w:pPr>
      <w:r>
        <w:rPr>
          <w:rFonts w:ascii="Arial" w:cs="Arial" w:eastAsia="Arial" w:hAnsi="Arial"/>
          <w:sz w:val="17"/>
          <w:szCs w:val="17"/>
          <w:i w:val="1"/>
          <w:iCs w:val="1"/>
          <w:color w:val="auto"/>
        </w:rPr>
        <w:t>Level 1</w:t>
      </w:r>
      <w:r>
        <w:rPr>
          <w:sz w:val="20"/>
          <w:szCs w:val="20"/>
          <w:color w:val="auto"/>
        </w:rPr>
        <w:tab/>
      </w:r>
      <w:r>
        <w:rPr>
          <w:rFonts w:ascii="Arial" w:cs="Arial" w:eastAsia="Arial" w:hAnsi="Arial"/>
          <w:sz w:val="15"/>
          <w:szCs w:val="15"/>
          <w:color w:val="auto"/>
        </w:rPr>
        <w:t>Valuation is based upon quoted prices (unadjusted) in active markets for identical assets or liabilities that United has the ability to access.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7"/>
          <w:szCs w:val="17"/>
          <w:b w:val="1"/>
          <w:bCs w:val="1"/>
          <w:color w:val="auto"/>
        </w:rPr>
        <w:t>UNITED COMMUNITY BANKS,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4" w:lineRule="exact"/>
        <w:rPr>
          <w:sz w:val="20"/>
          <w:szCs w:val="20"/>
          <w:color w:val="auto"/>
        </w:rPr>
      </w:pPr>
    </w:p>
    <w:p>
      <w:pPr>
        <w:jc w:val="both"/>
        <w:ind w:left="460"/>
        <w:spacing w:after="0" w:line="309"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Valuation is based upon quoted prices for similar assets and liabilities in active markets, as well as inputs that are observable for the asset or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quoted prices), such as interest rates, foreign exchange rates, and yield curves that are observable at commonly quoted intervals.</w:t>
      </w:r>
    </w:p>
    <w:p>
      <w:pPr>
        <w:spacing w:after="0" w:line="167" w:lineRule="exact"/>
        <w:rPr>
          <w:sz w:val="20"/>
          <w:szCs w:val="20"/>
          <w:color w:val="auto"/>
        </w:rPr>
      </w:pPr>
    </w:p>
    <w:p>
      <w:pPr>
        <w:jc w:val="both"/>
        <w:ind w:left="460"/>
        <w:spacing w:after="0" w:line="278"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Valuation is generated from model-based techniques that use at least one significant assumption based on unobservable inputs for the asset or</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which 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description of the valuation methodologies used for assets and liabilities recorded at fair value.</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Securities Available-for-Sale</w:t>
      </w:r>
    </w:p>
    <w:p>
      <w:pPr>
        <w:spacing w:after="0" w:line="24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Investment securities available-for-sale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mortgage-backed securities issued by government sponsored entities, municipal bonds, corporate debt securities and asset-backed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asset-backed securities in less liquid markets. Securities classified as Level 3 are valued based on estimates obtained from broker-dealers and are not directly observable.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Deferred Compensation Plan Assets and Liabilities</w:t>
      </w:r>
    </w:p>
    <w:p>
      <w:pPr>
        <w:spacing w:after="0" w:line="24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Mortgage Loans Held for Sale</w:t>
      </w:r>
    </w:p>
    <w:p>
      <w:pPr>
        <w:spacing w:after="0" w:line="2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Mortgage loans held for sale are carried at the lower of cost or fair value. The fair value of mortgage loans held for sale is based on what secondary markets are currently offering for mortgage loans with similar characteristics.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Loans</w:t>
      </w:r>
    </w:p>
    <w:p>
      <w:pPr>
        <w:spacing w:after="0" w:line="24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United does not record loans at fair value on a recurring basis. However, from time to time, a loan is considered impaired and an allowance for loan losses is established. Loans for which it is probable that payment of interest and principal will not be made in accordance with the contractual terms of the loan agreement are considered impaired. Once a loan is identified as individually impaired, management measures impairment based on the present value of expected future cash flows discounted at the loan’s effective interest rate, except that as a practical expedient, a creditor may measure impairment based on a loan’s observable market price, or the fair value of the collateral if repayment of the loan is dependent upon the sale of the underlying collateral. Those impaired loans not requiring an allowance represent loans for which the fair value of the expected repayments or collateral exceed the recorded investments in such loans. In accordance with ASC 820,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Foreclosed Assets</w:t>
      </w:r>
    </w:p>
    <w:p>
      <w:pPr>
        <w:spacing w:after="0" w:line="24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Foreclosed assets are adjusted to fair value, less cost to sell, upon transfer of the loans to foreclosed assets. Subsequently, foreclosed assets are carried at the lower of carrying value or fair value. Fair value is based upon independent market prices, appraised values of the collateral or management’s estimation of the value of the collateral. When the fair value of the collateral is based on an observable market price or a current appraised value, United records the foreclosed asset as nonrecurring Level 2. When an appraised value is not available or management determines the fair value of the collateral is further impaired below the appraised value and there is no observable market price, United records the foreclosed asset as nonrecurring Level 3.</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7"/>
          <w:szCs w:val="17"/>
          <w:b w:val="1"/>
          <w:bCs w:val="1"/>
          <w:color w:val="auto"/>
        </w:rPr>
        <w:t>UNITED COMMUNITY BANKS,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Derivative Financial Instruments</w:t>
      </w:r>
    </w:p>
    <w:p>
      <w:pPr>
        <w:spacing w:after="0" w:line="240"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United uses interest rate swaps and interest rate floors to manage its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fair values of interest rate options are determined using the market standard methodology of discounting the future expected cash receipts that would occur if variable interest rates fell below the strike rate of the floors. The variable interest rates used in the calculation of projected receipts on the floor are based on an expectation of future interest rates derived from observable market interest rate curves and volatilities. To comply with the provisions of ASC 820, 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Although management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March 31, 2015, management had assessed the significance of the effect of the credit valuation adjustments on the overall valuation of its derivative positions and has determined that the credit valuation adjustments are not significant to the overall valuation of its derivatives. Additionally, in the review of the structured derivative inputs, it was determined that the broker quotes, used as a key valuation input, were not observable consistent with a level 2 disclosure. This resulted in United transferring those derivatives to Level 3 in the ASC 820 leveling disclosures as of December 31, 2014.</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SBA Servicing Rights</w:t>
      </w:r>
    </w:p>
    <w:p>
      <w:pPr>
        <w:spacing w:after="0" w:line="24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As United expanded its SBA lending and subsequent loan sales activities, a servicing asset has been recognized (per ASC 860). This asset is recorded at fair value on recognition, and management has elected to carry this asset at fair value for subsequent reporting. Given the nature of the asset, the key valuation inputs are unobservable and management classifies this asset as Level 3.</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 and Liabilities Measured at Fair Value on a Recurring Basis</w:t>
      </w:r>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The table below presents United’s assets and liabilities measured at fair value on a recurring basis as of March 31, 2015, December 31, 2014 and March 31, 2014, aggregated by the level in the fair value hierarchy within which those measurements fall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March 31, 2015</w:t>
            </w:r>
          </w:p>
        </w:tc>
        <w:tc>
          <w:tcPr>
            <w:tcW w:w="1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7"/>
                <w:szCs w:val="17"/>
                <w:b w:val="1"/>
                <w:bCs w:val="1"/>
                <w:color w:val="auto"/>
              </w:rPr>
              <w:t>Level 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7"/>
                <w:szCs w:val="17"/>
                <w:b w:val="1"/>
                <w:bCs w:val="1"/>
                <w:color w:val="auto"/>
              </w:rPr>
              <w:t>Level 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7"/>
                <w:szCs w:val="17"/>
                <w:b w:val="1"/>
                <w:bCs w:val="1"/>
                <w:color w:val="auto"/>
              </w:rPr>
              <w:t>Level 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7"/>
                <w:szCs w:val="17"/>
                <w:b w:val="1"/>
                <w:bCs w:val="1"/>
                <w:color w:val="auto"/>
              </w:rPr>
              <w:t>Total</w:t>
            </w:r>
          </w:p>
        </w:tc>
      </w:tr>
      <w:tr>
        <w:trPr>
          <w:trHeight w:val="205"/>
        </w:trPr>
        <w:tc>
          <w:tcPr>
            <w:tcW w:w="4220" w:type="dxa"/>
            <w:vAlign w:val="bottom"/>
            <w:shd w:val="clear" w:color="auto" w:fill="F0FFFF"/>
          </w:tcPr>
          <w:p>
            <w:pPr>
              <w:spacing w:after="0"/>
              <w:rPr>
                <w:sz w:val="20"/>
                <w:szCs w:val="20"/>
                <w:color w:val="auto"/>
              </w:rPr>
            </w:pPr>
            <w:r>
              <w:rPr>
                <w:rFonts w:ascii="Arial" w:cs="Arial" w:eastAsia="Arial" w:hAnsi="Arial"/>
                <w:sz w:val="17"/>
                <w:szCs w:val="17"/>
                <w:b w:val="1"/>
                <w:bCs w:val="1"/>
                <w:color w:val="auto"/>
              </w:rPr>
              <w:t>Assets:</w:t>
            </w:r>
          </w:p>
        </w:tc>
        <w:tc>
          <w:tcPr>
            <w:tcW w:w="17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4220" w:type="dxa"/>
            <w:vAlign w:val="bottom"/>
          </w:tcPr>
          <w:p>
            <w:pPr>
              <w:ind w:left="160"/>
              <w:spacing w:after="0"/>
              <w:rPr>
                <w:sz w:val="20"/>
                <w:szCs w:val="20"/>
                <w:color w:val="auto"/>
              </w:rPr>
            </w:pPr>
            <w:r>
              <w:rPr>
                <w:rFonts w:ascii="Arial" w:cs="Arial" w:eastAsia="Arial" w:hAnsi="Arial"/>
                <w:sz w:val="17"/>
                <w:szCs w:val="17"/>
                <w:color w:val="auto"/>
              </w:rPr>
              <w:t>Securities available for sale:</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220" w:type="dxa"/>
            <w:vAlign w:val="bottom"/>
            <w:shd w:val="clear" w:color="auto" w:fill="F0FFFF"/>
          </w:tcPr>
          <w:p>
            <w:pPr>
              <w:ind w:left="320"/>
              <w:spacing w:after="0"/>
              <w:rPr>
                <w:sz w:val="20"/>
                <w:szCs w:val="20"/>
                <w:color w:val="auto"/>
              </w:rPr>
            </w:pPr>
            <w:r>
              <w:rPr>
                <w:rFonts w:ascii="Arial" w:cs="Arial" w:eastAsia="Arial" w:hAnsi="Arial"/>
                <w:sz w:val="17"/>
                <w:szCs w:val="17"/>
                <w:color w:val="auto"/>
              </w:rPr>
              <w:t>U.S. Treasuries</w:t>
            </w:r>
          </w:p>
        </w:tc>
        <w:tc>
          <w:tcPr>
            <w:tcW w:w="2040" w:type="dxa"/>
            <w:vAlign w:val="bottom"/>
            <w:gridSpan w:val="3"/>
            <w:shd w:val="clear" w:color="auto" w:fill="F0FFFF"/>
          </w:tcPr>
          <w:p>
            <w:pPr>
              <w:jc w:val="right"/>
              <w:ind w:right="15"/>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48,414</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48,414</w:t>
            </w:r>
          </w:p>
        </w:tc>
      </w:tr>
      <w:tr>
        <w:trPr>
          <w:trHeight w:val="205"/>
        </w:trPr>
        <w:tc>
          <w:tcPr>
            <w:tcW w:w="4220" w:type="dxa"/>
            <w:vAlign w:val="bottom"/>
          </w:tcPr>
          <w:p>
            <w:pPr>
              <w:ind w:left="320"/>
              <w:spacing w:after="0"/>
              <w:rPr>
                <w:sz w:val="20"/>
                <w:szCs w:val="20"/>
                <w:color w:val="auto"/>
              </w:rPr>
            </w:pPr>
            <w:r>
              <w:rPr>
                <w:rFonts w:ascii="Arial" w:cs="Arial" w:eastAsia="Arial" w:hAnsi="Arial"/>
                <w:sz w:val="17"/>
                <w:szCs w:val="17"/>
                <w:color w:val="auto"/>
              </w:rPr>
              <w:t>U.S. Government agencies</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37,268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37,268</w:t>
            </w:r>
          </w:p>
        </w:tc>
      </w:tr>
      <w:tr>
        <w:trPr>
          <w:trHeight w:val="205"/>
        </w:trPr>
        <w:tc>
          <w:tcPr>
            <w:tcW w:w="4220" w:type="dxa"/>
            <w:vAlign w:val="bottom"/>
            <w:shd w:val="clear" w:color="auto" w:fill="F0FFFF"/>
          </w:tcPr>
          <w:p>
            <w:pPr>
              <w:ind w:left="320"/>
              <w:spacing w:after="0"/>
              <w:rPr>
                <w:sz w:val="20"/>
                <w:szCs w:val="20"/>
                <w:color w:val="auto"/>
              </w:rPr>
            </w:pPr>
            <w:r>
              <w:rPr>
                <w:rFonts w:ascii="Arial" w:cs="Arial" w:eastAsia="Arial" w:hAnsi="Arial"/>
                <w:sz w:val="17"/>
                <w:szCs w:val="17"/>
                <w:color w:val="auto"/>
              </w:rPr>
              <w:t>State and political subdivisions</w:t>
            </w:r>
          </w:p>
        </w:tc>
        <w:tc>
          <w:tcPr>
            <w:tcW w:w="17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16,352</w:t>
            </w: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16,352</w:t>
            </w:r>
          </w:p>
        </w:tc>
      </w:tr>
      <w:tr>
        <w:trPr>
          <w:trHeight w:val="205"/>
        </w:trPr>
        <w:tc>
          <w:tcPr>
            <w:tcW w:w="4220" w:type="dxa"/>
            <w:vAlign w:val="bottom"/>
          </w:tcPr>
          <w:p>
            <w:pPr>
              <w:ind w:left="320"/>
              <w:spacing w:after="0"/>
              <w:rPr>
                <w:sz w:val="20"/>
                <w:szCs w:val="20"/>
                <w:color w:val="auto"/>
              </w:rPr>
            </w:pPr>
            <w:r>
              <w:rPr>
                <w:rFonts w:ascii="Arial" w:cs="Arial" w:eastAsia="Arial" w:hAnsi="Arial"/>
                <w:sz w:val="17"/>
                <w:szCs w:val="17"/>
                <w:color w:val="auto"/>
              </w:rPr>
              <w:t>Mortgage-backed securities</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1,041,114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1,041,114</w:t>
            </w:r>
          </w:p>
        </w:tc>
      </w:tr>
      <w:tr>
        <w:trPr>
          <w:trHeight w:val="205"/>
        </w:trPr>
        <w:tc>
          <w:tcPr>
            <w:tcW w:w="4220" w:type="dxa"/>
            <w:vAlign w:val="bottom"/>
            <w:shd w:val="clear" w:color="auto" w:fill="F0FFFF"/>
          </w:tcPr>
          <w:p>
            <w:pPr>
              <w:ind w:left="320"/>
              <w:spacing w:after="0"/>
              <w:rPr>
                <w:sz w:val="20"/>
                <w:szCs w:val="20"/>
                <w:color w:val="auto"/>
              </w:rPr>
            </w:pPr>
            <w:r>
              <w:rPr>
                <w:rFonts w:ascii="Arial" w:cs="Arial" w:eastAsia="Arial" w:hAnsi="Arial"/>
                <w:sz w:val="17"/>
                <w:szCs w:val="17"/>
                <w:color w:val="auto"/>
              </w:rPr>
              <w:t>Corporate bonds</w:t>
            </w:r>
          </w:p>
        </w:tc>
        <w:tc>
          <w:tcPr>
            <w:tcW w:w="17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186,957</w:t>
            </w: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750</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187,707</w:t>
            </w:r>
          </w:p>
        </w:tc>
      </w:tr>
      <w:tr>
        <w:trPr>
          <w:trHeight w:val="205"/>
        </w:trPr>
        <w:tc>
          <w:tcPr>
            <w:tcW w:w="4220" w:type="dxa"/>
            <w:vAlign w:val="bottom"/>
          </w:tcPr>
          <w:p>
            <w:pPr>
              <w:ind w:left="320"/>
              <w:spacing w:after="0"/>
              <w:rPr>
                <w:sz w:val="20"/>
                <w:szCs w:val="20"/>
                <w:color w:val="auto"/>
              </w:rPr>
            </w:pPr>
            <w:r>
              <w:rPr>
                <w:rFonts w:ascii="Arial" w:cs="Arial" w:eastAsia="Arial" w:hAnsi="Arial"/>
                <w:sz w:val="17"/>
                <w:szCs w:val="17"/>
                <w:color w:val="auto"/>
              </w:rPr>
              <w:t>Asset-backed securities</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468,728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468,728</w:t>
            </w:r>
          </w:p>
        </w:tc>
      </w:tr>
      <w:tr>
        <w:trPr>
          <w:trHeight w:val="205"/>
        </w:trPr>
        <w:tc>
          <w:tcPr>
            <w:tcW w:w="4220" w:type="dxa"/>
            <w:vAlign w:val="bottom"/>
            <w:shd w:val="clear" w:color="auto" w:fill="F0FFFF"/>
          </w:tcPr>
          <w:p>
            <w:pPr>
              <w:ind w:left="320"/>
              <w:spacing w:after="0"/>
              <w:rPr>
                <w:sz w:val="20"/>
                <w:szCs w:val="20"/>
                <w:color w:val="auto"/>
              </w:rPr>
            </w:pPr>
            <w:r>
              <w:rPr>
                <w:rFonts w:ascii="Arial" w:cs="Arial" w:eastAsia="Arial" w:hAnsi="Arial"/>
                <w:sz w:val="17"/>
                <w:szCs w:val="17"/>
                <w:color w:val="auto"/>
              </w:rPr>
              <w:t>Other</w:t>
            </w:r>
          </w:p>
        </w:tc>
        <w:tc>
          <w:tcPr>
            <w:tcW w:w="17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2,390</w:t>
            </w: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2,390</w:t>
            </w:r>
          </w:p>
        </w:tc>
      </w:tr>
      <w:tr>
        <w:trPr>
          <w:trHeight w:val="205"/>
        </w:trPr>
        <w:tc>
          <w:tcPr>
            <w:tcW w:w="4220" w:type="dxa"/>
            <w:vAlign w:val="bottom"/>
          </w:tcPr>
          <w:p>
            <w:pPr>
              <w:ind w:left="160"/>
              <w:spacing w:after="0"/>
              <w:rPr>
                <w:sz w:val="20"/>
                <w:szCs w:val="20"/>
                <w:color w:val="auto"/>
              </w:rPr>
            </w:pPr>
            <w:r>
              <w:rPr>
                <w:rFonts w:ascii="Arial" w:cs="Arial" w:eastAsia="Arial" w:hAnsi="Arial"/>
                <w:sz w:val="17"/>
                <w:szCs w:val="17"/>
                <w:color w:val="auto"/>
              </w:rPr>
              <w:t>Deferred compensation plan assets</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3,366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3,366</w:t>
            </w:r>
          </w:p>
        </w:tc>
      </w:tr>
      <w:tr>
        <w:trPr>
          <w:trHeight w:val="205"/>
        </w:trPr>
        <w:tc>
          <w:tcPr>
            <w:tcW w:w="4220" w:type="dxa"/>
            <w:vAlign w:val="bottom"/>
            <w:shd w:val="clear" w:color="auto" w:fill="F0FFFF"/>
          </w:tcPr>
          <w:p>
            <w:pPr>
              <w:ind w:left="160"/>
              <w:spacing w:after="0"/>
              <w:rPr>
                <w:sz w:val="20"/>
                <w:szCs w:val="20"/>
                <w:color w:val="auto"/>
              </w:rPr>
            </w:pPr>
            <w:r>
              <w:rPr>
                <w:rFonts w:ascii="Arial" w:cs="Arial" w:eastAsia="Arial" w:hAnsi="Arial"/>
                <w:sz w:val="17"/>
                <w:szCs w:val="17"/>
                <w:color w:val="auto"/>
              </w:rPr>
              <w:t>SBA servicing rights</w:t>
            </w:r>
          </w:p>
        </w:tc>
        <w:tc>
          <w:tcPr>
            <w:tcW w:w="17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2,717</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2,717</w:t>
            </w:r>
          </w:p>
        </w:tc>
      </w:tr>
      <w:tr>
        <w:trPr>
          <w:trHeight w:val="205"/>
        </w:trPr>
        <w:tc>
          <w:tcPr>
            <w:tcW w:w="4220" w:type="dxa"/>
            <w:vAlign w:val="bottom"/>
          </w:tcPr>
          <w:p>
            <w:pPr>
              <w:ind w:left="160"/>
              <w:spacing w:after="0"/>
              <w:rPr>
                <w:sz w:val="20"/>
                <w:szCs w:val="20"/>
                <w:color w:val="auto"/>
              </w:rPr>
            </w:pPr>
            <w:r>
              <w:rPr>
                <w:rFonts w:ascii="Arial" w:cs="Arial" w:eastAsia="Arial" w:hAnsi="Arial"/>
                <w:sz w:val="17"/>
                <w:szCs w:val="17"/>
                <w:color w:val="auto"/>
              </w:rPr>
              <w:t>Derivative financial instruments</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12,174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8,117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20,291</w:t>
            </w:r>
          </w:p>
        </w:tc>
      </w:tr>
      <w:tr>
        <w:trPr>
          <w:trHeight w:val="26"/>
        </w:trPr>
        <w:tc>
          <w:tcPr>
            <w:tcW w:w="4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4220" w:type="dxa"/>
            <w:vAlign w:val="bottom"/>
            <w:shd w:val="clear" w:color="auto" w:fill="F0FFFF"/>
          </w:tcPr>
          <w:p>
            <w:pPr>
              <w:ind w:left="460"/>
              <w:spacing w:after="0"/>
              <w:rPr>
                <w:sz w:val="20"/>
                <w:szCs w:val="20"/>
                <w:color w:val="auto"/>
              </w:rPr>
            </w:pPr>
            <w:r>
              <w:rPr>
                <w:rFonts w:ascii="Arial" w:cs="Arial" w:eastAsia="Arial" w:hAnsi="Arial"/>
                <w:sz w:val="17"/>
                <w:szCs w:val="17"/>
                <w:color w:val="auto"/>
              </w:rPr>
              <w:t>Total assets</w:t>
            </w:r>
          </w:p>
        </w:tc>
        <w:tc>
          <w:tcPr>
            <w:tcW w:w="1840" w:type="dxa"/>
            <w:vAlign w:val="bottom"/>
            <w:gridSpan w:val="2"/>
            <w:shd w:val="clear" w:color="auto" w:fill="F0FFFF"/>
          </w:tcPr>
          <w:p>
            <w:pPr>
              <w:spacing w:after="0"/>
              <w:rPr>
                <w:sz w:val="21"/>
                <w:szCs w:val="21"/>
                <w:color w:val="auto"/>
              </w:rPr>
            </w:pPr>
          </w:p>
        </w:tc>
        <w:tc>
          <w:tcPr>
            <w:tcW w:w="200" w:type="dxa"/>
            <w:vAlign w:val="bottom"/>
            <w:shd w:val="clear" w:color="auto" w:fill="F0FFFF"/>
          </w:tcPr>
          <w:p>
            <w:pPr>
              <w:jc w:val="right"/>
              <w:ind w:right="15"/>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51,780</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1,764,983</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11,584</w:t>
            </w:r>
          </w:p>
        </w:tc>
        <w:tc>
          <w:tcPr>
            <w:tcW w:w="32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1,828,347</w:t>
            </w:r>
          </w:p>
        </w:tc>
        <w:tc>
          <w:tcPr>
            <w:tcW w:w="100" w:type="dxa"/>
            <w:vAlign w:val="bottom"/>
            <w:shd w:val="clear" w:color="auto" w:fill="F0FFFF"/>
          </w:tcPr>
          <w:p>
            <w:pPr>
              <w:spacing w:after="0"/>
              <w:rPr>
                <w:sz w:val="21"/>
                <w:szCs w:val="21"/>
                <w:color w:val="auto"/>
              </w:rPr>
            </w:pPr>
          </w:p>
        </w:tc>
      </w:tr>
      <w:tr>
        <w:trPr>
          <w:trHeight w:val="196"/>
        </w:trPr>
        <w:tc>
          <w:tcPr>
            <w:tcW w:w="4220" w:type="dxa"/>
            <w:vAlign w:val="bottom"/>
            <w:tcBorders>
              <w:top w:val="single" w:sz="8" w:color="F0FFFF"/>
            </w:tcBorders>
          </w:tcPr>
          <w:p>
            <w:pPr>
              <w:spacing w:after="0"/>
              <w:rPr>
                <w:sz w:val="17"/>
                <w:szCs w:val="17"/>
                <w:color w:val="auto"/>
              </w:rPr>
            </w:pPr>
          </w:p>
        </w:tc>
        <w:tc>
          <w:tcPr>
            <w:tcW w:w="174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r>
      <w:tr>
        <w:trPr>
          <w:trHeight w:val="205"/>
        </w:trPr>
        <w:tc>
          <w:tcPr>
            <w:tcW w:w="4220" w:type="dxa"/>
            <w:vAlign w:val="bottom"/>
            <w:shd w:val="clear" w:color="auto" w:fill="F0FFFF"/>
          </w:tcPr>
          <w:p>
            <w:pPr>
              <w:spacing w:after="0"/>
              <w:rPr>
                <w:sz w:val="20"/>
                <w:szCs w:val="20"/>
                <w:color w:val="auto"/>
              </w:rPr>
            </w:pPr>
            <w:r>
              <w:rPr>
                <w:rFonts w:ascii="Arial" w:cs="Arial" w:eastAsia="Arial" w:hAnsi="Arial"/>
                <w:sz w:val="17"/>
                <w:szCs w:val="17"/>
                <w:b w:val="1"/>
                <w:bCs w:val="1"/>
                <w:color w:val="auto"/>
              </w:rPr>
              <w:t>Liabilities:</w:t>
            </w:r>
          </w:p>
        </w:tc>
        <w:tc>
          <w:tcPr>
            <w:tcW w:w="17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4220" w:type="dxa"/>
            <w:vAlign w:val="bottom"/>
          </w:tcPr>
          <w:p>
            <w:pPr>
              <w:ind w:left="320"/>
              <w:spacing w:after="0"/>
              <w:rPr>
                <w:sz w:val="20"/>
                <w:szCs w:val="20"/>
                <w:color w:val="auto"/>
              </w:rPr>
            </w:pPr>
            <w:r>
              <w:rPr>
                <w:rFonts w:ascii="Arial" w:cs="Arial" w:eastAsia="Arial" w:hAnsi="Arial"/>
                <w:sz w:val="17"/>
                <w:szCs w:val="17"/>
                <w:color w:val="auto"/>
              </w:rPr>
              <w:t>Deferred compensation plan liability</w:t>
            </w:r>
          </w:p>
        </w:tc>
        <w:tc>
          <w:tcPr>
            <w:tcW w:w="2040" w:type="dxa"/>
            <w:vAlign w:val="bottom"/>
            <w:gridSpan w:val="3"/>
          </w:tcPr>
          <w:p>
            <w:pPr>
              <w:jc w:val="right"/>
              <w:ind w:right="15"/>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3,366</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3,366</w:t>
            </w:r>
          </w:p>
        </w:tc>
      </w:tr>
      <w:tr>
        <w:trPr>
          <w:trHeight w:val="211"/>
        </w:trPr>
        <w:tc>
          <w:tcPr>
            <w:tcW w:w="4220" w:type="dxa"/>
            <w:vAlign w:val="bottom"/>
            <w:shd w:val="clear" w:color="auto" w:fill="F0FFFF"/>
          </w:tcPr>
          <w:p>
            <w:pPr>
              <w:ind w:left="320"/>
              <w:spacing w:after="0"/>
              <w:rPr>
                <w:sz w:val="20"/>
                <w:szCs w:val="20"/>
                <w:color w:val="auto"/>
              </w:rPr>
            </w:pPr>
            <w:r>
              <w:rPr>
                <w:rFonts w:ascii="Arial" w:cs="Arial" w:eastAsia="Arial" w:hAnsi="Arial"/>
                <w:sz w:val="17"/>
                <w:szCs w:val="17"/>
                <w:color w:val="auto"/>
              </w:rPr>
              <w:t>Derivative financial instruments</w:t>
            </w:r>
          </w:p>
        </w:tc>
        <w:tc>
          <w:tcPr>
            <w:tcW w:w="17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14,747</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14,529</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29,276</w:t>
            </w:r>
          </w:p>
        </w:tc>
      </w:tr>
      <w:tr>
        <w:trPr>
          <w:trHeight w:val="205"/>
        </w:trPr>
        <w:tc>
          <w:tcPr>
            <w:tcW w:w="4220" w:type="dxa"/>
            <w:vAlign w:val="bottom"/>
            <w:tcBorders>
              <w:top w:val="single" w:sz="8" w:color="F0FFFF"/>
            </w:tcBorders>
          </w:tcPr>
          <w:p>
            <w:pPr>
              <w:spacing w:after="0"/>
              <w:rPr>
                <w:sz w:val="17"/>
                <w:szCs w:val="17"/>
                <w:color w:val="auto"/>
              </w:rPr>
            </w:pPr>
          </w:p>
        </w:tc>
        <w:tc>
          <w:tcPr>
            <w:tcW w:w="174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r>
      <w:tr>
        <w:trPr>
          <w:trHeight w:val="245"/>
        </w:trPr>
        <w:tc>
          <w:tcPr>
            <w:tcW w:w="4220" w:type="dxa"/>
            <w:vAlign w:val="bottom"/>
            <w:shd w:val="clear" w:color="auto" w:fill="F0FFFF"/>
          </w:tcPr>
          <w:p>
            <w:pPr>
              <w:ind w:left="460"/>
              <w:spacing w:after="0"/>
              <w:rPr>
                <w:sz w:val="20"/>
                <w:szCs w:val="20"/>
                <w:color w:val="auto"/>
              </w:rPr>
            </w:pPr>
            <w:r>
              <w:rPr>
                <w:rFonts w:ascii="Arial" w:cs="Arial" w:eastAsia="Arial" w:hAnsi="Arial"/>
                <w:sz w:val="17"/>
                <w:szCs w:val="17"/>
                <w:color w:val="auto"/>
              </w:rPr>
              <w:t>Total liabilities</w:t>
            </w:r>
          </w:p>
        </w:tc>
        <w:tc>
          <w:tcPr>
            <w:tcW w:w="2040" w:type="dxa"/>
            <w:vAlign w:val="bottom"/>
            <w:gridSpan w:val="3"/>
            <w:shd w:val="clear" w:color="auto" w:fill="F0FFFF"/>
          </w:tcPr>
          <w:p>
            <w:pPr>
              <w:jc w:val="right"/>
              <w:ind w:right="15"/>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3,366</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14,747</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14,529</w:t>
            </w:r>
          </w:p>
        </w:tc>
        <w:tc>
          <w:tcPr>
            <w:tcW w:w="32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32,642</w:t>
            </w:r>
          </w:p>
        </w:tc>
      </w:tr>
      <w:tr>
        <w:trPr>
          <w:trHeight w:val="632"/>
        </w:trPr>
        <w:tc>
          <w:tcPr>
            <w:tcW w:w="4220" w:type="dxa"/>
            <w:vAlign w:val="bottom"/>
            <w:tcBorders>
              <w:top w:val="single" w:sz="8" w:color="F0FFFF"/>
              <w:bottom w:val="single" w:sz="8" w:color="DCDCDC"/>
            </w:tcBorders>
          </w:tcPr>
          <w:p>
            <w:pPr>
              <w:spacing w:after="0"/>
              <w:rPr>
                <w:sz w:val="24"/>
                <w:szCs w:val="24"/>
                <w:color w:val="auto"/>
              </w:rPr>
            </w:pPr>
          </w:p>
        </w:tc>
        <w:tc>
          <w:tcPr>
            <w:tcW w:w="1740" w:type="dxa"/>
            <w:vAlign w:val="bottom"/>
            <w:tcBorders>
              <w:top w:val="single" w:sz="8" w:color="F0FFFF"/>
              <w:bottom w:val="single" w:sz="8" w:color="DCDCDC"/>
            </w:tcBorders>
          </w:tcPr>
          <w:p>
            <w:pPr>
              <w:jc w:val="right"/>
              <w:ind w:right="75"/>
              <w:spacing w:after="0"/>
              <w:rPr>
                <w:sz w:val="20"/>
                <w:szCs w:val="20"/>
                <w:color w:val="auto"/>
              </w:rPr>
            </w:pPr>
            <w:r>
              <w:rPr>
                <w:rFonts w:ascii="Arial" w:cs="Arial" w:eastAsia="Arial" w:hAnsi="Arial"/>
                <w:sz w:val="17"/>
                <w:szCs w:val="17"/>
                <w:color w:val="auto"/>
              </w:rPr>
              <w:t>31</w:t>
            </w:r>
          </w:p>
        </w:tc>
        <w:tc>
          <w:tcPr>
            <w:tcW w:w="100" w:type="dxa"/>
            <w:vAlign w:val="bottom"/>
            <w:tcBorders>
              <w:top w:val="single" w:sz="8" w:color="F0FFFF"/>
              <w:bottom w:val="single" w:sz="8" w:color="DCDCDC"/>
            </w:tcBorders>
          </w:tcPr>
          <w:p>
            <w:pPr>
              <w:spacing w:after="0"/>
              <w:rPr>
                <w:sz w:val="24"/>
                <w:szCs w:val="24"/>
                <w:color w:val="auto"/>
              </w:rPr>
            </w:pPr>
          </w:p>
        </w:tc>
        <w:tc>
          <w:tcPr>
            <w:tcW w:w="200" w:type="dxa"/>
            <w:vAlign w:val="bottom"/>
            <w:tcBorders>
              <w:top w:val="single" w:sz="8" w:color="auto"/>
              <w:bottom w:val="single" w:sz="8" w:color="DCDCDC"/>
            </w:tcBorders>
          </w:tcPr>
          <w:p>
            <w:pPr>
              <w:spacing w:after="0"/>
              <w:rPr>
                <w:sz w:val="24"/>
                <w:szCs w:val="24"/>
                <w:color w:val="auto"/>
              </w:rPr>
            </w:pPr>
          </w:p>
        </w:tc>
        <w:tc>
          <w:tcPr>
            <w:tcW w:w="960" w:type="dxa"/>
            <w:vAlign w:val="bottom"/>
            <w:tcBorders>
              <w:top w:val="single" w:sz="8" w:color="auto"/>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200" w:type="dxa"/>
            <w:vAlign w:val="bottom"/>
            <w:tcBorders>
              <w:top w:val="single" w:sz="8" w:color="auto"/>
              <w:bottom w:val="single" w:sz="8" w:color="DCDCDC"/>
            </w:tcBorders>
          </w:tcPr>
          <w:p>
            <w:pPr>
              <w:spacing w:after="0"/>
              <w:rPr>
                <w:sz w:val="24"/>
                <w:szCs w:val="24"/>
                <w:color w:val="auto"/>
              </w:rPr>
            </w:pPr>
          </w:p>
        </w:tc>
        <w:tc>
          <w:tcPr>
            <w:tcW w:w="940" w:type="dxa"/>
            <w:vAlign w:val="bottom"/>
            <w:tcBorders>
              <w:top w:val="single" w:sz="8" w:color="auto"/>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200" w:type="dxa"/>
            <w:vAlign w:val="bottom"/>
            <w:tcBorders>
              <w:top w:val="single" w:sz="8" w:color="auto"/>
              <w:bottom w:val="single" w:sz="8" w:color="DCDCDC"/>
            </w:tcBorders>
          </w:tcPr>
          <w:p>
            <w:pPr>
              <w:spacing w:after="0"/>
              <w:rPr>
                <w:sz w:val="24"/>
                <w:szCs w:val="24"/>
                <w:color w:val="auto"/>
              </w:rPr>
            </w:pPr>
          </w:p>
        </w:tc>
        <w:tc>
          <w:tcPr>
            <w:tcW w:w="940" w:type="dxa"/>
            <w:vAlign w:val="bottom"/>
            <w:tcBorders>
              <w:top w:val="single" w:sz="8" w:color="auto"/>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c>
          <w:tcPr>
            <w:tcW w:w="220" w:type="dxa"/>
            <w:vAlign w:val="bottom"/>
            <w:tcBorders>
              <w:top w:val="single" w:sz="8" w:color="auto"/>
              <w:bottom w:val="single" w:sz="8" w:color="DCDCDC"/>
            </w:tcBorders>
          </w:tcPr>
          <w:p>
            <w:pPr>
              <w:spacing w:after="0"/>
              <w:rPr>
                <w:sz w:val="24"/>
                <w:szCs w:val="24"/>
                <w:color w:val="auto"/>
              </w:rPr>
            </w:pPr>
          </w:p>
        </w:tc>
        <w:tc>
          <w:tcPr>
            <w:tcW w:w="900" w:type="dxa"/>
            <w:vAlign w:val="bottom"/>
            <w:tcBorders>
              <w:top w:val="single" w:sz="8" w:color="auto"/>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r>
    </w:tbl>
    <w:p>
      <w:pPr>
        <w:sectPr>
          <w:pgSz w:w="11900" w:h="16838" w:orient="portrait"/>
          <w:cols w:equalWidth="0" w:num="1">
            <w:col w:w="11420"/>
          </w:cols>
          <w:pgMar w:left="240" w:top="879"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7"/>
          <w:szCs w:val="17"/>
          <w:b w:val="1"/>
          <w:bCs w:val="1"/>
          <w:color w:val="auto"/>
        </w:rPr>
        <w:t>UNITED COMMUNITY BANKS,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960" w:type="dxa"/>
            <w:vAlign w:val="bottom"/>
          </w:tcPr>
          <w:p>
            <w:pPr>
              <w:spacing w:after="0"/>
              <w:rPr>
                <w:sz w:val="20"/>
                <w:szCs w:val="20"/>
                <w:color w:val="auto"/>
              </w:rPr>
            </w:pPr>
            <w:r>
              <w:rPr>
                <w:rFonts w:ascii="Arial" w:cs="Arial" w:eastAsia="Arial" w:hAnsi="Arial"/>
                <w:sz w:val="17"/>
                <w:szCs w:val="17"/>
                <w:b w:val="1"/>
                <w:bCs w:val="1"/>
                <w:color w:val="auto"/>
              </w:rPr>
              <w:t>December 31, 2014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7"/>
                <w:szCs w:val="17"/>
                <w:b w:val="1"/>
                <w:bCs w:val="1"/>
                <w:color w:val="auto"/>
              </w:rPr>
              <w:t>Level 1</w:t>
            </w:r>
          </w:p>
        </w:tc>
        <w:tc>
          <w:tcPr>
            <w:tcW w:w="20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rPr>
              <w:t>Level 2</w:t>
            </w:r>
          </w:p>
        </w:tc>
        <w:tc>
          <w:tcPr>
            <w:tcW w:w="20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Level 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Total</w:t>
            </w:r>
          </w:p>
        </w:tc>
      </w:tr>
      <w:tr>
        <w:trPr>
          <w:trHeight w:val="205"/>
        </w:trPr>
        <w:tc>
          <w:tcPr>
            <w:tcW w:w="59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F0FFFF"/>
          </w:tcPr>
          <w:p>
            <w:pPr>
              <w:spacing w:after="0"/>
              <w:rPr>
                <w:sz w:val="17"/>
                <w:szCs w:val="17"/>
                <w:color w:val="auto"/>
              </w:rPr>
            </w:pPr>
          </w:p>
        </w:tc>
        <w:tc>
          <w:tcPr>
            <w:tcW w:w="200" w:type="dxa"/>
            <w:vAlign w:val="bottom"/>
            <w:tcBorders>
              <w:top w:val="single" w:sz="8" w:color="auto"/>
            </w:tcBorders>
            <w:shd w:val="clear" w:color="auto" w:fill="F0FFFF"/>
          </w:tcPr>
          <w:p>
            <w:pPr>
              <w:spacing w:after="0"/>
              <w:rPr>
                <w:sz w:val="17"/>
                <w:szCs w:val="17"/>
                <w:color w:val="auto"/>
              </w:rPr>
            </w:pPr>
          </w:p>
        </w:tc>
        <w:tc>
          <w:tcPr>
            <w:tcW w:w="960" w:type="dxa"/>
            <w:vAlign w:val="bottom"/>
            <w:tcBorders>
              <w:top w:val="single" w:sz="8" w:color="auto"/>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00" w:type="dxa"/>
            <w:vAlign w:val="bottom"/>
            <w:tcBorders>
              <w:top w:val="single" w:sz="8" w:color="auto"/>
            </w:tcBorders>
            <w:shd w:val="clear" w:color="auto" w:fill="F0FFFF"/>
          </w:tcPr>
          <w:p>
            <w:pPr>
              <w:spacing w:after="0"/>
              <w:rPr>
                <w:sz w:val="17"/>
                <w:szCs w:val="17"/>
                <w:color w:val="auto"/>
              </w:rPr>
            </w:pPr>
          </w:p>
        </w:tc>
        <w:tc>
          <w:tcPr>
            <w:tcW w:w="940" w:type="dxa"/>
            <w:vAlign w:val="bottom"/>
            <w:tcBorders>
              <w:top w:val="single" w:sz="8" w:color="auto"/>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00" w:type="dxa"/>
            <w:vAlign w:val="bottom"/>
            <w:tcBorders>
              <w:top w:val="single" w:sz="8" w:color="auto"/>
            </w:tcBorders>
            <w:shd w:val="clear" w:color="auto" w:fill="F0FFFF"/>
          </w:tcPr>
          <w:p>
            <w:pPr>
              <w:spacing w:after="0"/>
              <w:rPr>
                <w:sz w:val="17"/>
                <w:szCs w:val="17"/>
                <w:color w:val="auto"/>
              </w:rPr>
            </w:pPr>
          </w:p>
        </w:tc>
        <w:tc>
          <w:tcPr>
            <w:tcW w:w="940" w:type="dxa"/>
            <w:vAlign w:val="bottom"/>
            <w:tcBorders>
              <w:top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20" w:type="dxa"/>
            <w:vAlign w:val="bottom"/>
            <w:tcBorders>
              <w:top w:val="single" w:sz="8" w:color="auto"/>
            </w:tcBorders>
            <w:shd w:val="clear" w:color="auto" w:fill="F0FFFF"/>
          </w:tcPr>
          <w:p>
            <w:pPr>
              <w:spacing w:after="0"/>
              <w:rPr>
                <w:sz w:val="17"/>
                <w:szCs w:val="17"/>
                <w:color w:val="auto"/>
              </w:rPr>
            </w:pPr>
          </w:p>
        </w:tc>
        <w:tc>
          <w:tcPr>
            <w:tcW w:w="90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5960" w:type="dxa"/>
            <w:vAlign w:val="bottom"/>
          </w:tcPr>
          <w:p>
            <w:pPr>
              <w:ind w:left="160"/>
              <w:spacing w:after="0"/>
              <w:rPr>
                <w:sz w:val="20"/>
                <w:szCs w:val="20"/>
                <w:color w:val="auto"/>
              </w:rPr>
            </w:pPr>
            <w:r>
              <w:rPr>
                <w:rFonts w:ascii="Arial" w:cs="Arial" w:eastAsia="Arial" w:hAnsi="Arial"/>
                <w:sz w:val="17"/>
                <w:szCs w:val="17"/>
                <w:color w:val="auto"/>
              </w:rPr>
              <w:t>Securities available for sale: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960" w:type="dxa"/>
            <w:vAlign w:val="bottom"/>
            <w:shd w:val="clear" w:color="auto" w:fill="F0FFFF"/>
          </w:tcPr>
          <w:p>
            <w:pPr>
              <w:ind w:left="280"/>
              <w:spacing w:after="0"/>
              <w:rPr>
                <w:sz w:val="20"/>
                <w:szCs w:val="20"/>
                <w:color w:val="auto"/>
              </w:rPr>
            </w:pPr>
            <w:r>
              <w:rPr>
                <w:rFonts w:ascii="Arial" w:cs="Arial" w:eastAsia="Arial" w:hAnsi="Arial"/>
                <w:sz w:val="17"/>
                <w:szCs w:val="17"/>
                <w:color w:val="auto"/>
              </w:rPr>
              <w:t>U.S. Treasuries</w:t>
            </w:r>
          </w:p>
        </w:tc>
        <w:tc>
          <w:tcPr>
            <w:tcW w:w="300" w:type="dxa"/>
            <w:vAlign w:val="bottom"/>
            <w:gridSpan w:val="2"/>
            <w:shd w:val="clear" w:color="auto" w:fill="F0FFFF"/>
          </w:tcPr>
          <w:p>
            <w:pPr>
              <w:jc w:val="right"/>
              <w:ind w:right="15"/>
              <w:spacing w:after="0"/>
              <w:rPr>
                <w:sz w:val="20"/>
                <w:szCs w:val="20"/>
                <w:color w:val="auto"/>
              </w:rPr>
            </w:pPr>
            <w:r>
              <w:rPr>
                <w:rFonts w:ascii="Arial" w:cs="Arial" w:eastAsia="Arial" w:hAnsi="Arial"/>
                <w:sz w:val="17"/>
                <w:szCs w:val="17"/>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105,709</w:t>
            </w:r>
          </w:p>
        </w:tc>
        <w:tc>
          <w:tcPr>
            <w:tcW w:w="240" w:type="dxa"/>
            <w:vAlign w:val="bottom"/>
            <w:shd w:val="clear" w:color="auto" w:fill="F0FFFF"/>
          </w:tcPr>
          <w:p>
            <w:pPr>
              <w:spacing w:after="0"/>
              <w:rPr>
                <w:sz w:val="17"/>
                <w:szCs w:val="17"/>
                <w:color w:val="auto"/>
              </w:rPr>
            </w:pP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F0FFFF"/>
          </w:tcPr>
          <w:p>
            <w:pPr>
              <w:jc w:val="right"/>
              <w:ind w:right="65"/>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105,709</w:t>
            </w:r>
          </w:p>
        </w:tc>
      </w:tr>
      <w:tr>
        <w:trPr>
          <w:trHeight w:val="205"/>
        </w:trPr>
        <w:tc>
          <w:tcPr>
            <w:tcW w:w="5960" w:type="dxa"/>
            <w:vAlign w:val="bottom"/>
          </w:tcPr>
          <w:p>
            <w:pPr>
              <w:ind w:left="280"/>
              <w:spacing w:after="0"/>
              <w:rPr>
                <w:sz w:val="20"/>
                <w:szCs w:val="20"/>
                <w:color w:val="auto"/>
              </w:rPr>
            </w:pPr>
            <w:r>
              <w:rPr>
                <w:rFonts w:ascii="Arial" w:cs="Arial" w:eastAsia="Arial" w:hAnsi="Arial"/>
                <w:sz w:val="17"/>
                <w:szCs w:val="17"/>
                <w:color w:val="auto"/>
              </w:rPr>
              <w:t>U.S. Government agencies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36,299</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36,299</w:t>
            </w:r>
          </w:p>
        </w:tc>
      </w:tr>
      <w:tr>
        <w:trPr>
          <w:trHeight w:val="205"/>
        </w:trPr>
        <w:tc>
          <w:tcPr>
            <w:tcW w:w="5960" w:type="dxa"/>
            <w:vAlign w:val="bottom"/>
            <w:shd w:val="clear" w:color="auto" w:fill="F0FFFF"/>
          </w:tcPr>
          <w:p>
            <w:pPr>
              <w:ind w:left="280"/>
              <w:spacing w:after="0"/>
              <w:rPr>
                <w:sz w:val="20"/>
                <w:szCs w:val="20"/>
                <w:color w:val="auto"/>
              </w:rPr>
            </w:pPr>
            <w:r>
              <w:rPr>
                <w:rFonts w:ascii="Arial" w:cs="Arial" w:eastAsia="Arial" w:hAnsi="Arial"/>
                <w:sz w:val="17"/>
                <w:szCs w:val="17"/>
                <w:color w:val="auto"/>
              </w:rPr>
              <w:t>State and political subdivisions</w:t>
            </w: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20,233</w:t>
            </w:r>
          </w:p>
        </w:tc>
        <w:tc>
          <w:tcPr>
            <w:tcW w:w="20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20,233</w:t>
            </w:r>
          </w:p>
        </w:tc>
      </w:tr>
      <w:tr>
        <w:trPr>
          <w:trHeight w:val="205"/>
        </w:trPr>
        <w:tc>
          <w:tcPr>
            <w:tcW w:w="5960" w:type="dxa"/>
            <w:vAlign w:val="bottom"/>
          </w:tcPr>
          <w:p>
            <w:pPr>
              <w:ind w:left="280"/>
              <w:spacing w:after="0"/>
              <w:rPr>
                <w:sz w:val="20"/>
                <w:szCs w:val="20"/>
                <w:color w:val="auto"/>
              </w:rPr>
            </w:pPr>
            <w:r>
              <w:rPr>
                <w:rFonts w:ascii="Arial" w:cs="Arial" w:eastAsia="Arial" w:hAnsi="Arial"/>
                <w:sz w:val="17"/>
                <w:szCs w:val="17"/>
                <w:color w:val="auto"/>
              </w:rPr>
              <w:t>Mortgage-backed securities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996,820</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996,820</w:t>
            </w:r>
          </w:p>
        </w:tc>
      </w:tr>
      <w:tr>
        <w:trPr>
          <w:trHeight w:val="205"/>
        </w:trPr>
        <w:tc>
          <w:tcPr>
            <w:tcW w:w="5960" w:type="dxa"/>
            <w:vAlign w:val="bottom"/>
            <w:shd w:val="clear" w:color="auto" w:fill="F0FFFF"/>
          </w:tcPr>
          <w:p>
            <w:pPr>
              <w:ind w:left="280"/>
              <w:spacing w:after="0"/>
              <w:rPr>
                <w:sz w:val="20"/>
                <w:szCs w:val="20"/>
                <w:color w:val="auto"/>
              </w:rPr>
            </w:pPr>
            <w:r>
              <w:rPr>
                <w:rFonts w:ascii="Arial" w:cs="Arial" w:eastAsia="Arial" w:hAnsi="Arial"/>
                <w:sz w:val="17"/>
                <w:szCs w:val="17"/>
                <w:color w:val="auto"/>
              </w:rPr>
              <w:t>Corporate bonds</w:t>
            </w: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164,878</w:t>
            </w:r>
          </w:p>
        </w:tc>
        <w:tc>
          <w:tcPr>
            <w:tcW w:w="20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750</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165,628</w:t>
            </w:r>
          </w:p>
        </w:tc>
      </w:tr>
      <w:tr>
        <w:trPr>
          <w:trHeight w:val="205"/>
        </w:trPr>
        <w:tc>
          <w:tcPr>
            <w:tcW w:w="5960" w:type="dxa"/>
            <w:vAlign w:val="bottom"/>
          </w:tcPr>
          <w:p>
            <w:pPr>
              <w:ind w:left="280"/>
              <w:spacing w:after="0"/>
              <w:rPr>
                <w:sz w:val="20"/>
                <w:szCs w:val="20"/>
                <w:color w:val="auto"/>
              </w:rPr>
            </w:pPr>
            <w:r>
              <w:rPr>
                <w:rFonts w:ascii="Arial" w:cs="Arial" w:eastAsia="Arial" w:hAnsi="Arial"/>
                <w:sz w:val="17"/>
                <w:szCs w:val="17"/>
                <w:color w:val="auto"/>
              </w:rPr>
              <w:t>Asset-backed securities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455,928</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455,928</w:t>
            </w:r>
          </w:p>
        </w:tc>
      </w:tr>
      <w:tr>
        <w:trPr>
          <w:trHeight w:val="205"/>
        </w:trPr>
        <w:tc>
          <w:tcPr>
            <w:tcW w:w="5960" w:type="dxa"/>
            <w:vAlign w:val="bottom"/>
            <w:shd w:val="clear" w:color="auto" w:fill="F0FFFF"/>
          </w:tcPr>
          <w:p>
            <w:pPr>
              <w:ind w:left="280"/>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2,117</w:t>
            </w:r>
          </w:p>
        </w:tc>
        <w:tc>
          <w:tcPr>
            <w:tcW w:w="20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2,117</w:t>
            </w:r>
          </w:p>
        </w:tc>
      </w:tr>
      <w:tr>
        <w:trPr>
          <w:trHeight w:val="205"/>
        </w:trPr>
        <w:tc>
          <w:tcPr>
            <w:tcW w:w="5960" w:type="dxa"/>
            <w:vAlign w:val="bottom"/>
          </w:tcPr>
          <w:p>
            <w:pPr>
              <w:ind w:left="160"/>
              <w:spacing w:after="0"/>
              <w:rPr>
                <w:sz w:val="20"/>
                <w:szCs w:val="20"/>
                <w:color w:val="auto"/>
              </w:rPr>
            </w:pPr>
            <w:r>
              <w:rPr>
                <w:rFonts w:ascii="Arial" w:cs="Arial" w:eastAsia="Arial" w:hAnsi="Arial"/>
                <w:sz w:val="17"/>
                <w:szCs w:val="17"/>
                <w:color w:val="auto"/>
              </w:rPr>
              <w:t>Deferred compensation plan assets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3,864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3,864</w:t>
            </w:r>
          </w:p>
        </w:tc>
      </w:tr>
      <w:tr>
        <w:trPr>
          <w:trHeight w:val="205"/>
        </w:trPr>
        <w:tc>
          <w:tcPr>
            <w:tcW w:w="5960" w:type="dxa"/>
            <w:vAlign w:val="bottom"/>
            <w:shd w:val="clear" w:color="auto" w:fill="F0FFFF"/>
          </w:tcPr>
          <w:p>
            <w:pPr>
              <w:ind w:left="160"/>
              <w:spacing w:after="0"/>
              <w:rPr>
                <w:sz w:val="20"/>
                <w:szCs w:val="20"/>
                <w:color w:val="auto"/>
              </w:rPr>
            </w:pPr>
            <w:r>
              <w:rPr>
                <w:rFonts w:ascii="Arial" w:cs="Arial" w:eastAsia="Arial" w:hAnsi="Arial"/>
                <w:sz w:val="17"/>
                <w:szCs w:val="17"/>
                <w:color w:val="auto"/>
              </w:rPr>
              <w:t>SBA servicing rights</w:t>
            </w: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2,551</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2,551</w:t>
            </w:r>
          </w:p>
        </w:tc>
      </w:tr>
      <w:tr>
        <w:trPr>
          <w:trHeight w:val="211"/>
        </w:trPr>
        <w:tc>
          <w:tcPr>
            <w:tcW w:w="5960" w:type="dxa"/>
            <w:vAlign w:val="bottom"/>
          </w:tcPr>
          <w:p>
            <w:pPr>
              <w:ind w:left="160"/>
              <w:spacing w:after="0"/>
              <w:rPr>
                <w:sz w:val="20"/>
                <w:szCs w:val="20"/>
                <w:color w:val="auto"/>
              </w:rPr>
            </w:pPr>
            <w:r>
              <w:rPr>
                <w:rFonts w:ascii="Arial" w:cs="Arial" w:eastAsia="Arial" w:hAnsi="Arial"/>
                <w:sz w:val="17"/>
                <w:szCs w:val="17"/>
                <w:color w:val="auto"/>
              </w:rPr>
              <w:t>Derivative financial instruments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8,337</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12,262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20,599</w:t>
            </w:r>
          </w:p>
        </w:tc>
      </w:tr>
      <w:tr>
        <w:trPr>
          <w:trHeight w:val="205"/>
        </w:trPr>
        <w:tc>
          <w:tcPr>
            <w:tcW w:w="5960" w:type="dxa"/>
            <w:vAlign w:val="bottom"/>
          </w:tcPr>
          <w:p>
            <w:pPr>
              <w:ind w:left="420"/>
              <w:spacing w:after="0"/>
              <w:rPr>
                <w:sz w:val="20"/>
                <w:szCs w:val="20"/>
                <w:color w:val="auto"/>
              </w:rPr>
            </w:pPr>
            <w:r>
              <w:rPr>
                <w:rFonts w:ascii="Arial" w:cs="Arial" w:eastAsia="Arial" w:hAnsi="Arial"/>
                <w:sz w:val="17"/>
                <w:szCs w:val="17"/>
                <w:color w:val="auto"/>
              </w:rPr>
              <w:t>Total assets</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109,573</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1,684,612</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15,563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1,809,748</w:t>
            </w:r>
          </w:p>
        </w:tc>
        <w:tc>
          <w:tcPr>
            <w:tcW w:w="100" w:type="dxa"/>
            <w:vAlign w:val="bottom"/>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5960" w:type="dxa"/>
            <w:vAlign w:val="bottom"/>
          </w:tcPr>
          <w:p>
            <w:pPr>
              <w:spacing w:after="0"/>
              <w:rPr>
                <w:sz w:val="20"/>
                <w:szCs w:val="20"/>
                <w:color w:val="auto"/>
              </w:rPr>
            </w:pPr>
            <w:r>
              <w:rPr>
                <w:rFonts w:ascii="Arial" w:cs="Arial" w:eastAsia="Arial" w:hAnsi="Arial"/>
                <w:sz w:val="17"/>
                <w:szCs w:val="17"/>
                <w:b w:val="1"/>
                <w:bCs w:val="1"/>
                <w:color w:val="auto"/>
              </w:rPr>
              <w:t>Liabilities: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960" w:type="dxa"/>
            <w:vAlign w:val="bottom"/>
            <w:shd w:val="clear" w:color="auto" w:fill="F0FFFF"/>
          </w:tcPr>
          <w:p>
            <w:pPr>
              <w:ind w:left="160"/>
              <w:spacing w:after="0"/>
              <w:rPr>
                <w:sz w:val="20"/>
                <w:szCs w:val="20"/>
                <w:color w:val="auto"/>
              </w:rPr>
            </w:pPr>
            <w:r>
              <w:rPr>
                <w:rFonts w:ascii="Arial" w:cs="Arial" w:eastAsia="Arial" w:hAnsi="Arial"/>
                <w:sz w:val="17"/>
                <w:szCs w:val="17"/>
                <w:color w:val="auto"/>
              </w:rPr>
              <w:t>Deferred compensation plan liability</w:t>
            </w:r>
          </w:p>
        </w:tc>
        <w:tc>
          <w:tcPr>
            <w:tcW w:w="300" w:type="dxa"/>
            <w:vAlign w:val="bottom"/>
            <w:gridSpan w:val="2"/>
            <w:shd w:val="clear" w:color="auto" w:fill="F0FFFF"/>
          </w:tcPr>
          <w:p>
            <w:pPr>
              <w:jc w:val="right"/>
              <w:ind w:right="15"/>
              <w:spacing w:after="0"/>
              <w:rPr>
                <w:sz w:val="20"/>
                <w:szCs w:val="20"/>
                <w:color w:val="auto"/>
              </w:rPr>
            </w:pPr>
            <w:r>
              <w:rPr>
                <w:rFonts w:ascii="Arial" w:cs="Arial" w:eastAsia="Arial" w:hAnsi="Arial"/>
                <w:sz w:val="17"/>
                <w:szCs w:val="17"/>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3,864</w:t>
            </w:r>
          </w:p>
        </w:tc>
        <w:tc>
          <w:tcPr>
            <w:tcW w:w="240" w:type="dxa"/>
            <w:vAlign w:val="bottom"/>
            <w:shd w:val="clear" w:color="auto" w:fill="F0FFFF"/>
          </w:tcPr>
          <w:p>
            <w:pPr>
              <w:spacing w:after="0"/>
              <w:rPr>
                <w:sz w:val="17"/>
                <w:szCs w:val="17"/>
                <w:color w:val="auto"/>
              </w:rPr>
            </w:pP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F0FFFF"/>
          </w:tcPr>
          <w:p>
            <w:pPr>
              <w:jc w:val="right"/>
              <w:ind w:right="65"/>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3,864</w:t>
            </w:r>
          </w:p>
        </w:tc>
      </w:tr>
      <w:tr>
        <w:trPr>
          <w:trHeight w:val="211"/>
        </w:trPr>
        <w:tc>
          <w:tcPr>
            <w:tcW w:w="5960" w:type="dxa"/>
            <w:vAlign w:val="bottom"/>
          </w:tcPr>
          <w:p>
            <w:pPr>
              <w:ind w:left="160"/>
              <w:spacing w:after="0"/>
              <w:rPr>
                <w:sz w:val="20"/>
                <w:szCs w:val="20"/>
                <w:color w:val="auto"/>
              </w:rPr>
            </w:pPr>
            <w:r>
              <w:rPr>
                <w:rFonts w:ascii="Arial" w:cs="Arial" w:eastAsia="Arial" w:hAnsi="Arial"/>
                <w:sz w:val="17"/>
                <w:szCs w:val="17"/>
                <w:color w:val="auto"/>
              </w:rPr>
              <w:t>Derivative financial instruments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13,018</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18,979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31,997</w:t>
            </w:r>
          </w:p>
        </w:tc>
      </w:tr>
      <w:tr>
        <w:trPr>
          <w:trHeight w:val="205"/>
        </w:trPr>
        <w:tc>
          <w:tcPr>
            <w:tcW w:w="5960" w:type="dxa"/>
            <w:vAlign w:val="bottom"/>
          </w:tcPr>
          <w:p>
            <w:pPr>
              <w:ind w:left="420"/>
              <w:spacing w:after="0"/>
              <w:rPr>
                <w:sz w:val="20"/>
                <w:szCs w:val="20"/>
                <w:color w:val="auto"/>
              </w:rPr>
            </w:pPr>
            <w:r>
              <w:rPr>
                <w:rFonts w:ascii="Arial" w:cs="Arial" w:eastAsia="Arial" w:hAnsi="Arial"/>
                <w:sz w:val="17"/>
                <w:szCs w:val="17"/>
                <w:color w:val="auto"/>
              </w:rPr>
              <w:t>Total liabilities</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3,864</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13,018</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18,979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35,861</w:t>
            </w:r>
          </w:p>
        </w:tc>
        <w:tc>
          <w:tcPr>
            <w:tcW w:w="100" w:type="dxa"/>
            <w:vAlign w:val="bottom"/>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960" w:type="dxa"/>
            <w:vAlign w:val="bottom"/>
          </w:tcPr>
          <w:p>
            <w:pPr>
              <w:spacing w:after="0"/>
              <w:rPr>
                <w:sz w:val="20"/>
                <w:szCs w:val="20"/>
                <w:color w:val="auto"/>
              </w:rPr>
            </w:pPr>
            <w:r>
              <w:rPr>
                <w:rFonts w:ascii="Arial" w:cs="Arial" w:eastAsia="Arial" w:hAnsi="Arial"/>
                <w:sz w:val="17"/>
                <w:szCs w:val="17"/>
                <w:b w:val="1"/>
                <w:bCs w:val="1"/>
                <w:color w:val="auto"/>
              </w:rPr>
              <w:t>March 31, 2014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7"/>
                <w:szCs w:val="17"/>
                <w:b w:val="1"/>
                <w:bCs w:val="1"/>
                <w:color w:val="auto"/>
              </w:rPr>
              <w:t>Level 1</w:t>
            </w:r>
          </w:p>
        </w:tc>
        <w:tc>
          <w:tcPr>
            <w:tcW w:w="20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rPr>
              <w:t>Level 2</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Level 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5"/>
        </w:trPr>
        <w:tc>
          <w:tcPr>
            <w:tcW w:w="59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F0FFFF"/>
          </w:tcPr>
          <w:p>
            <w:pPr>
              <w:spacing w:after="0"/>
              <w:rPr>
                <w:sz w:val="17"/>
                <w:szCs w:val="17"/>
                <w:color w:val="auto"/>
              </w:rPr>
            </w:pPr>
          </w:p>
        </w:tc>
        <w:tc>
          <w:tcPr>
            <w:tcW w:w="200" w:type="dxa"/>
            <w:vAlign w:val="bottom"/>
            <w:tcBorders>
              <w:top w:val="single" w:sz="8" w:color="auto"/>
            </w:tcBorders>
            <w:shd w:val="clear" w:color="auto" w:fill="F0FFFF"/>
          </w:tcPr>
          <w:p>
            <w:pPr>
              <w:spacing w:after="0"/>
              <w:rPr>
                <w:sz w:val="17"/>
                <w:szCs w:val="17"/>
                <w:color w:val="auto"/>
              </w:rPr>
            </w:pPr>
          </w:p>
        </w:tc>
        <w:tc>
          <w:tcPr>
            <w:tcW w:w="960" w:type="dxa"/>
            <w:vAlign w:val="bottom"/>
            <w:tcBorders>
              <w:top w:val="single" w:sz="8" w:color="auto"/>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00" w:type="dxa"/>
            <w:vAlign w:val="bottom"/>
            <w:tcBorders>
              <w:top w:val="single" w:sz="8" w:color="auto"/>
            </w:tcBorders>
            <w:shd w:val="clear" w:color="auto" w:fill="F0FFFF"/>
          </w:tcPr>
          <w:p>
            <w:pPr>
              <w:spacing w:after="0"/>
              <w:rPr>
                <w:sz w:val="17"/>
                <w:szCs w:val="17"/>
                <w:color w:val="auto"/>
              </w:rPr>
            </w:pPr>
          </w:p>
        </w:tc>
        <w:tc>
          <w:tcPr>
            <w:tcW w:w="940" w:type="dxa"/>
            <w:vAlign w:val="bottom"/>
            <w:tcBorders>
              <w:top w:val="single" w:sz="8" w:color="auto"/>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860" w:type="dxa"/>
            <w:vAlign w:val="bottom"/>
            <w:tcBorders>
              <w:top w:val="single" w:sz="8" w:color="auto"/>
            </w:tcBorders>
            <w:shd w:val="clear" w:color="auto" w:fill="F0FFFF"/>
          </w:tcPr>
          <w:p>
            <w:pPr>
              <w:spacing w:after="0"/>
              <w:rPr>
                <w:sz w:val="17"/>
                <w:szCs w:val="17"/>
                <w:color w:val="auto"/>
              </w:rPr>
            </w:pPr>
          </w:p>
        </w:tc>
        <w:tc>
          <w:tcPr>
            <w:tcW w:w="280" w:type="dxa"/>
            <w:vAlign w:val="bottom"/>
            <w:tcBorders>
              <w:top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20" w:type="dxa"/>
            <w:vAlign w:val="bottom"/>
            <w:tcBorders>
              <w:top w:val="single" w:sz="8" w:color="auto"/>
            </w:tcBorders>
            <w:shd w:val="clear" w:color="auto" w:fill="F0FFFF"/>
          </w:tcPr>
          <w:p>
            <w:pPr>
              <w:spacing w:after="0"/>
              <w:rPr>
                <w:sz w:val="17"/>
                <w:szCs w:val="17"/>
                <w:color w:val="auto"/>
              </w:rPr>
            </w:pPr>
          </w:p>
        </w:tc>
        <w:tc>
          <w:tcPr>
            <w:tcW w:w="90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60" w:type="dxa"/>
            <w:vAlign w:val="bottom"/>
          </w:tcPr>
          <w:p>
            <w:pPr>
              <w:ind w:left="160"/>
              <w:spacing w:after="0"/>
              <w:rPr>
                <w:sz w:val="20"/>
                <w:szCs w:val="20"/>
                <w:color w:val="auto"/>
              </w:rPr>
            </w:pPr>
            <w:r>
              <w:rPr>
                <w:rFonts w:ascii="Arial" w:cs="Arial" w:eastAsia="Arial" w:hAnsi="Arial"/>
                <w:sz w:val="17"/>
                <w:szCs w:val="17"/>
                <w:color w:val="auto"/>
              </w:rPr>
              <w:t>Securities available for sale: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60" w:type="dxa"/>
            <w:vAlign w:val="bottom"/>
            <w:shd w:val="clear" w:color="auto" w:fill="F0FFFF"/>
          </w:tcPr>
          <w:p>
            <w:pPr>
              <w:ind w:left="280"/>
              <w:spacing w:after="0"/>
              <w:rPr>
                <w:sz w:val="20"/>
                <w:szCs w:val="20"/>
                <w:color w:val="auto"/>
              </w:rPr>
            </w:pPr>
            <w:r>
              <w:rPr>
                <w:rFonts w:ascii="Arial" w:cs="Arial" w:eastAsia="Arial" w:hAnsi="Arial"/>
                <w:sz w:val="17"/>
                <w:szCs w:val="17"/>
                <w:color w:val="auto"/>
              </w:rPr>
              <w:t>State and political subdivisions</w:t>
            </w:r>
          </w:p>
        </w:tc>
        <w:tc>
          <w:tcPr>
            <w:tcW w:w="300" w:type="dxa"/>
            <w:vAlign w:val="bottom"/>
            <w:gridSpan w:val="2"/>
            <w:shd w:val="clear" w:color="auto" w:fill="F0FFFF"/>
          </w:tcPr>
          <w:p>
            <w:pPr>
              <w:jc w:val="right"/>
              <w:ind w:right="15"/>
              <w:spacing w:after="0"/>
              <w:rPr>
                <w:sz w:val="20"/>
                <w:szCs w:val="20"/>
                <w:color w:val="auto"/>
              </w:rPr>
            </w:pPr>
            <w:r>
              <w:rPr>
                <w:rFonts w:ascii="Arial" w:cs="Arial" w:eastAsia="Arial" w:hAnsi="Arial"/>
                <w:sz w:val="17"/>
                <w:szCs w:val="17"/>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7"/>
                <w:szCs w:val="17"/>
                <w:color w:val="auto"/>
              </w:rPr>
            </w:pP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23,006</w:t>
            </w:r>
          </w:p>
        </w:tc>
        <w:tc>
          <w:tcPr>
            <w:tcW w:w="860" w:type="dxa"/>
            <w:vAlign w:val="bottom"/>
            <w:shd w:val="clear" w:color="auto" w:fill="F0FFFF"/>
          </w:tcPr>
          <w:p>
            <w:pPr>
              <w:jc w:val="right"/>
              <w:ind w:right="703"/>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F0FFFF"/>
          </w:tcPr>
          <w:p>
            <w:pPr>
              <w:jc w:val="right"/>
              <w:ind w:right="65"/>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23,006</w:t>
            </w:r>
          </w:p>
        </w:tc>
        <w:tc>
          <w:tcPr>
            <w:tcW w:w="0" w:type="dxa"/>
            <w:vAlign w:val="bottom"/>
          </w:tcPr>
          <w:p>
            <w:pPr>
              <w:spacing w:after="0"/>
              <w:rPr>
                <w:sz w:val="1"/>
                <w:szCs w:val="1"/>
                <w:color w:val="auto"/>
              </w:rPr>
            </w:pPr>
          </w:p>
        </w:tc>
      </w:tr>
      <w:tr>
        <w:trPr>
          <w:trHeight w:val="205"/>
        </w:trPr>
        <w:tc>
          <w:tcPr>
            <w:tcW w:w="5960" w:type="dxa"/>
            <w:vAlign w:val="bottom"/>
          </w:tcPr>
          <w:p>
            <w:pPr>
              <w:ind w:left="280"/>
              <w:spacing w:after="0"/>
              <w:rPr>
                <w:sz w:val="20"/>
                <w:szCs w:val="20"/>
                <w:color w:val="auto"/>
              </w:rPr>
            </w:pPr>
            <w:r>
              <w:rPr>
                <w:rFonts w:ascii="Arial" w:cs="Arial" w:eastAsia="Arial" w:hAnsi="Arial"/>
                <w:sz w:val="17"/>
                <w:szCs w:val="17"/>
                <w:color w:val="auto"/>
              </w:rPr>
              <w:t>Mortgage-backed securities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1,128,112</w:t>
            </w:r>
          </w:p>
        </w:tc>
        <w:tc>
          <w:tcPr>
            <w:tcW w:w="86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1,128,112</w:t>
            </w:r>
          </w:p>
        </w:tc>
        <w:tc>
          <w:tcPr>
            <w:tcW w:w="0" w:type="dxa"/>
            <w:vAlign w:val="bottom"/>
          </w:tcPr>
          <w:p>
            <w:pPr>
              <w:spacing w:after="0"/>
              <w:rPr>
                <w:sz w:val="1"/>
                <w:szCs w:val="1"/>
                <w:color w:val="auto"/>
              </w:rPr>
            </w:pPr>
          </w:p>
        </w:tc>
      </w:tr>
      <w:tr>
        <w:trPr>
          <w:trHeight w:val="205"/>
        </w:trPr>
        <w:tc>
          <w:tcPr>
            <w:tcW w:w="5960" w:type="dxa"/>
            <w:vAlign w:val="bottom"/>
            <w:shd w:val="clear" w:color="auto" w:fill="F0FFFF"/>
          </w:tcPr>
          <w:p>
            <w:pPr>
              <w:ind w:left="280"/>
              <w:spacing w:after="0"/>
              <w:rPr>
                <w:sz w:val="20"/>
                <w:szCs w:val="20"/>
                <w:color w:val="auto"/>
              </w:rPr>
            </w:pPr>
            <w:r>
              <w:rPr>
                <w:rFonts w:ascii="Arial" w:cs="Arial" w:eastAsia="Arial" w:hAnsi="Arial"/>
                <w:sz w:val="17"/>
                <w:szCs w:val="17"/>
                <w:color w:val="auto"/>
              </w:rPr>
              <w:t>Corporate bonds</w:t>
            </w: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251,574</w:t>
            </w:r>
          </w:p>
        </w:tc>
        <w:tc>
          <w:tcPr>
            <w:tcW w:w="860" w:type="dxa"/>
            <w:vAlign w:val="bottom"/>
            <w:shd w:val="clear" w:color="auto" w:fill="F0FFFF"/>
          </w:tcPr>
          <w:p>
            <w:pPr>
              <w:spacing w:after="0"/>
              <w:rPr>
                <w:sz w:val="17"/>
                <w:szCs w:val="17"/>
                <w:color w:val="auto"/>
              </w:rPr>
            </w:pPr>
          </w:p>
        </w:tc>
        <w:tc>
          <w:tcPr>
            <w:tcW w:w="4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w w:val="91"/>
              </w:rPr>
              <w:t>350</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251,924</w:t>
            </w:r>
          </w:p>
        </w:tc>
        <w:tc>
          <w:tcPr>
            <w:tcW w:w="0" w:type="dxa"/>
            <w:vAlign w:val="bottom"/>
          </w:tcPr>
          <w:p>
            <w:pPr>
              <w:spacing w:after="0"/>
              <w:rPr>
                <w:sz w:val="1"/>
                <w:szCs w:val="1"/>
                <w:color w:val="auto"/>
              </w:rPr>
            </w:pPr>
          </w:p>
        </w:tc>
      </w:tr>
      <w:tr>
        <w:trPr>
          <w:trHeight w:val="205"/>
        </w:trPr>
        <w:tc>
          <w:tcPr>
            <w:tcW w:w="5960" w:type="dxa"/>
            <w:vAlign w:val="bottom"/>
          </w:tcPr>
          <w:p>
            <w:pPr>
              <w:ind w:left="280"/>
              <w:spacing w:after="0"/>
              <w:rPr>
                <w:sz w:val="20"/>
                <w:szCs w:val="20"/>
                <w:color w:val="auto"/>
              </w:rPr>
            </w:pPr>
            <w:r>
              <w:rPr>
                <w:rFonts w:ascii="Arial" w:cs="Arial" w:eastAsia="Arial" w:hAnsi="Arial"/>
                <w:sz w:val="17"/>
                <w:szCs w:val="17"/>
                <w:color w:val="auto"/>
              </w:rPr>
              <w:t>Asset-backed securities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432,062</w:t>
            </w:r>
          </w:p>
        </w:tc>
        <w:tc>
          <w:tcPr>
            <w:tcW w:w="86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432,062</w:t>
            </w:r>
          </w:p>
        </w:tc>
        <w:tc>
          <w:tcPr>
            <w:tcW w:w="0" w:type="dxa"/>
            <w:vAlign w:val="bottom"/>
          </w:tcPr>
          <w:p>
            <w:pPr>
              <w:spacing w:after="0"/>
              <w:rPr>
                <w:sz w:val="1"/>
                <w:szCs w:val="1"/>
                <w:color w:val="auto"/>
              </w:rPr>
            </w:pPr>
          </w:p>
        </w:tc>
      </w:tr>
      <w:tr>
        <w:trPr>
          <w:trHeight w:val="205"/>
        </w:trPr>
        <w:tc>
          <w:tcPr>
            <w:tcW w:w="5960" w:type="dxa"/>
            <w:vAlign w:val="bottom"/>
            <w:shd w:val="clear" w:color="auto" w:fill="F0FFFF"/>
          </w:tcPr>
          <w:p>
            <w:pPr>
              <w:ind w:left="280"/>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2,572</w:t>
            </w:r>
          </w:p>
        </w:tc>
        <w:tc>
          <w:tcPr>
            <w:tcW w:w="860" w:type="dxa"/>
            <w:vAlign w:val="bottom"/>
            <w:shd w:val="clear" w:color="auto" w:fill="F0FFFF"/>
          </w:tcPr>
          <w:p>
            <w:pPr>
              <w:spacing w:after="0"/>
              <w:rPr>
                <w:sz w:val="17"/>
                <w:szCs w:val="17"/>
                <w:color w:val="auto"/>
              </w:rPr>
            </w:pPr>
          </w:p>
        </w:tc>
        <w:tc>
          <w:tcPr>
            <w:tcW w:w="4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2,572</w:t>
            </w:r>
          </w:p>
        </w:tc>
        <w:tc>
          <w:tcPr>
            <w:tcW w:w="0" w:type="dxa"/>
            <w:vAlign w:val="bottom"/>
          </w:tcPr>
          <w:p>
            <w:pPr>
              <w:spacing w:after="0"/>
              <w:rPr>
                <w:sz w:val="1"/>
                <w:szCs w:val="1"/>
                <w:color w:val="auto"/>
              </w:rPr>
            </w:pPr>
          </w:p>
        </w:tc>
      </w:tr>
      <w:tr>
        <w:trPr>
          <w:trHeight w:val="205"/>
        </w:trPr>
        <w:tc>
          <w:tcPr>
            <w:tcW w:w="5960" w:type="dxa"/>
            <w:vAlign w:val="bottom"/>
          </w:tcPr>
          <w:p>
            <w:pPr>
              <w:ind w:left="160"/>
              <w:spacing w:after="0"/>
              <w:rPr>
                <w:sz w:val="20"/>
                <w:szCs w:val="20"/>
                <w:color w:val="auto"/>
              </w:rPr>
            </w:pPr>
            <w:r>
              <w:rPr>
                <w:rFonts w:ascii="Arial" w:cs="Arial" w:eastAsia="Arial" w:hAnsi="Arial"/>
                <w:sz w:val="17"/>
                <w:szCs w:val="17"/>
                <w:color w:val="auto"/>
              </w:rPr>
              <w:t>Deferred compensation plan assets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3,468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3,468</w:t>
            </w:r>
          </w:p>
        </w:tc>
        <w:tc>
          <w:tcPr>
            <w:tcW w:w="0" w:type="dxa"/>
            <w:vAlign w:val="bottom"/>
          </w:tcPr>
          <w:p>
            <w:pPr>
              <w:spacing w:after="0"/>
              <w:rPr>
                <w:sz w:val="1"/>
                <w:szCs w:val="1"/>
                <w:color w:val="auto"/>
              </w:rPr>
            </w:pPr>
          </w:p>
        </w:tc>
      </w:tr>
      <w:tr>
        <w:trPr>
          <w:trHeight w:val="205"/>
        </w:trPr>
        <w:tc>
          <w:tcPr>
            <w:tcW w:w="5960" w:type="dxa"/>
            <w:vAlign w:val="bottom"/>
            <w:shd w:val="clear" w:color="auto" w:fill="F0FFFF"/>
          </w:tcPr>
          <w:p>
            <w:pPr>
              <w:ind w:left="160"/>
              <w:spacing w:after="0"/>
              <w:rPr>
                <w:sz w:val="20"/>
                <w:szCs w:val="20"/>
                <w:color w:val="auto"/>
              </w:rPr>
            </w:pPr>
            <w:r>
              <w:rPr>
                <w:rFonts w:ascii="Arial" w:cs="Arial" w:eastAsia="Arial" w:hAnsi="Arial"/>
                <w:sz w:val="17"/>
                <w:szCs w:val="17"/>
                <w:color w:val="auto"/>
              </w:rPr>
              <w:t>Derivative financial instruments</w:t>
            </w: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21,563</w:t>
            </w:r>
          </w:p>
        </w:tc>
        <w:tc>
          <w:tcPr>
            <w:tcW w:w="860" w:type="dxa"/>
            <w:vAlign w:val="bottom"/>
            <w:shd w:val="clear" w:color="auto" w:fill="F0FFFF"/>
          </w:tcPr>
          <w:p>
            <w:pPr>
              <w:spacing w:after="0"/>
              <w:rPr>
                <w:sz w:val="17"/>
                <w:szCs w:val="17"/>
                <w:color w:val="auto"/>
              </w:rPr>
            </w:pPr>
          </w:p>
        </w:tc>
        <w:tc>
          <w:tcPr>
            <w:tcW w:w="4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21,563</w:t>
            </w:r>
          </w:p>
        </w:tc>
        <w:tc>
          <w:tcPr>
            <w:tcW w:w="0" w:type="dxa"/>
            <w:vAlign w:val="bottom"/>
          </w:tcPr>
          <w:p>
            <w:pPr>
              <w:spacing w:after="0"/>
              <w:rPr>
                <w:sz w:val="1"/>
                <w:szCs w:val="1"/>
                <w:color w:val="auto"/>
              </w:rPr>
            </w:pPr>
          </w:p>
        </w:tc>
      </w:tr>
      <w:tr>
        <w:trPr>
          <w:trHeight w:val="26"/>
        </w:trPr>
        <w:tc>
          <w:tcPr>
            <w:tcW w:w="5960" w:type="dxa"/>
            <w:vAlign w:val="bottom"/>
            <w:vMerge w:val="restart"/>
            <w:shd w:val="clear" w:color="auto" w:fill="F0FFFF"/>
          </w:tcPr>
          <w:p>
            <w:pPr>
              <w:ind w:left="420"/>
              <w:spacing w:after="0"/>
              <w:rPr>
                <w:sz w:val="20"/>
                <w:szCs w:val="20"/>
                <w:color w:val="auto"/>
              </w:rPr>
            </w:pPr>
            <w:r>
              <w:rPr>
                <w:rFonts w:ascii="Arial" w:cs="Arial" w:eastAsia="Arial" w:hAnsi="Arial"/>
                <w:sz w:val="17"/>
                <w:szCs w:val="17"/>
                <w:color w:val="auto"/>
              </w:rPr>
              <w:t>Total assets</w:t>
            </w:r>
          </w:p>
        </w:tc>
        <w:tc>
          <w:tcPr>
            <w:tcW w:w="10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960" w:type="dxa"/>
            <w:vAlign w:val="bottom"/>
            <w:vMerge w:val="continue"/>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00" w:type="dxa"/>
            <w:vAlign w:val="bottom"/>
            <w:shd w:val="clear" w:color="auto" w:fill="F0FFFF"/>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3,468</w:t>
            </w:r>
          </w:p>
        </w:tc>
        <w:tc>
          <w:tcPr>
            <w:tcW w:w="240" w:type="dxa"/>
            <w:vAlign w:val="bottom"/>
            <w:shd w:val="clear" w:color="auto" w:fill="F0FFFF"/>
          </w:tcPr>
          <w:p>
            <w:pPr>
              <w:spacing w:after="0"/>
              <w:rPr>
                <w:sz w:val="21"/>
                <w:szCs w:val="21"/>
                <w:color w:val="auto"/>
              </w:rPr>
            </w:pP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1,858,889</w:t>
            </w:r>
          </w:p>
        </w:tc>
        <w:tc>
          <w:tcPr>
            <w:tcW w:w="860" w:type="dxa"/>
            <w:vAlign w:val="bottom"/>
            <w:shd w:val="clear" w:color="auto" w:fill="F0FFFF"/>
          </w:tcPr>
          <w:p>
            <w:pPr>
              <w:jc w:val="right"/>
              <w:ind w:right="703"/>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w w:val="91"/>
              </w:rPr>
              <w:t>350</w:t>
            </w:r>
          </w:p>
        </w:tc>
        <w:tc>
          <w:tcPr>
            <w:tcW w:w="320" w:type="dxa"/>
            <w:vAlign w:val="bottom"/>
            <w:gridSpan w:val="2"/>
            <w:shd w:val="clear" w:color="auto" w:fill="F0FFFF"/>
          </w:tcPr>
          <w:p>
            <w:pPr>
              <w:jc w:val="right"/>
              <w:ind w:right="65"/>
              <w:spacing w:after="0"/>
              <w:rPr>
                <w:sz w:val="20"/>
                <w:szCs w:val="20"/>
                <w:color w:val="auto"/>
              </w:rPr>
            </w:pPr>
            <w:r>
              <w:rPr>
                <w:rFonts w:ascii="Arial" w:cs="Arial" w:eastAsia="Arial" w:hAnsi="Arial"/>
                <w:sz w:val="17"/>
                <w:szCs w:val="17"/>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1,862,707</w:t>
            </w:r>
          </w:p>
        </w:tc>
        <w:tc>
          <w:tcPr>
            <w:tcW w:w="1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96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F0FF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60" w:type="dxa"/>
            <w:vAlign w:val="bottom"/>
            <w:shd w:val="clear" w:color="auto" w:fill="F0FFFF"/>
          </w:tcPr>
          <w:p>
            <w:pPr>
              <w:spacing w:after="0"/>
              <w:rPr>
                <w:sz w:val="20"/>
                <w:szCs w:val="20"/>
                <w:color w:val="auto"/>
              </w:rPr>
            </w:pPr>
            <w:r>
              <w:rPr>
                <w:rFonts w:ascii="Arial" w:cs="Arial" w:eastAsia="Arial" w:hAnsi="Arial"/>
                <w:sz w:val="17"/>
                <w:szCs w:val="17"/>
                <w:b w:val="1"/>
                <w:bCs w:val="1"/>
                <w:color w:val="auto"/>
              </w:rPr>
              <w:t>Liabilities:</w:t>
            </w: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960" w:type="dxa"/>
            <w:vAlign w:val="bottom"/>
          </w:tcPr>
          <w:p>
            <w:pPr>
              <w:ind w:left="160"/>
              <w:spacing w:after="0"/>
              <w:rPr>
                <w:sz w:val="20"/>
                <w:szCs w:val="20"/>
                <w:color w:val="auto"/>
              </w:rPr>
            </w:pPr>
            <w:r>
              <w:rPr>
                <w:rFonts w:ascii="Arial" w:cs="Arial" w:eastAsia="Arial" w:hAnsi="Arial"/>
                <w:sz w:val="17"/>
                <w:szCs w:val="17"/>
                <w:color w:val="auto"/>
              </w:rPr>
              <w:t>Deferred compensation plan liability</w:t>
            </w:r>
          </w:p>
        </w:tc>
        <w:tc>
          <w:tcPr>
            <w:tcW w:w="30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3,468</w:t>
            </w:r>
          </w:p>
        </w:tc>
        <w:tc>
          <w:tcPr>
            <w:tcW w:w="24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703"/>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65"/>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3,468</w:t>
            </w:r>
          </w:p>
        </w:tc>
        <w:tc>
          <w:tcPr>
            <w:tcW w:w="0" w:type="dxa"/>
            <w:vAlign w:val="bottom"/>
          </w:tcPr>
          <w:p>
            <w:pPr>
              <w:spacing w:after="0"/>
              <w:rPr>
                <w:sz w:val="1"/>
                <w:szCs w:val="1"/>
                <w:color w:val="auto"/>
              </w:rPr>
            </w:pPr>
          </w:p>
        </w:tc>
      </w:tr>
      <w:tr>
        <w:trPr>
          <w:trHeight w:val="205"/>
        </w:trPr>
        <w:tc>
          <w:tcPr>
            <w:tcW w:w="5960" w:type="dxa"/>
            <w:vAlign w:val="bottom"/>
            <w:shd w:val="clear" w:color="auto" w:fill="F0FFFF"/>
          </w:tcPr>
          <w:p>
            <w:pPr>
              <w:ind w:left="160"/>
              <w:spacing w:after="0"/>
              <w:rPr>
                <w:sz w:val="20"/>
                <w:szCs w:val="20"/>
                <w:color w:val="auto"/>
              </w:rPr>
            </w:pPr>
            <w:r>
              <w:rPr>
                <w:rFonts w:ascii="Arial" w:cs="Arial" w:eastAsia="Arial" w:hAnsi="Arial"/>
                <w:sz w:val="17"/>
                <w:szCs w:val="17"/>
                <w:color w:val="auto"/>
              </w:rPr>
              <w:t>Brokered certificates of deposit</w:t>
            </w: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177,726</w:t>
            </w:r>
          </w:p>
        </w:tc>
        <w:tc>
          <w:tcPr>
            <w:tcW w:w="860" w:type="dxa"/>
            <w:vAlign w:val="bottom"/>
            <w:shd w:val="clear" w:color="auto" w:fill="F0FFFF"/>
          </w:tcPr>
          <w:p>
            <w:pPr>
              <w:spacing w:after="0"/>
              <w:rPr>
                <w:sz w:val="17"/>
                <w:szCs w:val="17"/>
                <w:color w:val="auto"/>
              </w:rPr>
            </w:pPr>
          </w:p>
        </w:tc>
        <w:tc>
          <w:tcPr>
            <w:tcW w:w="4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177,726</w:t>
            </w:r>
          </w:p>
        </w:tc>
        <w:tc>
          <w:tcPr>
            <w:tcW w:w="0" w:type="dxa"/>
            <w:vAlign w:val="bottom"/>
          </w:tcPr>
          <w:p>
            <w:pPr>
              <w:spacing w:after="0"/>
              <w:rPr>
                <w:sz w:val="1"/>
                <w:szCs w:val="1"/>
                <w:color w:val="auto"/>
              </w:rPr>
            </w:pPr>
          </w:p>
        </w:tc>
      </w:tr>
      <w:tr>
        <w:trPr>
          <w:trHeight w:val="211"/>
        </w:trPr>
        <w:tc>
          <w:tcPr>
            <w:tcW w:w="5960" w:type="dxa"/>
            <w:vAlign w:val="bottom"/>
          </w:tcPr>
          <w:p>
            <w:pPr>
              <w:ind w:left="160"/>
              <w:spacing w:after="0"/>
              <w:rPr>
                <w:sz w:val="20"/>
                <w:szCs w:val="20"/>
                <w:color w:val="auto"/>
              </w:rPr>
            </w:pPr>
            <w:r>
              <w:rPr>
                <w:rFonts w:ascii="Arial" w:cs="Arial" w:eastAsia="Arial" w:hAnsi="Arial"/>
                <w:sz w:val="17"/>
                <w:szCs w:val="17"/>
                <w:color w:val="auto"/>
              </w:rPr>
              <w:t>Derivative financial instruments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42,309</w:t>
            </w:r>
          </w:p>
        </w:tc>
        <w:tc>
          <w:tcPr>
            <w:tcW w:w="86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42,309</w:t>
            </w:r>
          </w:p>
        </w:tc>
        <w:tc>
          <w:tcPr>
            <w:tcW w:w="0" w:type="dxa"/>
            <w:vAlign w:val="bottom"/>
          </w:tcPr>
          <w:p>
            <w:pPr>
              <w:spacing w:after="0"/>
              <w:rPr>
                <w:sz w:val="1"/>
                <w:szCs w:val="1"/>
                <w:color w:val="auto"/>
              </w:rPr>
            </w:pPr>
          </w:p>
        </w:tc>
      </w:tr>
      <w:tr>
        <w:trPr>
          <w:trHeight w:val="205"/>
        </w:trPr>
        <w:tc>
          <w:tcPr>
            <w:tcW w:w="5960" w:type="dxa"/>
            <w:vAlign w:val="bottom"/>
          </w:tcPr>
          <w:p>
            <w:pPr>
              <w:ind w:left="420"/>
              <w:spacing w:after="0"/>
              <w:rPr>
                <w:sz w:val="20"/>
                <w:szCs w:val="20"/>
                <w:color w:val="auto"/>
              </w:rPr>
            </w:pPr>
            <w:r>
              <w:rPr>
                <w:rFonts w:ascii="Arial" w:cs="Arial" w:eastAsia="Arial" w:hAnsi="Arial"/>
                <w:sz w:val="17"/>
                <w:szCs w:val="17"/>
                <w:color w:val="auto"/>
              </w:rPr>
              <w:t>Total liabilities</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3,468</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220,035</w:t>
            </w:r>
          </w:p>
        </w:tc>
        <w:tc>
          <w:tcPr>
            <w:tcW w:w="24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703"/>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223,503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The following table shows a reconciliation of the beginning and ending balances for assets measured at fair value on a recurring basis using significant unobservable inputs that are classified as Level 3 values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8"/>
          </w:tcPr>
          <w:p>
            <w:pPr>
              <w:jc w:val="right"/>
              <w:ind w:right="940"/>
              <w:spacing w:after="0"/>
              <w:rPr>
                <w:sz w:val="20"/>
                <w:szCs w:val="20"/>
                <w:color w:val="auto"/>
              </w:rPr>
            </w:pPr>
            <w:r>
              <w:rPr>
                <w:rFonts w:ascii="Arial" w:cs="Arial" w:eastAsia="Arial" w:hAnsi="Arial"/>
                <w:sz w:val="17"/>
                <w:szCs w:val="17"/>
                <w:b w:val="1"/>
                <w:bCs w:val="1"/>
                <w:color w:val="auto"/>
              </w:rPr>
              <w:t>Three Months Ended March 31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4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7"/>
                <w:szCs w:val="17"/>
                <w:b w:val="1"/>
                <w:bCs w:val="1"/>
                <w:color w:val="auto"/>
              </w:rPr>
              <w:t>2015</w:t>
            </w: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89"/>
              </w:rPr>
              <w:t>2014</w:t>
            </w:r>
          </w:p>
        </w:tc>
        <w:tc>
          <w:tcPr>
            <w:tcW w:w="100" w:type="dxa"/>
            <w:vAlign w:val="bottom"/>
          </w:tcPr>
          <w:p>
            <w:pPr>
              <w:spacing w:after="0"/>
              <w:rPr>
                <w:sz w:val="18"/>
                <w:szCs w:val="18"/>
                <w:color w:val="auto"/>
              </w:rPr>
            </w:pPr>
          </w:p>
        </w:tc>
      </w:tr>
      <w:tr>
        <w:trPr>
          <w:trHeight w:val="189"/>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400"/>
              <w:spacing w:after="0" w:line="189" w:lineRule="exact"/>
              <w:rPr>
                <w:sz w:val="20"/>
                <w:szCs w:val="20"/>
                <w:color w:val="auto"/>
              </w:rPr>
            </w:pPr>
            <w:r>
              <w:rPr>
                <w:rFonts w:ascii="Arial" w:cs="Arial" w:eastAsia="Arial" w:hAnsi="Arial"/>
                <w:sz w:val="17"/>
                <w:szCs w:val="17"/>
                <w:b w:val="1"/>
                <w:bCs w:val="1"/>
                <w:color w:val="auto"/>
                <w:w w:val="89"/>
              </w:rPr>
              <w:t>SBA</w:t>
            </w:r>
          </w:p>
        </w:tc>
        <w:tc>
          <w:tcPr>
            <w:tcW w:w="100" w:type="dxa"/>
            <w:vAlign w:val="bottom"/>
          </w:tcPr>
          <w:p>
            <w:pPr>
              <w:spacing w:after="0"/>
              <w:rPr>
                <w:sz w:val="16"/>
                <w:szCs w:val="16"/>
                <w:color w:val="auto"/>
              </w:rPr>
            </w:pPr>
          </w:p>
        </w:tc>
        <w:tc>
          <w:tcPr>
            <w:tcW w:w="10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88"/>
              </w:rPr>
              <w:t>Securities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w w:val="88"/>
              </w:rPr>
              <w:t>Securities</w:t>
            </w:r>
          </w:p>
        </w:tc>
        <w:tc>
          <w:tcPr>
            <w:tcW w:w="100" w:type="dxa"/>
            <w:vAlign w:val="bottom"/>
          </w:tcPr>
          <w:p>
            <w:pPr>
              <w:spacing w:after="0"/>
              <w:rPr>
                <w:sz w:val="16"/>
                <w:szCs w:val="16"/>
                <w:color w:val="auto"/>
              </w:rPr>
            </w:pPr>
          </w:p>
        </w:tc>
      </w:tr>
      <w:tr>
        <w:trPr>
          <w:trHeight w:val="205"/>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w w:val="98"/>
              </w:rPr>
              <w:t>Derivative</w:t>
            </w:r>
          </w:p>
        </w:tc>
        <w:tc>
          <w:tcPr>
            <w:tcW w:w="140" w:type="dxa"/>
            <w:vAlign w:val="bottom"/>
          </w:tcPr>
          <w:p>
            <w:pPr>
              <w:spacing w:after="0"/>
              <w:rPr>
                <w:sz w:val="17"/>
                <w:szCs w:val="17"/>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w w:val="98"/>
              </w:rPr>
              <w:t>Derivative</w:t>
            </w:r>
          </w:p>
        </w:tc>
        <w:tc>
          <w:tcPr>
            <w:tcW w:w="18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5"/>
              </w:rPr>
              <w:t>servicing</w:t>
            </w:r>
          </w:p>
        </w:tc>
        <w:tc>
          <w:tcPr>
            <w:tcW w:w="100" w:type="dxa"/>
            <w:vAlign w:val="bottom"/>
          </w:tcPr>
          <w:p>
            <w:pPr>
              <w:spacing w:after="0"/>
              <w:rPr>
                <w:sz w:val="17"/>
                <w:szCs w:val="17"/>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2"/>
              </w:rPr>
              <w:t>Available-for-</w:t>
            </w:r>
          </w:p>
        </w:tc>
        <w:tc>
          <w:tcPr>
            <w:tcW w:w="10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2"/>
              </w:rPr>
              <w:t>Available-for-</w:t>
            </w:r>
          </w:p>
        </w:tc>
      </w:tr>
      <w:tr>
        <w:trPr>
          <w:trHeight w:val="227"/>
        </w:trPr>
        <w:tc>
          <w:tcPr>
            <w:tcW w:w="4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Asset</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Liability</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b w:val="1"/>
                <w:bCs w:val="1"/>
                <w:color w:val="auto"/>
                <w:w w:val="93"/>
              </w:rPr>
              <w:t>rights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Sale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91"/>
              </w:rPr>
              <w:t>Sale</w:t>
            </w:r>
          </w:p>
        </w:tc>
        <w:tc>
          <w:tcPr>
            <w:tcW w:w="100" w:type="dxa"/>
            <w:vAlign w:val="bottom"/>
          </w:tcPr>
          <w:p>
            <w:pPr>
              <w:spacing w:after="0"/>
              <w:rPr>
                <w:sz w:val="19"/>
                <w:szCs w:val="19"/>
                <w:color w:val="auto"/>
              </w:rPr>
            </w:pPr>
          </w:p>
        </w:tc>
      </w:tr>
      <w:tr>
        <w:trPr>
          <w:trHeight w:val="205"/>
        </w:trPr>
        <w:tc>
          <w:tcPr>
            <w:tcW w:w="4700" w:type="dxa"/>
            <w:vAlign w:val="bottom"/>
            <w:shd w:val="clear" w:color="auto" w:fill="F0FFFF"/>
          </w:tcPr>
          <w:p>
            <w:pPr>
              <w:spacing w:after="0"/>
              <w:rPr>
                <w:sz w:val="20"/>
                <w:szCs w:val="20"/>
                <w:color w:val="auto"/>
              </w:rPr>
            </w:pPr>
            <w:r>
              <w:rPr>
                <w:rFonts w:ascii="Arial" w:cs="Arial" w:eastAsia="Arial" w:hAnsi="Arial"/>
                <w:sz w:val="17"/>
                <w:szCs w:val="17"/>
                <w:color w:val="auto"/>
              </w:rPr>
              <w:t>Balance at beginning of period</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12,262</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18,979</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2,551</w:t>
            </w:r>
          </w:p>
        </w:tc>
        <w:tc>
          <w:tcPr>
            <w:tcW w:w="10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750</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350</w:t>
            </w:r>
          </w:p>
        </w:tc>
      </w:tr>
      <w:tr>
        <w:trPr>
          <w:trHeight w:val="205"/>
        </w:trPr>
        <w:tc>
          <w:tcPr>
            <w:tcW w:w="4700" w:type="dxa"/>
            <w:vAlign w:val="bottom"/>
          </w:tcPr>
          <w:p>
            <w:pPr>
              <w:ind w:left="160"/>
              <w:spacing w:after="0"/>
              <w:rPr>
                <w:sz w:val="20"/>
                <w:szCs w:val="20"/>
                <w:color w:val="auto"/>
              </w:rPr>
            </w:pPr>
            <w:r>
              <w:rPr>
                <w:rFonts w:ascii="Arial" w:cs="Arial" w:eastAsia="Arial" w:hAnsi="Arial"/>
                <w:sz w:val="17"/>
                <w:szCs w:val="17"/>
                <w:color w:val="auto"/>
              </w:rPr>
              <w:t>Purchases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5"/>
        </w:trPr>
        <w:tc>
          <w:tcPr>
            <w:tcW w:w="4700" w:type="dxa"/>
            <w:vAlign w:val="bottom"/>
            <w:shd w:val="clear" w:color="auto" w:fill="F0FFFF"/>
          </w:tcPr>
          <w:p>
            <w:pPr>
              <w:ind w:left="160"/>
              <w:spacing w:after="0"/>
              <w:rPr>
                <w:sz w:val="20"/>
                <w:szCs w:val="20"/>
                <w:color w:val="auto"/>
              </w:rPr>
            </w:pPr>
            <w:r>
              <w:rPr>
                <w:rFonts w:ascii="Arial" w:cs="Arial" w:eastAsia="Arial" w:hAnsi="Arial"/>
                <w:sz w:val="17"/>
                <w:szCs w:val="17"/>
                <w:color w:val="auto"/>
              </w:rPr>
              <w:t>Additions</w:t>
            </w: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190</w:t>
            </w:r>
          </w:p>
        </w:tc>
        <w:tc>
          <w:tcPr>
            <w:tcW w:w="10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r>
      <w:tr>
        <w:trPr>
          <w:trHeight w:val="205"/>
        </w:trPr>
        <w:tc>
          <w:tcPr>
            <w:tcW w:w="4700" w:type="dxa"/>
            <w:vAlign w:val="bottom"/>
          </w:tcPr>
          <w:p>
            <w:pPr>
              <w:ind w:left="160"/>
              <w:spacing w:after="0"/>
              <w:rPr>
                <w:sz w:val="20"/>
                <w:szCs w:val="20"/>
                <w:color w:val="auto"/>
              </w:rPr>
            </w:pPr>
            <w:r>
              <w:rPr>
                <w:rFonts w:ascii="Arial" w:cs="Arial" w:eastAsia="Arial" w:hAnsi="Arial"/>
                <w:sz w:val="17"/>
                <w:szCs w:val="17"/>
                <w:color w:val="auto"/>
              </w:rPr>
              <w:t>Sales and settlements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5"/>
        </w:trPr>
        <w:tc>
          <w:tcPr>
            <w:tcW w:w="4700" w:type="dxa"/>
            <w:vAlign w:val="bottom"/>
            <w:shd w:val="clear" w:color="auto" w:fill="F0FFFF"/>
          </w:tcPr>
          <w:p>
            <w:pPr>
              <w:ind w:left="160"/>
              <w:spacing w:after="0"/>
              <w:rPr>
                <w:sz w:val="20"/>
                <w:szCs w:val="20"/>
                <w:color w:val="auto"/>
              </w:rPr>
            </w:pPr>
            <w:r>
              <w:rPr>
                <w:rFonts w:ascii="Arial" w:cs="Arial" w:eastAsia="Arial" w:hAnsi="Arial"/>
                <w:sz w:val="17"/>
                <w:szCs w:val="17"/>
                <w:color w:val="auto"/>
              </w:rPr>
              <w:t>Other comprehensive income</w:t>
            </w: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r>
      <w:tr>
        <w:trPr>
          <w:trHeight w:val="205"/>
        </w:trPr>
        <w:tc>
          <w:tcPr>
            <w:tcW w:w="4700" w:type="dxa"/>
            <w:vAlign w:val="bottom"/>
          </w:tcPr>
          <w:p>
            <w:pPr>
              <w:ind w:left="160"/>
              <w:spacing w:after="0"/>
              <w:rPr>
                <w:sz w:val="20"/>
                <w:szCs w:val="20"/>
                <w:color w:val="auto"/>
              </w:rPr>
            </w:pPr>
            <w:r>
              <w:rPr>
                <w:rFonts w:ascii="Arial" w:cs="Arial" w:eastAsia="Arial" w:hAnsi="Arial"/>
                <w:sz w:val="17"/>
                <w:szCs w:val="17"/>
                <w:color w:val="auto"/>
              </w:rPr>
              <w:t>Amounts included in earnings - fair value adjustments</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(4,145)</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(4,450)</w:t>
            </w:r>
          </w:p>
        </w:tc>
        <w:tc>
          <w:tcPr>
            <w:tcW w:w="1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5"/>
        </w:trPr>
        <w:tc>
          <w:tcPr>
            <w:tcW w:w="4700" w:type="dxa"/>
            <w:vAlign w:val="bottom"/>
            <w:shd w:val="clear" w:color="auto" w:fill="F0FFFF"/>
          </w:tcPr>
          <w:p>
            <w:pPr>
              <w:ind w:left="160"/>
              <w:spacing w:after="0"/>
              <w:rPr>
                <w:sz w:val="20"/>
                <w:szCs w:val="20"/>
                <w:color w:val="auto"/>
              </w:rPr>
            </w:pPr>
            <w:r>
              <w:rPr>
                <w:rFonts w:ascii="Arial" w:cs="Arial" w:eastAsia="Arial" w:hAnsi="Arial"/>
                <w:sz w:val="17"/>
                <w:szCs w:val="17"/>
                <w:color w:val="auto"/>
              </w:rPr>
              <w:t>Transfers between valuation levels, net</w:t>
            </w: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r>
      <w:tr>
        <w:trPr>
          <w:trHeight w:val="26"/>
        </w:trPr>
        <w:tc>
          <w:tcPr>
            <w:tcW w:w="47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05"/>
        </w:trPr>
        <w:tc>
          <w:tcPr>
            <w:tcW w:w="4700" w:type="dxa"/>
            <w:vAlign w:val="bottom"/>
          </w:tcPr>
          <w:p>
            <w:pPr>
              <w:spacing w:after="0"/>
              <w:rPr>
                <w:sz w:val="20"/>
                <w:szCs w:val="20"/>
                <w:color w:val="auto"/>
              </w:rPr>
            </w:pPr>
            <w:r>
              <w:rPr>
                <w:rFonts w:ascii="Arial" w:cs="Arial" w:eastAsia="Arial" w:hAnsi="Arial"/>
                <w:sz w:val="17"/>
                <w:szCs w:val="17"/>
                <w:color w:val="auto"/>
              </w:rPr>
              <w:t>Balance at end of period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8,117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14,529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2,717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750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350</w:t>
            </w: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2"/>
        </w:trPr>
        <w:tc>
          <w:tcPr>
            <w:tcW w:w="47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jc w:val="right"/>
              <w:spacing w:after="0"/>
              <w:rPr>
                <w:sz w:val="20"/>
                <w:szCs w:val="20"/>
                <w:color w:val="auto"/>
              </w:rPr>
            </w:pPr>
            <w:r>
              <w:rPr>
                <w:rFonts w:ascii="Arial" w:cs="Arial" w:eastAsia="Arial" w:hAnsi="Arial"/>
                <w:sz w:val="17"/>
                <w:szCs w:val="17"/>
                <w:color w:val="auto"/>
              </w:rPr>
              <w:t>32</w:t>
            </w:r>
          </w:p>
        </w:tc>
        <w:tc>
          <w:tcPr>
            <w:tcW w:w="2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5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7"/>
          <w:szCs w:val="17"/>
          <w:b w:val="1"/>
          <w:bCs w:val="1"/>
          <w:color w:val="auto"/>
        </w:rPr>
        <w:t>UNITED COMMUNITY BANKS,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The following table presents quantitative information about Level 3 fair value measurements for fair value on a recurring basis at March 31, 2015, December 31, 2014 and March 31, 2014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7"/>
                <w:szCs w:val="17"/>
                <w:b w:val="1"/>
                <w:bCs w:val="1"/>
                <w:color w:val="auto"/>
              </w:rPr>
              <w:t>Fair Value</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4"/>
          </w:tcPr>
          <w:p>
            <w:pPr>
              <w:ind w:left="600"/>
              <w:spacing w:after="0"/>
              <w:rPr>
                <w:sz w:val="20"/>
                <w:szCs w:val="20"/>
                <w:color w:val="auto"/>
              </w:rPr>
            </w:pPr>
            <w:r>
              <w:rPr>
                <w:rFonts w:ascii="Arial" w:cs="Arial" w:eastAsia="Arial" w:hAnsi="Arial"/>
                <w:sz w:val="17"/>
                <w:szCs w:val="17"/>
                <w:b w:val="1"/>
                <w:bCs w:val="1"/>
                <w:color w:val="auto"/>
              </w:rPr>
              <w:t>Weighted Average</w:t>
            </w:r>
          </w:p>
        </w:tc>
      </w:tr>
      <w:tr>
        <w:trPr>
          <w:trHeight w:val="189"/>
        </w:trPr>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60"/>
              <w:spacing w:after="0" w:line="189" w:lineRule="exact"/>
              <w:rPr>
                <w:sz w:val="20"/>
                <w:szCs w:val="20"/>
                <w:color w:val="auto"/>
              </w:rPr>
            </w:pPr>
            <w:r>
              <w:rPr>
                <w:rFonts w:ascii="Arial" w:cs="Arial" w:eastAsia="Arial" w:hAnsi="Arial"/>
                <w:sz w:val="17"/>
                <w:szCs w:val="17"/>
                <w:b w:val="1"/>
                <w:bCs w:val="1"/>
                <w:color w:val="auto"/>
              </w:rPr>
              <w:t>March 31,</w:t>
            </w: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3"/>
          </w:tcPr>
          <w:p>
            <w:pPr>
              <w:ind w:left="80"/>
              <w:spacing w:after="0" w:line="189" w:lineRule="exact"/>
              <w:rPr>
                <w:sz w:val="20"/>
                <w:szCs w:val="20"/>
                <w:color w:val="auto"/>
              </w:rPr>
            </w:pPr>
            <w:r>
              <w:rPr>
                <w:rFonts w:ascii="Arial" w:cs="Arial" w:eastAsia="Arial" w:hAnsi="Arial"/>
                <w:sz w:val="17"/>
                <w:szCs w:val="17"/>
                <w:b w:val="1"/>
                <w:bCs w:val="1"/>
                <w:color w:val="auto"/>
              </w:rPr>
              <w:t>December 31,</w:t>
            </w: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w w:val="99"/>
              </w:rPr>
              <w:t>March 31,</w:t>
            </w:r>
          </w:p>
        </w:tc>
        <w:tc>
          <w:tcPr>
            <w:tcW w:w="100" w:type="dxa"/>
            <w:vAlign w:val="bottom"/>
          </w:tcPr>
          <w:p>
            <w:pPr>
              <w:spacing w:after="0"/>
              <w:rPr>
                <w:sz w:val="16"/>
                <w:szCs w:val="16"/>
                <w:color w:val="auto"/>
              </w:rPr>
            </w:pPr>
          </w:p>
        </w:tc>
        <w:tc>
          <w:tcPr>
            <w:tcW w:w="1260" w:type="dxa"/>
            <w:vAlign w:val="bottom"/>
          </w:tcPr>
          <w:p>
            <w:pPr>
              <w:ind w:left="260"/>
              <w:spacing w:after="0" w:line="189" w:lineRule="exact"/>
              <w:rPr>
                <w:sz w:val="20"/>
                <w:szCs w:val="20"/>
                <w:color w:val="auto"/>
              </w:rPr>
            </w:pPr>
            <w:r>
              <w:rPr>
                <w:rFonts w:ascii="Arial" w:cs="Arial" w:eastAsia="Arial" w:hAnsi="Arial"/>
                <w:sz w:val="17"/>
                <w:szCs w:val="17"/>
                <w:b w:val="1"/>
                <w:bCs w:val="1"/>
                <w:color w:val="auto"/>
              </w:rPr>
              <w:t>Valuation</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top w:val="single" w:sz="8" w:color="auto"/>
            </w:tcBorders>
            <w:gridSpan w:val="2"/>
          </w:tcPr>
          <w:p>
            <w:pPr>
              <w:ind w:left="200"/>
              <w:spacing w:after="0" w:line="189" w:lineRule="exact"/>
              <w:rPr>
                <w:sz w:val="20"/>
                <w:szCs w:val="20"/>
                <w:color w:val="auto"/>
              </w:rPr>
            </w:pPr>
            <w:r>
              <w:rPr>
                <w:rFonts w:ascii="Arial" w:cs="Arial" w:eastAsia="Arial" w:hAnsi="Arial"/>
                <w:sz w:val="17"/>
                <w:szCs w:val="17"/>
                <w:b w:val="1"/>
                <w:bCs w:val="1"/>
                <w:color w:val="auto"/>
              </w:rPr>
              <w:t>March 31,</w:t>
            </w:r>
          </w:p>
        </w:tc>
        <w:tc>
          <w:tcPr>
            <w:tcW w:w="1140" w:type="dxa"/>
            <w:vAlign w:val="bottom"/>
            <w:tcBorders>
              <w:top w:val="single" w:sz="8" w:color="auto"/>
            </w:tcBorders>
          </w:tcPr>
          <w:p>
            <w:pPr>
              <w:ind w:left="80"/>
              <w:spacing w:after="0" w:line="189" w:lineRule="exact"/>
              <w:rPr>
                <w:sz w:val="20"/>
                <w:szCs w:val="20"/>
                <w:color w:val="auto"/>
              </w:rPr>
            </w:pPr>
            <w:r>
              <w:rPr>
                <w:rFonts w:ascii="Arial" w:cs="Arial" w:eastAsia="Arial" w:hAnsi="Arial"/>
                <w:sz w:val="17"/>
                <w:szCs w:val="17"/>
                <w:b w:val="1"/>
                <w:bCs w:val="1"/>
                <w:color w:val="auto"/>
                <w:w w:val="94"/>
              </w:rPr>
              <w:t>December 31,</w:t>
            </w:r>
          </w:p>
        </w:tc>
        <w:tc>
          <w:tcPr>
            <w:tcW w:w="180" w:type="dxa"/>
            <w:vAlign w:val="bottom"/>
          </w:tcPr>
          <w:p>
            <w:pPr>
              <w:spacing w:after="0"/>
              <w:rPr>
                <w:sz w:val="16"/>
                <w:szCs w:val="16"/>
                <w:color w:val="auto"/>
              </w:rPr>
            </w:pPr>
          </w:p>
        </w:tc>
      </w:tr>
      <w:tr>
        <w:trPr>
          <w:trHeight w:val="227"/>
        </w:trPr>
        <w:tc>
          <w:tcPr>
            <w:tcW w:w="1480" w:type="dxa"/>
            <w:vAlign w:val="bottom"/>
          </w:tcPr>
          <w:p>
            <w:pPr>
              <w:ind w:left="240"/>
              <w:spacing w:after="0"/>
              <w:rPr>
                <w:sz w:val="20"/>
                <w:szCs w:val="20"/>
                <w:color w:val="auto"/>
              </w:rPr>
            </w:pPr>
            <w:r>
              <w:rPr>
                <w:rFonts w:ascii="Arial" w:cs="Arial" w:eastAsia="Arial" w:hAnsi="Arial"/>
                <w:sz w:val="17"/>
                <w:szCs w:val="17"/>
                <w:b w:val="1"/>
                <w:bCs w:val="1"/>
                <w:color w:val="auto"/>
              </w:rPr>
              <w:t>Level 3 Assets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15"/>
              <w:spacing w:after="0"/>
              <w:rPr>
                <w:sz w:val="20"/>
                <w:szCs w:val="20"/>
                <w:color w:val="auto"/>
              </w:rPr>
            </w:pPr>
            <w:r>
              <w:rPr>
                <w:rFonts w:ascii="Arial" w:cs="Arial" w:eastAsia="Arial" w:hAnsi="Arial"/>
                <w:sz w:val="17"/>
                <w:szCs w:val="17"/>
                <w:b w:val="1"/>
                <w:bCs w:val="1"/>
                <w:color w:val="auto"/>
              </w:rPr>
              <w:t>2015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15"/>
              <w:spacing w:after="0"/>
              <w:rPr>
                <w:sz w:val="20"/>
                <w:szCs w:val="20"/>
                <w:color w:val="auto"/>
              </w:rPr>
            </w:pPr>
            <w:r>
              <w:rPr>
                <w:rFonts w:ascii="Arial" w:cs="Arial" w:eastAsia="Arial" w:hAnsi="Arial"/>
                <w:sz w:val="17"/>
                <w:szCs w:val="17"/>
                <w:b w:val="1"/>
                <w:bCs w:val="1"/>
                <w:color w:val="auto"/>
              </w:rPr>
              <w:t>2014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15"/>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9"/>
                <w:szCs w:val="19"/>
                <w:color w:val="auto"/>
              </w:rPr>
            </w:pPr>
          </w:p>
        </w:tc>
        <w:tc>
          <w:tcPr>
            <w:tcW w:w="1260" w:type="dxa"/>
            <w:vAlign w:val="bottom"/>
          </w:tcPr>
          <w:p>
            <w:pPr>
              <w:ind w:left="240"/>
              <w:spacing w:after="0"/>
              <w:rPr>
                <w:sz w:val="20"/>
                <w:szCs w:val="20"/>
                <w:color w:val="auto"/>
              </w:rPr>
            </w:pPr>
            <w:r>
              <w:rPr>
                <w:rFonts w:ascii="Arial" w:cs="Arial" w:eastAsia="Arial" w:hAnsi="Arial"/>
                <w:sz w:val="17"/>
                <w:szCs w:val="17"/>
                <w:b w:val="1"/>
                <w:bCs w:val="1"/>
                <w:color w:val="auto"/>
              </w:rPr>
              <w:t>Technique</w:t>
            </w:r>
          </w:p>
        </w:tc>
        <w:tc>
          <w:tcPr>
            <w:tcW w:w="100" w:type="dxa"/>
            <w:vAlign w:val="bottom"/>
          </w:tcPr>
          <w:p>
            <w:pPr>
              <w:spacing w:after="0"/>
              <w:rPr>
                <w:sz w:val="19"/>
                <w:szCs w:val="19"/>
                <w:color w:val="auto"/>
              </w:rPr>
            </w:pPr>
          </w:p>
        </w:tc>
        <w:tc>
          <w:tcPr>
            <w:tcW w:w="1800" w:type="dxa"/>
            <w:vAlign w:val="bottom"/>
            <w:gridSpan w:val="2"/>
          </w:tcPr>
          <w:p>
            <w:pPr>
              <w:ind w:left="60"/>
              <w:spacing w:after="0"/>
              <w:rPr>
                <w:sz w:val="20"/>
                <w:szCs w:val="20"/>
                <w:color w:val="auto"/>
              </w:rPr>
            </w:pPr>
            <w:r>
              <w:rPr>
                <w:rFonts w:ascii="Arial" w:cs="Arial" w:eastAsia="Arial" w:hAnsi="Arial"/>
                <w:sz w:val="17"/>
                <w:szCs w:val="17"/>
                <w:b w:val="1"/>
                <w:bCs w:val="1"/>
                <w:color w:val="auto"/>
              </w:rPr>
              <w:t>Unobservable Inputs</w:t>
            </w:r>
          </w:p>
        </w:tc>
        <w:tc>
          <w:tcPr>
            <w:tcW w:w="1120" w:type="dxa"/>
            <w:vAlign w:val="bottom"/>
          </w:tcPr>
          <w:p>
            <w:pPr>
              <w:ind w:left="400"/>
              <w:spacing w:after="0"/>
              <w:rPr>
                <w:sz w:val="20"/>
                <w:szCs w:val="20"/>
                <w:color w:val="auto"/>
              </w:rPr>
            </w:pPr>
            <w:r>
              <w:rPr>
                <w:rFonts w:ascii="Arial" w:cs="Arial" w:eastAsia="Arial" w:hAnsi="Arial"/>
                <w:sz w:val="17"/>
                <w:szCs w:val="17"/>
                <w:b w:val="1"/>
                <w:bCs w:val="1"/>
                <w:color w:val="auto"/>
              </w:rPr>
              <w:t>2015</w:t>
            </w:r>
          </w:p>
        </w:tc>
        <w:tc>
          <w:tcPr>
            <w:tcW w:w="260" w:type="dxa"/>
            <w:vAlign w:val="bottom"/>
          </w:tcPr>
          <w:p>
            <w:pPr>
              <w:spacing w:after="0"/>
              <w:rPr>
                <w:sz w:val="19"/>
                <w:szCs w:val="19"/>
                <w:color w:val="auto"/>
              </w:rPr>
            </w:pPr>
          </w:p>
        </w:tc>
        <w:tc>
          <w:tcPr>
            <w:tcW w:w="1140" w:type="dxa"/>
            <w:vAlign w:val="bottom"/>
          </w:tcPr>
          <w:p>
            <w:pPr>
              <w:ind w:left="400"/>
              <w:spacing w:after="0"/>
              <w:rPr>
                <w:sz w:val="20"/>
                <w:szCs w:val="20"/>
                <w:color w:val="auto"/>
              </w:rPr>
            </w:pPr>
            <w:r>
              <w:rPr>
                <w:rFonts w:ascii="Arial" w:cs="Arial" w:eastAsia="Arial" w:hAnsi="Arial"/>
                <w:sz w:val="17"/>
                <w:szCs w:val="17"/>
                <w:b w:val="1"/>
                <w:bCs w:val="1"/>
                <w:color w:val="auto"/>
              </w:rPr>
              <w:t>2014</w:t>
            </w:r>
          </w:p>
        </w:tc>
        <w:tc>
          <w:tcPr>
            <w:tcW w:w="180" w:type="dxa"/>
            <w:vAlign w:val="bottom"/>
          </w:tcPr>
          <w:p>
            <w:pPr>
              <w:spacing w:after="0"/>
              <w:rPr>
                <w:sz w:val="19"/>
                <w:szCs w:val="19"/>
                <w:color w:val="auto"/>
              </w:rPr>
            </w:pPr>
          </w:p>
        </w:tc>
      </w:tr>
      <w:tr>
        <w:trPr>
          <w:trHeight w:val="205"/>
        </w:trPr>
        <w:tc>
          <w:tcPr>
            <w:tcW w:w="1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93"/>
        </w:trPr>
        <w:tc>
          <w:tcPr>
            <w:tcW w:w="1480" w:type="dxa"/>
            <w:vAlign w:val="bottom"/>
            <w:shd w:val="clear" w:color="auto" w:fill="F0FFFF"/>
          </w:tcPr>
          <w:p>
            <w:pPr>
              <w:spacing w:after="0" w:line="193" w:lineRule="exact"/>
              <w:rPr>
                <w:sz w:val="20"/>
                <w:szCs w:val="20"/>
                <w:color w:val="auto"/>
              </w:rPr>
            </w:pPr>
            <w:r>
              <w:rPr>
                <w:rFonts w:ascii="Arial" w:cs="Arial" w:eastAsia="Arial" w:hAnsi="Arial"/>
                <w:sz w:val="17"/>
                <w:szCs w:val="17"/>
                <w:color w:val="auto"/>
              </w:rPr>
              <w:t>SBA Servicing</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6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7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12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114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r>
      <w:tr>
        <w:trPr>
          <w:trHeight w:val="218"/>
        </w:trPr>
        <w:tc>
          <w:tcPr>
            <w:tcW w:w="1480" w:type="dxa"/>
            <w:vAlign w:val="bottom"/>
            <w:shd w:val="clear" w:color="auto" w:fill="F0FFFF"/>
          </w:tcPr>
          <w:p>
            <w:pPr>
              <w:ind w:left="160"/>
              <w:spacing w:after="0"/>
              <w:rPr>
                <w:sz w:val="20"/>
                <w:szCs w:val="20"/>
                <w:color w:val="auto"/>
              </w:rPr>
            </w:pPr>
            <w:r>
              <w:rPr>
                <w:rFonts w:ascii="Arial" w:cs="Arial" w:eastAsia="Arial" w:hAnsi="Arial"/>
                <w:sz w:val="17"/>
                <w:szCs w:val="17"/>
                <w:color w:val="auto"/>
              </w:rPr>
              <w:t>Rights</w:t>
            </w:r>
          </w:p>
        </w:tc>
        <w:tc>
          <w:tcPr>
            <w:tcW w:w="26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2,717</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2,551</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F0FFFF"/>
          </w:tcPr>
          <w:p>
            <w:pPr>
              <w:spacing w:after="0"/>
              <w:rPr>
                <w:sz w:val="20"/>
                <w:szCs w:val="20"/>
                <w:color w:val="auto"/>
              </w:rPr>
            </w:pPr>
            <w:r>
              <w:rPr>
                <w:rFonts w:ascii="Arial" w:cs="Arial" w:eastAsia="Arial" w:hAnsi="Arial"/>
                <w:sz w:val="17"/>
                <w:szCs w:val="17"/>
                <w:color w:val="auto"/>
              </w:rPr>
              <w:t>Discounted</w:t>
            </w:r>
          </w:p>
        </w:tc>
        <w:tc>
          <w:tcPr>
            <w:tcW w:w="1900" w:type="dxa"/>
            <w:vAlign w:val="bottom"/>
            <w:gridSpan w:val="3"/>
            <w:shd w:val="clear" w:color="auto" w:fill="F0FFFF"/>
          </w:tcPr>
          <w:p>
            <w:pPr>
              <w:ind w:left="100"/>
              <w:spacing w:after="0"/>
              <w:rPr>
                <w:sz w:val="20"/>
                <w:szCs w:val="20"/>
                <w:color w:val="auto"/>
              </w:rPr>
            </w:pPr>
            <w:r>
              <w:rPr>
                <w:rFonts w:ascii="Arial" w:cs="Arial" w:eastAsia="Arial" w:hAnsi="Arial"/>
                <w:sz w:val="17"/>
                <w:szCs w:val="17"/>
                <w:color w:val="auto"/>
              </w:rPr>
              <w:t>Discount rate</w:t>
            </w:r>
          </w:p>
        </w:tc>
        <w:tc>
          <w:tcPr>
            <w:tcW w:w="1380" w:type="dxa"/>
            <w:vAlign w:val="bottom"/>
            <w:gridSpan w:val="2"/>
            <w:shd w:val="clear" w:color="auto" w:fill="F0FFFF"/>
          </w:tcPr>
          <w:p>
            <w:pPr>
              <w:ind w:left="840"/>
              <w:spacing w:after="0"/>
              <w:rPr>
                <w:sz w:val="20"/>
                <w:szCs w:val="20"/>
                <w:color w:val="auto"/>
              </w:rPr>
            </w:pPr>
            <w:r>
              <w:rPr>
                <w:rFonts w:ascii="Arial" w:cs="Arial" w:eastAsia="Arial" w:hAnsi="Arial"/>
                <w:sz w:val="17"/>
                <w:szCs w:val="17"/>
                <w:color w:val="auto"/>
              </w:rPr>
              <w:t>11.1%</w:t>
            </w:r>
          </w:p>
        </w:tc>
        <w:tc>
          <w:tcPr>
            <w:tcW w:w="1320" w:type="dxa"/>
            <w:vAlign w:val="bottom"/>
            <w:gridSpan w:val="2"/>
            <w:shd w:val="clear" w:color="auto" w:fill="F0FFFF"/>
          </w:tcPr>
          <w:p>
            <w:pPr>
              <w:ind w:left="840"/>
              <w:spacing w:after="0"/>
              <w:rPr>
                <w:sz w:val="20"/>
                <w:szCs w:val="20"/>
                <w:color w:val="auto"/>
              </w:rPr>
            </w:pPr>
            <w:r>
              <w:rPr>
                <w:rFonts w:ascii="Arial" w:cs="Arial" w:eastAsia="Arial" w:hAnsi="Arial"/>
                <w:sz w:val="17"/>
                <w:szCs w:val="17"/>
                <w:color w:val="auto"/>
                <w:w w:val="95"/>
              </w:rPr>
              <w:t>12.0%</w:t>
            </w:r>
          </w:p>
        </w:tc>
      </w:tr>
      <w:tr>
        <w:trPr>
          <w:trHeight w:val="205"/>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20"/>
                <w:szCs w:val="20"/>
                <w:color w:val="auto"/>
              </w:rPr>
            </w:pPr>
            <w:r>
              <w:rPr>
                <w:rFonts w:ascii="Arial" w:cs="Arial" w:eastAsia="Arial" w:hAnsi="Arial"/>
                <w:sz w:val="17"/>
                <w:szCs w:val="17"/>
                <w:color w:val="auto"/>
              </w:rPr>
              <w:t>cash flow</w:t>
            </w:r>
          </w:p>
        </w:tc>
        <w:tc>
          <w:tcPr>
            <w:tcW w:w="1900" w:type="dxa"/>
            <w:vAlign w:val="bottom"/>
            <w:gridSpan w:val="3"/>
          </w:tcPr>
          <w:p>
            <w:pPr>
              <w:ind w:left="100"/>
              <w:spacing w:after="0"/>
              <w:rPr>
                <w:sz w:val="20"/>
                <w:szCs w:val="20"/>
                <w:color w:val="auto"/>
              </w:rPr>
            </w:pPr>
            <w:r>
              <w:rPr>
                <w:rFonts w:ascii="Arial" w:cs="Arial" w:eastAsia="Arial" w:hAnsi="Arial"/>
                <w:sz w:val="17"/>
                <w:szCs w:val="17"/>
                <w:color w:val="auto"/>
              </w:rPr>
              <w:t>Prepayment Rate</w:t>
            </w:r>
          </w:p>
        </w:tc>
        <w:tc>
          <w:tcPr>
            <w:tcW w:w="1380" w:type="dxa"/>
            <w:vAlign w:val="bottom"/>
            <w:gridSpan w:val="2"/>
          </w:tcPr>
          <w:p>
            <w:pPr>
              <w:ind w:left="820"/>
              <w:spacing w:after="0"/>
              <w:rPr>
                <w:sz w:val="20"/>
                <w:szCs w:val="20"/>
                <w:color w:val="auto"/>
              </w:rPr>
            </w:pPr>
            <w:r>
              <w:rPr>
                <w:rFonts w:ascii="Arial" w:cs="Arial" w:eastAsia="Arial" w:hAnsi="Arial"/>
                <w:sz w:val="17"/>
                <w:szCs w:val="17"/>
                <w:color w:val="auto"/>
              </w:rPr>
              <w:t>7.26%</w:t>
            </w:r>
          </w:p>
        </w:tc>
        <w:tc>
          <w:tcPr>
            <w:tcW w:w="1320" w:type="dxa"/>
            <w:vAlign w:val="bottom"/>
            <w:gridSpan w:val="2"/>
          </w:tcPr>
          <w:p>
            <w:pPr>
              <w:ind w:left="840"/>
              <w:spacing w:after="0"/>
              <w:rPr>
                <w:sz w:val="20"/>
                <w:szCs w:val="20"/>
                <w:color w:val="auto"/>
              </w:rPr>
            </w:pPr>
            <w:r>
              <w:rPr>
                <w:rFonts w:ascii="Arial" w:cs="Arial" w:eastAsia="Arial" w:hAnsi="Arial"/>
                <w:sz w:val="17"/>
                <w:szCs w:val="17"/>
                <w:color w:val="auto"/>
                <w:w w:val="95"/>
              </w:rPr>
              <w:t>6.70%</w:t>
            </w:r>
          </w:p>
        </w:tc>
      </w:tr>
      <w:tr>
        <w:trPr>
          <w:trHeight w:val="205"/>
        </w:trPr>
        <w:tc>
          <w:tcPr>
            <w:tcW w:w="14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7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r>
      <w:tr>
        <w:trPr>
          <w:trHeight w:val="193"/>
        </w:trPr>
        <w:tc>
          <w:tcPr>
            <w:tcW w:w="1480" w:type="dxa"/>
            <w:vAlign w:val="bottom"/>
          </w:tcPr>
          <w:p>
            <w:pPr>
              <w:spacing w:after="0" w:line="193" w:lineRule="exact"/>
              <w:rPr>
                <w:sz w:val="20"/>
                <w:szCs w:val="20"/>
                <w:color w:val="auto"/>
              </w:rPr>
            </w:pPr>
            <w:r>
              <w:rPr>
                <w:rFonts w:ascii="Arial" w:cs="Arial" w:eastAsia="Arial" w:hAnsi="Arial"/>
                <w:sz w:val="17"/>
                <w:szCs w:val="17"/>
                <w:color w:val="auto"/>
              </w:rPr>
              <w:t>Corporate Bonds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20"/>
              <w:spacing w:after="0" w:line="193" w:lineRule="exact"/>
              <w:rPr>
                <w:sz w:val="20"/>
                <w:szCs w:val="20"/>
                <w:color w:val="auto"/>
              </w:rPr>
            </w:pPr>
            <w:r>
              <w:rPr>
                <w:rFonts w:ascii="Arial" w:cs="Arial" w:eastAsia="Arial" w:hAnsi="Arial"/>
                <w:sz w:val="17"/>
                <w:szCs w:val="17"/>
                <w:color w:val="auto"/>
              </w:rPr>
              <w:t>750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line="193" w:lineRule="exact"/>
              <w:rPr>
                <w:sz w:val="20"/>
                <w:szCs w:val="20"/>
                <w:color w:val="auto"/>
              </w:rPr>
            </w:pPr>
            <w:r>
              <w:rPr>
                <w:rFonts w:ascii="Arial" w:cs="Arial" w:eastAsia="Arial" w:hAnsi="Arial"/>
                <w:sz w:val="17"/>
                <w:szCs w:val="17"/>
                <w:color w:val="auto"/>
              </w:rPr>
              <w:t>750</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line="193" w:lineRule="exact"/>
              <w:rPr>
                <w:sz w:val="20"/>
                <w:szCs w:val="20"/>
                <w:color w:val="auto"/>
              </w:rPr>
            </w:pPr>
            <w:r>
              <w:rPr>
                <w:rFonts w:ascii="Arial" w:cs="Arial" w:eastAsia="Arial" w:hAnsi="Arial"/>
                <w:sz w:val="17"/>
                <w:szCs w:val="17"/>
                <w:color w:val="auto"/>
              </w:rPr>
              <w:t>350</w:t>
            </w:r>
          </w:p>
        </w:tc>
        <w:tc>
          <w:tcPr>
            <w:tcW w:w="1260" w:type="dxa"/>
            <w:vAlign w:val="bottom"/>
          </w:tcPr>
          <w:p>
            <w:pPr>
              <w:spacing w:after="0" w:line="193" w:lineRule="exact"/>
              <w:rPr>
                <w:sz w:val="20"/>
                <w:szCs w:val="20"/>
                <w:color w:val="auto"/>
              </w:rPr>
            </w:pPr>
            <w:r>
              <w:rPr>
                <w:rFonts w:ascii="Arial" w:cs="Arial" w:eastAsia="Arial" w:hAnsi="Arial"/>
                <w:sz w:val="17"/>
                <w:szCs w:val="17"/>
                <w:color w:val="auto"/>
              </w:rPr>
              <w:t>Indicative bid</w:t>
            </w:r>
          </w:p>
        </w:tc>
        <w:tc>
          <w:tcPr>
            <w:tcW w:w="1900" w:type="dxa"/>
            <w:vAlign w:val="bottom"/>
            <w:gridSpan w:val="3"/>
          </w:tcPr>
          <w:p>
            <w:pPr>
              <w:ind w:left="100"/>
              <w:spacing w:after="0" w:line="193" w:lineRule="exact"/>
              <w:rPr>
                <w:sz w:val="20"/>
                <w:szCs w:val="20"/>
                <w:color w:val="auto"/>
              </w:rPr>
            </w:pPr>
            <w:r>
              <w:rPr>
                <w:rFonts w:ascii="Arial" w:cs="Arial" w:eastAsia="Arial" w:hAnsi="Arial"/>
                <w:sz w:val="17"/>
                <w:szCs w:val="17"/>
                <w:color w:val="auto"/>
              </w:rPr>
              <w:t>Multiple factors,</w:t>
            </w:r>
          </w:p>
        </w:tc>
        <w:tc>
          <w:tcPr>
            <w:tcW w:w="1380" w:type="dxa"/>
            <w:vAlign w:val="bottom"/>
            <w:gridSpan w:val="2"/>
          </w:tcPr>
          <w:p>
            <w:pPr>
              <w:ind w:left="840"/>
              <w:spacing w:after="0" w:line="193" w:lineRule="exact"/>
              <w:rPr>
                <w:sz w:val="20"/>
                <w:szCs w:val="20"/>
                <w:color w:val="auto"/>
              </w:rPr>
            </w:pPr>
            <w:r>
              <w:rPr>
                <w:rFonts w:ascii="Arial" w:cs="Arial" w:eastAsia="Arial" w:hAnsi="Arial"/>
                <w:sz w:val="17"/>
                <w:szCs w:val="17"/>
                <w:color w:val="auto"/>
              </w:rPr>
              <w:t>N/A</w:t>
            </w:r>
          </w:p>
        </w:tc>
        <w:tc>
          <w:tcPr>
            <w:tcW w:w="1320" w:type="dxa"/>
            <w:vAlign w:val="bottom"/>
            <w:gridSpan w:val="2"/>
          </w:tcPr>
          <w:p>
            <w:pPr>
              <w:ind w:left="840"/>
              <w:spacing w:after="0" w:line="193" w:lineRule="exact"/>
              <w:rPr>
                <w:sz w:val="20"/>
                <w:szCs w:val="20"/>
                <w:color w:val="auto"/>
              </w:rPr>
            </w:pPr>
            <w:r>
              <w:rPr>
                <w:rFonts w:ascii="Arial" w:cs="Arial" w:eastAsia="Arial" w:hAnsi="Arial"/>
                <w:sz w:val="17"/>
                <w:szCs w:val="17"/>
                <w:color w:val="auto"/>
              </w:rPr>
              <w:t>N/A</w:t>
            </w:r>
          </w:p>
        </w:tc>
      </w:tr>
      <w:tr>
        <w:trPr>
          <w:trHeight w:val="205"/>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20"/>
                <w:szCs w:val="20"/>
                <w:color w:val="auto"/>
              </w:rPr>
            </w:pPr>
            <w:r>
              <w:rPr>
                <w:rFonts w:ascii="Arial" w:cs="Arial" w:eastAsia="Arial" w:hAnsi="Arial"/>
                <w:sz w:val="17"/>
                <w:szCs w:val="17"/>
                <w:color w:val="auto"/>
              </w:rPr>
              <w:t>provided by a</w:t>
            </w:r>
          </w:p>
        </w:tc>
        <w:tc>
          <w:tcPr>
            <w:tcW w:w="1900" w:type="dxa"/>
            <w:vAlign w:val="bottom"/>
            <w:gridSpan w:val="3"/>
          </w:tcPr>
          <w:p>
            <w:pPr>
              <w:ind w:left="100"/>
              <w:spacing w:after="0"/>
              <w:rPr>
                <w:sz w:val="20"/>
                <w:szCs w:val="20"/>
                <w:color w:val="auto"/>
              </w:rPr>
            </w:pPr>
            <w:r>
              <w:rPr>
                <w:rFonts w:ascii="Arial" w:cs="Arial" w:eastAsia="Arial" w:hAnsi="Arial"/>
                <w:sz w:val="17"/>
                <w:szCs w:val="17"/>
                <w:color w:val="auto"/>
              </w:rPr>
              <w:t>including but not limited</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20"/>
                <w:szCs w:val="20"/>
                <w:color w:val="auto"/>
              </w:rPr>
            </w:pPr>
            <w:r>
              <w:rPr>
                <w:rFonts w:ascii="Arial" w:cs="Arial" w:eastAsia="Arial" w:hAnsi="Arial"/>
                <w:sz w:val="17"/>
                <w:szCs w:val="17"/>
                <w:color w:val="auto"/>
              </w:rPr>
              <w:t>broker</w:t>
            </w:r>
          </w:p>
        </w:tc>
        <w:tc>
          <w:tcPr>
            <w:tcW w:w="1900" w:type="dxa"/>
            <w:vAlign w:val="bottom"/>
            <w:gridSpan w:val="3"/>
          </w:tcPr>
          <w:p>
            <w:pPr>
              <w:ind w:left="100"/>
              <w:spacing w:after="0"/>
              <w:rPr>
                <w:sz w:val="20"/>
                <w:szCs w:val="20"/>
                <w:color w:val="auto"/>
              </w:rPr>
            </w:pPr>
            <w:r>
              <w:rPr>
                <w:rFonts w:ascii="Arial" w:cs="Arial" w:eastAsia="Arial" w:hAnsi="Arial"/>
                <w:sz w:val="17"/>
                <w:szCs w:val="17"/>
                <w:color w:val="auto"/>
              </w:rPr>
              <w:t>to, current operations,</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00" w:type="dxa"/>
            <w:vAlign w:val="bottom"/>
            <w:gridSpan w:val="3"/>
          </w:tcPr>
          <w:p>
            <w:pPr>
              <w:ind w:left="100"/>
              <w:spacing w:after="0"/>
              <w:rPr>
                <w:sz w:val="20"/>
                <w:szCs w:val="20"/>
                <w:color w:val="auto"/>
              </w:rPr>
            </w:pPr>
            <w:r>
              <w:rPr>
                <w:rFonts w:ascii="Arial" w:cs="Arial" w:eastAsia="Arial" w:hAnsi="Arial"/>
                <w:sz w:val="17"/>
                <w:szCs w:val="17"/>
                <w:color w:val="auto"/>
                <w:w w:val="98"/>
              </w:rPr>
              <w:t>financial condition, cash</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00" w:type="dxa"/>
            <w:vAlign w:val="bottom"/>
            <w:gridSpan w:val="3"/>
          </w:tcPr>
          <w:p>
            <w:pPr>
              <w:ind w:left="100"/>
              <w:spacing w:after="0"/>
              <w:rPr>
                <w:sz w:val="20"/>
                <w:szCs w:val="20"/>
                <w:color w:val="auto"/>
              </w:rPr>
            </w:pPr>
            <w:r>
              <w:rPr>
                <w:rFonts w:ascii="Arial" w:cs="Arial" w:eastAsia="Arial" w:hAnsi="Arial"/>
                <w:sz w:val="17"/>
                <w:szCs w:val="17"/>
                <w:color w:val="auto"/>
              </w:rPr>
              <w:t>flows, and recently</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00" w:type="dxa"/>
            <w:vAlign w:val="bottom"/>
            <w:gridSpan w:val="3"/>
          </w:tcPr>
          <w:p>
            <w:pPr>
              <w:ind w:left="100"/>
              <w:spacing w:after="0"/>
              <w:rPr>
                <w:sz w:val="20"/>
                <w:szCs w:val="20"/>
                <w:color w:val="auto"/>
              </w:rPr>
            </w:pPr>
            <w:r>
              <w:rPr>
                <w:rFonts w:ascii="Arial" w:cs="Arial" w:eastAsia="Arial" w:hAnsi="Arial"/>
                <w:sz w:val="17"/>
                <w:szCs w:val="17"/>
                <w:color w:val="auto"/>
              </w:rPr>
              <w:t>executed financing</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900" w:type="dxa"/>
            <w:vAlign w:val="bottom"/>
            <w:gridSpan w:val="3"/>
          </w:tcPr>
          <w:p>
            <w:pPr>
              <w:ind w:left="100"/>
              <w:spacing w:after="0"/>
              <w:rPr>
                <w:sz w:val="20"/>
                <w:szCs w:val="20"/>
                <w:color w:val="auto"/>
              </w:rPr>
            </w:pPr>
            <w:r>
              <w:rPr>
                <w:rFonts w:ascii="Arial" w:cs="Arial" w:eastAsia="Arial" w:hAnsi="Arial"/>
                <w:sz w:val="17"/>
                <w:szCs w:val="17"/>
                <w:color w:val="auto"/>
              </w:rPr>
              <w:t>transactions related to</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7"/>
        </w:trPr>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00" w:type="dxa"/>
            <w:vAlign w:val="bottom"/>
            <w:gridSpan w:val="3"/>
          </w:tcPr>
          <w:p>
            <w:pPr>
              <w:ind w:left="100"/>
              <w:spacing w:after="0"/>
              <w:rPr>
                <w:sz w:val="20"/>
                <w:szCs w:val="20"/>
                <w:color w:val="auto"/>
              </w:rPr>
            </w:pPr>
            <w:r>
              <w:rPr>
                <w:rFonts w:ascii="Arial" w:cs="Arial" w:eastAsia="Arial" w:hAnsi="Arial"/>
                <w:sz w:val="17"/>
                <w:szCs w:val="17"/>
                <w:color w:val="auto"/>
              </w:rPr>
              <w:t>the company</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6"/>
        </w:trPr>
        <w:tc>
          <w:tcPr>
            <w:tcW w:w="14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7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r>
      <w:tr>
        <w:trPr>
          <w:trHeight w:val="205"/>
        </w:trPr>
        <w:tc>
          <w:tcPr>
            <w:tcW w:w="1480" w:type="dxa"/>
            <w:vAlign w:val="bottom"/>
          </w:tcPr>
          <w:p>
            <w:pPr>
              <w:spacing w:after="0"/>
              <w:rPr>
                <w:sz w:val="20"/>
                <w:szCs w:val="20"/>
                <w:color w:val="auto"/>
              </w:rPr>
            </w:pPr>
            <w:r>
              <w:rPr>
                <w:rFonts w:ascii="Arial" w:cs="Arial" w:eastAsia="Arial" w:hAnsi="Arial"/>
                <w:sz w:val="17"/>
                <w:szCs w:val="17"/>
                <w:color w:val="auto"/>
              </w:rPr>
              <w:t>Derivatives assets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8,117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12,262</w:t>
            </w: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tcPr>
          <w:p>
            <w:pPr>
              <w:spacing w:after="0"/>
              <w:rPr>
                <w:sz w:val="20"/>
                <w:szCs w:val="20"/>
                <w:color w:val="auto"/>
              </w:rPr>
            </w:pPr>
            <w:r>
              <w:rPr>
                <w:rFonts w:ascii="Arial" w:cs="Arial" w:eastAsia="Arial" w:hAnsi="Arial"/>
                <w:sz w:val="17"/>
                <w:szCs w:val="17"/>
                <w:color w:val="auto"/>
              </w:rPr>
              <w:t>Dealer Priced</w:t>
            </w:r>
          </w:p>
        </w:tc>
        <w:tc>
          <w:tcPr>
            <w:tcW w:w="1900" w:type="dxa"/>
            <w:vAlign w:val="bottom"/>
            <w:gridSpan w:val="3"/>
          </w:tcPr>
          <w:p>
            <w:pPr>
              <w:ind w:left="100"/>
              <w:spacing w:after="0"/>
              <w:rPr>
                <w:sz w:val="20"/>
                <w:szCs w:val="20"/>
                <w:color w:val="auto"/>
              </w:rPr>
            </w:pPr>
            <w:r>
              <w:rPr>
                <w:rFonts w:ascii="Arial" w:cs="Arial" w:eastAsia="Arial" w:hAnsi="Arial"/>
                <w:sz w:val="17"/>
                <w:szCs w:val="17"/>
                <w:color w:val="auto"/>
              </w:rPr>
              <w:t>Dealer Priced</w:t>
            </w:r>
          </w:p>
        </w:tc>
        <w:tc>
          <w:tcPr>
            <w:tcW w:w="1380" w:type="dxa"/>
            <w:vAlign w:val="bottom"/>
            <w:gridSpan w:val="2"/>
          </w:tcPr>
          <w:p>
            <w:pPr>
              <w:ind w:left="840"/>
              <w:spacing w:after="0"/>
              <w:rPr>
                <w:sz w:val="20"/>
                <w:szCs w:val="20"/>
                <w:color w:val="auto"/>
              </w:rPr>
            </w:pPr>
            <w:r>
              <w:rPr>
                <w:rFonts w:ascii="Arial" w:cs="Arial" w:eastAsia="Arial" w:hAnsi="Arial"/>
                <w:sz w:val="17"/>
                <w:szCs w:val="17"/>
                <w:color w:val="auto"/>
              </w:rPr>
              <w:t>N/A</w:t>
            </w:r>
          </w:p>
        </w:tc>
        <w:tc>
          <w:tcPr>
            <w:tcW w:w="1320" w:type="dxa"/>
            <w:vAlign w:val="bottom"/>
            <w:gridSpan w:val="2"/>
          </w:tcPr>
          <w:p>
            <w:pPr>
              <w:ind w:left="840"/>
              <w:spacing w:after="0"/>
              <w:rPr>
                <w:sz w:val="20"/>
                <w:szCs w:val="20"/>
                <w:color w:val="auto"/>
              </w:rPr>
            </w:pPr>
            <w:r>
              <w:rPr>
                <w:rFonts w:ascii="Arial" w:cs="Arial" w:eastAsia="Arial" w:hAnsi="Arial"/>
                <w:sz w:val="17"/>
                <w:szCs w:val="17"/>
                <w:color w:val="auto"/>
              </w:rPr>
              <w:t>N/A</w:t>
            </w:r>
          </w:p>
        </w:tc>
      </w:tr>
      <w:tr>
        <w:trPr>
          <w:trHeight w:val="205"/>
        </w:trPr>
        <w:tc>
          <w:tcPr>
            <w:tcW w:w="14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7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7"/>
                <w:szCs w:val="17"/>
                <w:color w:val="auto"/>
              </w:rPr>
              <w:t>Derivative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14,529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18,979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tcPr>
          <w:p>
            <w:pPr>
              <w:spacing w:after="0"/>
              <w:rPr>
                <w:sz w:val="20"/>
                <w:szCs w:val="20"/>
                <w:color w:val="auto"/>
              </w:rPr>
            </w:pPr>
            <w:r>
              <w:rPr>
                <w:rFonts w:ascii="Arial" w:cs="Arial" w:eastAsia="Arial" w:hAnsi="Arial"/>
                <w:sz w:val="17"/>
                <w:szCs w:val="17"/>
                <w:color w:val="auto"/>
              </w:rPr>
              <w:t>Dealer Priced</w:t>
            </w:r>
          </w:p>
        </w:tc>
        <w:tc>
          <w:tcPr>
            <w:tcW w:w="1900" w:type="dxa"/>
            <w:vAlign w:val="bottom"/>
            <w:gridSpan w:val="3"/>
          </w:tcPr>
          <w:p>
            <w:pPr>
              <w:ind w:left="100"/>
              <w:spacing w:after="0"/>
              <w:rPr>
                <w:sz w:val="20"/>
                <w:szCs w:val="20"/>
                <w:color w:val="auto"/>
              </w:rPr>
            </w:pPr>
            <w:r>
              <w:rPr>
                <w:rFonts w:ascii="Arial" w:cs="Arial" w:eastAsia="Arial" w:hAnsi="Arial"/>
                <w:sz w:val="17"/>
                <w:szCs w:val="17"/>
                <w:color w:val="auto"/>
              </w:rPr>
              <w:t>Dealer Priced</w:t>
            </w:r>
          </w:p>
        </w:tc>
        <w:tc>
          <w:tcPr>
            <w:tcW w:w="1380" w:type="dxa"/>
            <w:vAlign w:val="bottom"/>
            <w:gridSpan w:val="2"/>
          </w:tcPr>
          <w:p>
            <w:pPr>
              <w:ind w:left="840"/>
              <w:spacing w:after="0"/>
              <w:rPr>
                <w:sz w:val="20"/>
                <w:szCs w:val="20"/>
                <w:color w:val="auto"/>
              </w:rPr>
            </w:pPr>
            <w:r>
              <w:rPr>
                <w:rFonts w:ascii="Arial" w:cs="Arial" w:eastAsia="Arial" w:hAnsi="Arial"/>
                <w:sz w:val="17"/>
                <w:szCs w:val="17"/>
                <w:color w:val="auto"/>
              </w:rPr>
              <w:t>N/A</w:t>
            </w:r>
          </w:p>
        </w:tc>
        <w:tc>
          <w:tcPr>
            <w:tcW w:w="1320" w:type="dxa"/>
            <w:vAlign w:val="bottom"/>
            <w:gridSpan w:val="2"/>
          </w:tcPr>
          <w:p>
            <w:pPr>
              <w:ind w:left="840"/>
              <w:spacing w:after="0"/>
              <w:rPr>
                <w:sz w:val="20"/>
                <w:szCs w:val="20"/>
                <w:color w:val="auto"/>
              </w:rPr>
            </w:pPr>
            <w:r>
              <w:rPr>
                <w:rFonts w:ascii="Arial" w:cs="Arial" w:eastAsia="Arial" w:hAnsi="Arial"/>
                <w:sz w:val="17"/>
                <w:szCs w:val="17"/>
                <w:color w:val="auto"/>
              </w:rPr>
              <w:t>N/A</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 and Liabilities Measured at Fair Value on a Nonrecurring Basis</w:t>
      </w:r>
    </w:p>
    <w:p>
      <w:pPr>
        <w:spacing w:after="0" w:line="24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United may be required, from time to time, to measure certain assets at fair value on a nonrecurring basis. These include assets that are measured at the lower of cost or market that were recognized at fair value below cost at the end of the period. The table below presents United’s assets and liabilities measured at fair value on a nonrecurring basis as of March 31, 2015, December 31, 2014 and March 31, 2015, aggregated by the level in the fair value hierarchy within which those measurements fall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960" w:type="dxa"/>
            <w:vAlign w:val="bottom"/>
          </w:tcPr>
          <w:p>
            <w:pPr>
              <w:spacing w:after="0"/>
              <w:rPr>
                <w:sz w:val="20"/>
                <w:szCs w:val="20"/>
                <w:color w:val="auto"/>
              </w:rPr>
            </w:pPr>
            <w:r>
              <w:rPr>
                <w:rFonts w:ascii="Arial" w:cs="Arial" w:eastAsia="Arial" w:hAnsi="Arial"/>
                <w:sz w:val="17"/>
                <w:szCs w:val="17"/>
                <w:b w:val="1"/>
                <w:bCs w:val="1"/>
                <w:color w:val="auto"/>
              </w:rPr>
              <w:t>March 31, 2015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7"/>
                <w:szCs w:val="17"/>
                <w:b w:val="1"/>
                <w:bCs w:val="1"/>
                <w:color w:val="auto"/>
              </w:rPr>
              <w:t>Level 1</w:t>
            </w:r>
          </w:p>
        </w:tc>
        <w:tc>
          <w:tcPr>
            <w:tcW w:w="20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rPr>
              <w:t>Level 2</w:t>
            </w:r>
          </w:p>
        </w:tc>
        <w:tc>
          <w:tcPr>
            <w:tcW w:w="20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Level 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Total</w:t>
            </w:r>
          </w:p>
        </w:tc>
      </w:tr>
      <w:tr>
        <w:trPr>
          <w:trHeight w:val="205"/>
        </w:trPr>
        <w:tc>
          <w:tcPr>
            <w:tcW w:w="59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F0FFFF"/>
          </w:tcPr>
          <w:p>
            <w:pPr>
              <w:spacing w:after="0"/>
              <w:rPr>
                <w:sz w:val="17"/>
                <w:szCs w:val="17"/>
                <w:color w:val="auto"/>
              </w:rPr>
            </w:pPr>
          </w:p>
        </w:tc>
        <w:tc>
          <w:tcPr>
            <w:tcW w:w="200" w:type="dxa"/>
            <w:vAlign w:val="bottom"/>
            <w:tcBorders>
              <w:top w:val="single" w:sz="8" w:color="auto"/>
            </w:tcBorders>
            <w:shd w:val="clear" w:color="auto" w:fill="F0FFFF"/>
          </w:tcPr>
          <w:p>
            <w:pPr>
              <w:spacing w:after="0"/>
              <w:rPr>
                <w:sz w:val="17"/>
                <w:szCs w:val="17"/>
                <w:color w:val="auto"/>
              </w:rPr>
            </w:pPr>
          </w:p>
        </w:tc>
        <w:tc>
          <w:tcPr>
            <w:tcW w:w="960" w:type="dxa"/>
            <w:vAlign w:val="bottom"/>
            <w:tcBorders>
              <w:top w:val="single" w:sz="8" w:color="auto"/>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00" w:type="dxa"/>
            <w:vAlign w:val="bottom"/>
            <w:tcBorders>
              <w:top w:val="single" w:sz="8" w:color="auto"/>
            </w:tcBorders>
            <w:shd w:val="clear" w:color="auto" w:fill="F0FFFF"/>
          </w:tcPr>
          <w:p>
            <w:pPr>
              <w:spacing w:after="0"/>
              <w:rPr>
                <w:sz w:val="17"/>
                <w:szCs w:val="17"/>
                <w:color w:val="auto"/>
              </w:rPr>
            </w:pPr>
          </w:p>
        </w:tc>
        <w:tc>
          <w:tcPr>
            <w:tcW w:w="940" w:type="dxa"/>
            <w:vAlign w:val="bottom"/>
            <w:tcBorders>
              <w:top w:val="single" w:sz="8" w:color="auto"/>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00" w:type="dxa"/>
            <w:vAlign w:val="bottom"/>
            <w:tcBorders>
              <w:top w:val="single" w:sz="8" w:color="auto"/>
            </w:tcBorders>
            <w:shd w:val="clear" w:color="auto" w:fill="F0FFFF"/>
          </w:tcPr>
          <w:p>
            <w:pPr>
              <w:spacing w:after="0"/>
              <w:rPr>
                <w:sz w:val="17"/>
                <w:szCs w:val="17"/>
                <w:color w:val="auto"/>
              </w:rPr>
            </w:pPr>
          </w:p>
        </w:tc>
        <w:tc>
          <w:tcPr>
            <w:tcW w:w="940" w:type="dxa"/>
            <w:vAlign w:val="bottom"/>
            <w:tcBorders>
              <w:top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20" w:type="dxa"/>
            <w:vAlign w:val="bottom"/>
            <w:tcBorders>
              <w:top w:val="single" w:sz="8" w:color="auto"/>
            </w:tcBorders>
            <w:shd w:val="clear" w:color="auto" w:fill="F0FFFF"/>
          </w:tcPr>
          <w:p>
            <w:pPr>
              <w:spacing w:after="0"/>
              <w:rPr>
                <w:sz w:val="17"/>
                <w:szCs w:val="17"/>
                <w:color w:val="auto"/>
              </w:rPr>
            </w:pPr>
          </w:p>
        </w:tc>
        <w:tc>
          <w:tcPr>
            <w:tcW w:w="90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5960" w:type="dxa"/>
            <w:vAlign w:val="bottom"/>
          </w:tcPr>
          <w:p>
            <w:pPr>
              <w:ind w:left="160"/>
              <w:spacing w:after="0"/>
              <w:rPr>
                <w:sz w:val="20"/>
                <w:szCs w:val="20"/>
                <w:color w:val="auto"/>
              </w:rPr>
            </w:pPr>
            <w:r>
              <w:rPr>
                <w:rFonts w:ascii="Arial" w:cs="Arial" w:eastAsia="Arial" w:hAnsi="Arial"/>
                <w:sz w:val="17"/>
                <w:szCs w:val="17"/>
                <w:color w:val="auto"/>
              </w:rPr>
              <w:t>Loans</w:t>
            </w:r>
          </w:p>
        </w:tc>
        <w:tc>
          <w:tcPr>
            <w:tcW w:w="30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80,432</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80,432</w:t>
            </w:r>
          </w:p>
        </w:tc>
      </w:tr>
      <w:tr>
        <w:trPr>
          <w:trHeight w:val="205"/>
        </w:trPr>
        <w:tc>
          <w:tcPr>
            <w:tcW w:w="5960" w:type="dxa"/>
            <w:vAlign w:val="bottom"/>
            <w:shd w:val="clear" w:color="auto" w:fill="F0FFFF"/>
          </w:tcPr>
          <w:p>
            <w:pPr>
              <w:ind w:left="160"/>
              <w:spacing w:after="0"/>
              <w:rPr>
                <w:sz w:val="20"/>
                <w:szCs w:val="20"/>
                <w:color w:val="auto"/>
              </w:rPr>
            </w:pPr>
            <w:r>
              <w:rPr>
                <w:rFonts w:ascii="Arial" w:cs="Arial" w:eastAsia="Arial" w:hAnsi="Arial"/>
                <w:sz w:val="17"/>
                <w:szCs w:val="17"/>
                <w:color w:val="auto"/>
              </w:rPr>
              <w:t>Foreclosed properties</w:t>
            </w: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1,021</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1,021</w:t>
            </w:r>
          </w:p>
        </w:tc>
      </w:tr>
      <w:tr>
        <w:trPr>
          <w:trHeight w:val="26"/>
        </w:trPr>
        <w:tc>
          <w:tcPr>
            <w:tcW w:w="596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81,453</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81,453</w:t>
            </w: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11"/>
        </w:trPr>
        <w:tc>
          <w:tcPr>
            <w:tcW w:w="5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December 31, 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5960" w:type="dxa"/>
            <w:vAlign w:val="bottom"/>
            <w:shd w:val="clear" w:color="auto" w:fill="F0FF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5960" w:type="dxa"/>
            <w:vAlign w:val="bottom"/>
          </w:tcPr>
          <w:p>
            <w:pPr>
              <w:ind w:left="160"/>
              <w:spacing w:after="0"/>
              <w:rPr>
                <w:sz w:val="20"/>
                <w:szCs w:val="20"/>
                <w:color w:val="auto"/>
              </w:rPr>
            </w:pPr>
            <w:r>
              <w:rPr>
                <w:rFonts w:ascii="Arial" w:cs="Arial" w:eastAsia="Arial" w:hAnsi="Arial"/>
                <w:sz w:val="17"/>
                <w:szCs w:val="17"/>
                <w:color w:val="auto"/>
              </w:rPr>
              <w:t>Loans</w:t>
            </w:r>
          </w:p>
        </w:tc>
        <w:tc>
          <w:tcPr>
            <w:tcW w:w="30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83,541</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83,541</w:t>
            </w:r>
          </w:p>
        </w:tc>
      </w:tr>
      <w:tr>
        <w:trPr>
          <w:trHeight w:val="205"/>
        </w:trPr>
        <w:tc>
          <w:tcPr>
            <w:tcW w:w="5960" w:type="dxa"/>
            <w:vAlign w:val="bottom"/>
            <w:shd w:val="clear" w:color="auto" w:fill="F0FFFF"/>
          </w:tcPr>
          <w:p>
            <w:pPr>
              <w:ind w:left="160"/>
              <w:spacing w:after="0"/>
              <w:rPr>
                <w:sz w:val="20"/>
                <w:szCs w:val="20"/>
                <w:color w:val="auto"/>
              </w:rPr>
            </w:pPr>
            <w:r>
              <w:rPr>
                <w:rFonts w:ascii="Arial" w:cs="Arial" w:eastAsia="Arial" w:hAnsi="Arial"/>
                <w:sz w:val="17"/>
                <w:szCs w:val="17"/>
                <w:color w:val="auto"/>
              </w:rPr>
              <w:t>Foreclosed properties</w:t>
            </w: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1,555</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1,555</w:t>
            </w:r>
          </w:p>
        </w:tc>
      </w:tr>
      <w:tr>
        <w:trPr>
          <w:trHeight w:val="26"/>
        </w:trPr>
        <w:tc>
          <w:tcPr>
            <w:tcW w:w="596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85,096</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85,096</w:t>
            </w: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11"/>
        </w:trPr>
        <w:tc>
          <w:tcPr>
            <w:tcW w:w="5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March 31, 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5960" w:type="dxa"/>
            <w:vAlign w:val="bottom"/>
            <w:shd w:val="clear" w:color="auto" w:fill="F0FFFF"/>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5960" w:type="dxa"/>
            <w:vAlign w:val="bottom"/>
          </w:tcPr>
          <w:p>
            <w:pPr>
              <w:ind w:left="160"/>
              <w:spacing w:after="0"/>
              <w:rPr>
                <w:sz w:val="20"/>
                <w:szCs w:val="20"/>
                <w:color w:val="auto"/>
              </w:rPr>
            </w:pPr>
            <w:r>
              <w:rPr>
                <w:rFonts w:ascii="Arial" w:cs="Arial" w:eastAsia="Arial" w:hAnsi="Arial"/>
                <w:sz w:val="17"/>
                <w:szCs w:val="17"/>
                <w:color w:val="auto"/>
              </w:rPr>
              <w:t>Loans</w:t>
            </w:r>
          </w:p>
        </w:tc>
        <w:tc>
          <w:tcPr>
            <w:tcW w:w="30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79,918</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79,918</w:t>
            </w:r>
          </w:p>
        </w:tc>
      </w:tr>
      <w:tr>
        <w:trPr>
          <w:trHeight w:val="205"/>
        </w:trPr>
        <w:tc>
          <w:tcPr>
            <w:tcW w:w="5960" w:type="dxa"/>
            <w:vAlign w:val="bottom"/>
            <w:shd w:val="clear" w:color="auto" w:fill="F0FFFF"/>
          </w:tcPr>
          <w:p>
            <w:pPr>
              <w:ind w:left="160"/>
              <w:spacing w:after="0"/>
              <w:rPr>
                <w:sz w:val="20"/>
                <w:szCs w:val="20"/>
                <w:color w:val="auto"/>
              </w:rPr>
            </w:pPr>
            <w:r>
              <w:rPr>
                <w:rFonts w:ascii="Arial" w:cs="Arial" w:eastAsia="Arial" w:hAnsi="Arial"/>
                <w:sz w:val="17"/>
                <w:szCs w:val="17"/>
                <w:color w:val="auto"/>
              </w:rPr>
              <w:t>Foreclosed properties</w:t>
            </w: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3,120</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3,120</w:t>
            </w:r>
          </w:p>
        </w:tc>
      </w:tr>
      <w:tr>
        <w:trPr>
          <w:trHeight w:val="26"/>
        </w:trPr>
        <w:tc>
          <w:tcPr>
            <w:tcW w:w="596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83,038</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83,038</w:t>
            </w: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Loans that are reported above as being measured at fair value on a non-recurring basis are generally impaired loans that have either been partially charged off or have specific reserves assigned to them. Nonaccrual impaired loans that are collateral dependent are generally written down to 80% of appraised value which considers the estimated costs to sell. Specific reserves are established for impaired loans based on appraised value of collateral or discounted cash flows. Foreclosed properties that are included above as measured at fair value on a nonrecurring basis are those properties that resulted from a loan that had been charged down or have been written down subsequent to foreclosure. Foreclosed properties are generally recorded at the lower of 80% of appraised value or 90% of the asking price which considers the estimated cost to sell.</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 and Liabilities Not Measured at Fair Value</w:t>
      </w:r>
    </w:p>
    <w:p>
      <w:pPr>
        <w:spacing w:after="0" w:line="244"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649" w:right="239" w:bottom="913" w:gutter="0" w:footer="0" w:header="0"/>
        </w:sectPr>
      </w:pPr>
    </w:p>
    <w:bookmarkStart w:id="34" w:name="page35"/>
    <w:bookmarkEnd w:id="34"/>
    <w:p>
      <w:pPr>
        <w:jc w:val="center"/>
        <w:spacing w:after="0"/>
        <w:rPr>
          <w:sz w:val="20"/>
          <w:szCs w:val="20"/>
          <w:color w:val="auto"/>
        </w:rPr>
      </w:pPr>
      <w:r>
        <w:rPr>
          <w:rFonts w:ascii="Arial" w:cs="Arial" w:eastAsia="Arial" w:hAnsi="Arial"/>
          <w:sz w:val="17"/>
          <w:szCs w:val="17"/>
          <w:b w:val="1"/>
          <w:bCs w:val="1"/>
          <w:color w:val="auto"/>
        </w:rPr>
        <w:t>UNITED COMMUNITY BANKS,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United’s cash and cash equivalents and repurchase agreements have short maturities and therefore the carrying value approximates fair value. The fair value of securities available-for-sale equals the balance sheet value. Due to the short-term settlement of accrued interest receivable and payable, the carrying amount closely approximates fair value.</w:t>
      </w:r>
    </w:p>
    <w:p>
      <w:pPr>
        <w:spacing w:after="0" w:line="210"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spacing w:after="0" w:line="17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Off-balance sheet instruments (commitments to extend credit and standby letters of credit) are generally short-term and at variable rates. Therefore, both the carrying amount and the estimated fair value associated with these instruments are immaterial.</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The carrying amount and fair values for other financial instruments that are not measured at fair value on a recurring basis in United’s balance sheet at March 31, 2015, December 31, 2014, and March 31, 2014 are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Carrying</w:t>
            </w: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6"/>
          </w:tcPr>
          <w:p>
            <w:pPr>
              <w:jc w:val="right"/>
              <w:ind w:right="1120"/>
              <w:spacing w:after="0"/>
              <w:rPr>
                <w:sz w:val="20"/>
                <w:szCs w:val="20"/>
                <w:color w:val="auto"/>
              </w:rPr>
            </w:pPr>
            <w:r>
              <w:rPr>
                <w:rFonts w:ascii="Arial" w:cs="Arial" w:eastAsia="Arial" w:hAnsi="Arial"/>
                <w:sz w:val="17"/>
                <w:szCs w:val="17"/>
                <w:b w:val="1"/>
                <w:bCs w:val="1"/>
                <w:color w:val="auto"/>
              </w:rPr>
              <w:t>Fair Value Level</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4580" w:type="dxa"/>
            <w:vAlign w:val="bottom"/>
          </w:tcPr>
          <w:p>
            <w:pPr>
              <w:spacing w:after="0"/>
              <w:rPr>
                <w:sz w:val="20"/>
                <w:szCs w:val="20"/>
                <w:color w:val="auto"/>
              </w:rPr>
            </w:pPr>
            <w:r>
              <w:rPr>
                <w:rFonts w:ascii="Arial" w:cs="Arial" w:eastAsia="Arial" w:hAnsi="Arial"/>
                <w:sz w:val="17"/>
                <w:szCs w:val="17"/>
                <w:b w:val="1"/>
                <w:bCs w:val="1"/>
                <w:color w:val="auto"/>
              </w:rPr>
              <w:t>March 31, 2015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Amount</w:t>
            </w:r>
          </w:p>
        </w:tc>
        <w:tc>
          <w:tcPr>
            <w:tcW w:w="960" w:type="dxa"/>
            <w:vAlign w:val="bottom"/>
          </w:tcPr>
          <w:p>
            <w:pPr>
              <w:jc w:val="right"/>
              <w:ind w:right="40"/>
              <w:spacing w:after="0"/>
              <w:rPr>
                <w:sz w:val="20"/>
                <w:szCs w:val="20"/>
                <w:color w:val="auto"/>
              </w:rPr>
            </w:pPr>
            <w:r>
              <w:rPr>
                <w:rFonts w:ascii="Arial" w:cs="Arial" w:eastAsia="Arial" w:hAnsi="Arial"/>
                <w:sz w:val="17"/>
                <w:szCs w:val="17"/>
                <w:b w:val="1"/>
                <w:bCs w:val="1"/>
                <w:color w:val="auto"/>
              </w:rPr>
              <w:t>Level 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7"/>
                <w:szCs w:val="17"/>
                <w:b w:val="1"/>
                <w:bCs w:val="1"/>
                <w:color w:val="auto"/>
              </w:rPr>
              <w:t>Level 2</w:t>
            </w:r>
          </w:p>
        </w:tc>
        <w:tc>
          <w:tcPr>
            <w:tcW w:w="200" w:type="dxa"/>
            <w:vAlign w:val="bottom"/>
          </w:tcPr>
          <w:p>
            <w:pPr>
              <w:spacing w:after="0"/>
              <w:rPr>
                <w:sz w:val="18"/>
                <w:szCs w:val="18"/>
                <w:color w:val="auto"/>
              </w:rPr>
            </w:pPr>
          </w:p>
        </w:tc>
        <w:tc>
          <w:tcPr>
            <w:tcW w:w="1380" w:type="dxa"/>
            <w:vAlign w:val="bottom"/>
            <w:gridSpan w:val="3"/>
          </w:tcPr>
          <w:p>
            <w:pPr>
              <w:jc w:val="right"/>
              <w:ind w:right="740"/>
              <w:spacing w:after="0"/>
              <w:rPr>
                <w:sz w:val="20"/>
                <w:szCs w:val="20"/>
                <w:color w:val="auto"/>
              </w:rPr>
            </w:pPr>
            <w:r>
              <w:rPr>
                <w:rFonts w:ascii="Arial" w:cs="Arial" w:eastAsia="Arial" w:hAnsi="Arial"/>
                <w:sz w:val="17"/>
                <w:szCs w:val="17"/>
                <w:b w:val="1"/>
                <w:bCs w:val="1"/>
                <w:color w:val="auto"/>
              </w:rPr>
              <w:t>Level 3</w:t>
            </w:r>
          </w:p>
        </w:tc>
        <w:tc>
          <w:tcPr>
            <w:tcW w:w="900" w:type="dxa"/>
            <w:vAlign w:val="bottom"/>
          </w:tcPr>
          <w:p>
            <w:pPr>
              <w:jc w:val="right"/>
              <w:ind w:right="295"/>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8"/>
                <w:szCs w:val="18"/>
                <w:color w:val="auto"/>
              </w:rPr>
            </w:pPr>
          </w:p>
        </w:tc>
      </w:tr>
      <w:tr>
        <w:trPr>
          <w:trHeight w:val="205"/>
        </w:trPr>
        <w:tc>
          <w:tcPr>
            <w:tcW w:w="45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F0FFFF"/>
          </w:tcPr>
          <w:p>
            <w:pPr>
              <w:spacing w:after="0"/>
              <w:rPr>
                <w:sz w:val="17"/>
                <w:szCs w:val="17"/>
                <w:color w:val="auto"/>
              </w:rPr>
            </w:pPr>
          </w:p>
        </w:tc>
        <w:tc>
          <w:tcPr>
            <w:tcW w:w="160" w:type="dxa"/>
            <w:vAlign w:val="bottom"/>
            <w:tcBorders>
              <w:top w:val="single" w:sz="8" w:color="auto"/>
            </w:tcBorders>
            <w:shd w:val="clear" w:color="auto" w:fill="F0FFFF"/>
          </w:tcPr>
          <w:p>
            <w:pPr>
              <w:spacing w:after="0"/>
              <w:rPr>
                <w:sz w:val="17"/>
                <w:szCs w:val="17"/>
                <w:color w:val="auto"/>
              </w:rPr>
            </w:pPr>
          </w:p>
        </w:tc>
        <w:tc>
          <w:tcPr>
            <w:tcW w:w="980" w:type="dxa"/>
            <w:vAlign w:val="bottom"/>
            <w:tcBorders>
              <w:top w:val="single" w:sz="8" w:color="auto"/>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60" w:type="dxa"/>
            <w:vAlign w:val="bottom"/>
            <w:tcBorders>
              <w:top w:val="single" w:sz="8" w:color="auto"/>
            </w:tcBorders>
            <w:shd w:val="clear" w:color="auto" w:fill="F0FFFF"/>
          </w:tcPr>
          <w:p>
            <w:pPr>
              <w:spacing w:after="0"/>
              <w:rPr>
                <w:sz w:val="17"/>
                <w:szCs w:val="17"/>
                <w:color w:val="auto"/>
              </w:rPr>
            </w:pPr>
          </w:p>
        </w:tc>
        <w:tc>
          <w:tcPr>
            <w:tcW w:w="20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0" w:type="dxa"/>
            <w:vAlign w:val="bottom"/>
            <w:tcBorders>
              <w:top w:val="single" w:sz="8" w:color="auto"/>
            </w:tcBorders>
            <w:shd w:val="clear" w:color="auto" w:fill="F0FFFF"/>
          </w:tcPr>
          <w:p>
            <w:pPr>
              <w:spacing w:after="0"/>
              <w:rPr>
                <w:sz w:val="17"/>
                <w:szCs w:val="17"/>
                <w:color w:val="auto"/>
              </w:rPr>
            </w:pPr>
          </w:p>
        </w:tc>
        <w:tc>
          <w:tcPr>
            <w:tcW w:w="96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0" w:type="dxa"/>
            <w:vAlign w:val="bottom"/>
            <w:tcBorders>
              <w:top w:val="single" w:sz="8" w:color="auto"/>
            </w:tcBorders>
            <w:shd w:val="clear" w:color="auto" w:fill="F0FFFF"/>
          </w:tcPr>
          <w:p>
            <w:pPr>
              <w:spacing w:after="0"/>
              <w:rPr>
                <w:sz w:val="17"/>
                <w:szCs w:val="17"/>
                <w:color w:val="auto"/>
              </w:rPr>
            </w:pPr>
          </w:p>
        </w:tc>
        <w:tc>
          <w:tcPr>
            <w:tcW w:w="94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20" w:type="dxa"/>
            <w:vAlign w:val="bottom"/>
            <w:tcBorders>
              <w:top w:val="single" w:sz="8" w:color="auto"/>
            </w:tcBorders>
            <w:shd w:val="clear" w:color="auto" w:fill="F0FFFF"/>
          </w:tcPr>
          <w:p>
            <w:pPr>
              <w:spacing w:after="0"/>
              <w:rPr>
                <w:sz w:val="17"/>
                <w:szCs w:val="17"/>
                <w:color w:val="auto"/>
              </w:rPr>
            </w:pPr>
          </w:p>
        </w:tc>
        <w:tc>
          <w:tcPr>
            <w:tcW w:w="90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4580" w:type="dxa"/>
            <w:vAlign w:val="bottom"/>
          </w:tcPr>
          <w:p>
            <w:pPr>
              <w:ind w:left="180"/>
              <w:spacing w:after="0"/>
              <w:rPr>
                <w:sz w:val="20"/>
                <w:szCs w:val="20"/>
                <w:color w:val="auto"/>
              </w:rPr>
            </w:pPr>
            <w:r>
              <w:rPr>
                <w:rFonts w:ascii="Arial" w:cs="Arial" w:eastAsia="Arial" w:hAnsi="Arial"/>
                <w:sz w:val="17"/>
                <w:szCs w:val="17"/>
                <w:color w:val="auto"/>
              </w:rPr>
              <w:t>Securities held to maturity</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399,228</w:t>
            </w:r>
          </w:p>
        </w:tc>
        <w:tc>
          <w:tcPr>
            <w:tcW w:w="240" w:type="dxa"/>
            <w:vAlign w:val="bottom"/>
          </w:tcPr>
          <w:p>
            <w:pPr>
              <w:spacing w:after="0"/>
              <w:rPr>
                <w:sz w:val="17"/>
                <w:szCs w:val="17"/>
                <w:color w:val="auto"/>
              </w:rPr>
            </w:pPr>
          </w:p>
        </w:tc>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620" w:type="dxa"/>
            <w:vAlign w:val="bottom"/>
            <w:gridSpan w:val="3"/>
          </w:tcPr>
          <w:p>
            <w:pPr>
              <w:ind w:left="140"/>
              <w:spacing w:after="0"/>
              <w:rPr>
                <w:sz w:val="20"/>
                <w:szCs w:val="20"/>
                <w:color w:val="auto"/>
              </w:rPr>
            </w:pPr>
            <w:r>
              <w:rPr>
                <w:rFonts w:ascii="Arial" w:cs="Arial" w:eastAsia="Arial" w:hAnsi="Arial"/>
                <w:sz w:val="17"/>
                <w:szCs w:val="17"/>
                <w:color w:val="auto"/>
              </w:rPr>
              <w:t>-   $</w:t>
            </w: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413,550</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gridSpan w:val="3"/>
          </w:tcPr>
          <w:p>
            <w:pPr>
              <w:jc w:val="right"/>
              <w:ind w:right="140"/>
              <w:spacing w:after="0"/>
              <w:rPr>
                <w:sz w:val="20"/>
                <w:szCs w:val="20"/>
                <w:color w:val="auto"/>
              </w:rPr>
            </w:pPr>
            <w:r>
              <w:rPr>
                <w:rFonts w:ascii="Arial" w:cs="Arial" w:eastAsia="Arial" w:hAnsi="Arial"/>
                <w:sz w:val="17"/>
                <w:szCs w:val="17"/>
                <w:color w:val="auto"/>
              </w:rPr>
              <w:t>-   $</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413,550</w:t>
            </w:r>
          </w:p>
        </w:tc>
      </w:tr>
      <w:tr>
        <w:trPr>
          <w:trHeight w:val="205"/>
        </w:trPr>
        <w:tc>
          <w:tcPr>
            <w:tcW w:w="4580" w:type="dxa"/>
            <w:vAlign w:val="bottom"/>
            <w:shd w:val="clear" w:color="auto" w:fill="F0FFFF"/>
          </w:tcPr>
          <w:p>
            <w:pPr>
              <w:ind w:left="180"/>
              <w:spacing w:after="0"/>
              <w:rPr>
                <w:sz w:val="20"/>
                <w:szCs w:val="20"/>
                <w:color w:val="auto"/>
              </w:rPr>
            </w:pPr>
            <w:r>
              <w:rPr>
                <w:rFonts w:ascii="Arial" w:cs="Arial" w:eastAsia="Arial" w:hAnsi="Arial"/>
                <w:sz w:val="17"/>
                <w:szCs w:val="17"/>
                <w:color w:val="auto"/>
              </w:rPr>
              <w:t>Loans, net</w:t>
            </w: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4,717,682</w:t>
            </w: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00" w:type="dxa"/>
            <w:vAlign w:val="bottom"/>
            <w:shd w:val="clear" w:color="auto" w:fill="F0FFFF"/>
          </w:tcPr>
          <w:p>
            <w:pPr>
              <w:ind w:left="14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4,686,611</w:t>
            </w: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4,686,611</w:t>
            </w:r>
          </w:p>
        </w:tc>
      </w:tr>
      <w:tr>
        <w:trPr>
          <w:trHeight w:val="205"/>
        </w:trPr>
        <w:tc>
          <w:tcPr>
            <w:tcW w:w="4580" w:type="dxa"/>
            <w:vAlign w:val="bottom"/>
          </w:tcPr>
          <w:p>
            <w:pPr>
              <w:ind w:left="180"/>
              <w:spacing w:after="0"/>
              <w:rPr>
                <w:sz w:val="20"/>
                <w:szCs w:val="20"/>
                <w:color w:val="auto"/>
              </w:rPr>
            </w:pPr>
            <w:r>
              <w:rPr>
                <w:rFonts w:ascii="Arial" w:cs="Arial" w:eastAsia="Arial" w:hAnsi="Arial"/>
                <w:sz w:val="17"/>
                <w:szCs w:val="17"/>
                <w:color w:val="auto"/>
              </w:rPr>
              <w:t>Mortgage loans held for sale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15,723</w:t>
            </w:r>
          </w:p>
        </w:tc>
        <w:tc>
          <w:tcPr>
            <w:tcW w:w="960" w:type="dxa"/>
            <w:vAlign w:val="bottom"/>
          </w:tcPr>
          <w:p>
            <w:pPr>
              <w:spacing w:after="0"/>
              <w:rPr>
                <w:sz w:val="17"/>
                <w:szCs w:val="17"/>
                <w:color w:val="auto"/>
              </w:rPr>
            </w:pPr>
          </w:p>
        </w:tc>
        <w:tc>
          <w:tcPr>
            <w:tcW w:w="200" w:type="dxa"/>
            <w:vAlign w:val="bottom"/>
          </w:tcPr>
          <w:p>
            <w:pPr>
              <w:ind w:lef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16,181</w:t>
            </w: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16,181</w:t>
            </w:r>
          </w:p>
        </w:tc>
      </w:tr>
      <w:tr>
        <w:trPr>
          <w:trHeight w:val="205"/>
        </w:trPr>
        <w:tc>
          <w:tcPr>
            <w:tcW w:w="45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Liabilities: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580" w:type="dxa"/>
            <w:vAlign w:val="bottom"/>
            <w:shd w:val="clear" w:color="auto" w:fill="F0FFFF"/>
          </w:tcPr>
          <w:p>
            <w:pPr>
              <w:ind w:left="180"/>
              <w:spacing w:after="0"/>
              <w:rPr>
                <w:sz w:val="20"/>
                <w:szCs w:val="20"/>
                <w:color w:val="auto"/>
              </w:rPr>
            </w:pPr>
            <w:r>
              <w:rPr>
                <w:rFonts w:ascii="Arial" w:cs="Arial" w:eastAsia="Arial" w:hAnsi="Arial"/>
                <w:sz w:val="17"/>
                <w:szCs w:val="17"/>
                <w:color w:val="auto"/>
              </w:rPr>
              <w:t>Deposits</w:t>
            </w: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6,437,931</w:t>
            </w: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00" w:type="dxa"/>
            <w:vAlign w:val="bottom"/>
            <w:shd w:val="clear" w:color="auto" w:fill="F0FFFF"/>
          </w:tcPr>
          <w:p>
            <w:pPr>
              <w:ind w:left="14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6,438,984</w:t>
            </w:r>
          </w:p>
        </w:tc>
        <w:tc>
          <w:tcPr>
            <w:tcW w:w="20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6,438,984</w:t>
            </w:r>
          </w:p>
        </w:tc>
        <w:tc>
          <w:tcPr>
            <w:tcW w:w="100" w:type="dxa"/>
            <w:vAlign w:val="bottom"/>
            <w:shd w:val="clear" w:color="auto" w:fill="F0FFFF"/>
          </w:tcPr>
          <w:p>
            <w:pPr>
              <w:spacing w:after="0"/>
              <w:rPr>
                <w:sz w:val="17"/>
                <w:szCs w:val="17"/>
                <w:color w:val="auto"/>
              </w:rPr>
            </w:pPr>
          </w:p>
        </w:tc>
      </w:tr>
      <w:tr>
        <w:trPr>
          <w:trHeight w:val="205"/>
        </w:trPr>
        <w:tc>
          <w:tcPr>
            <w:tcW w:w="4580" w:type="dxa"/>
            <w:vAlign w:val="bottom"/>
          </w:tcPr>
          <w:p>
            <w:pPr>
              <w:ind w:left="180"/>
              <w:spacing w:after="0"/>
              <w:rPr>
                <w:sz w:val="20"/>
                <w:szCs w:val="20"/>
                <w:color w:val="auto"/>
              </w:rPr>
            </w:pPr>
            <w:r>
              <w:rPr>
                <w:rFonts w:ascii="Arial" w:cs="Arial" w:eastAsia="Arial" w:hAnsi="Arial"/>
                <w:sz w:val="17"/>
                <w:szCs w:val="17"/>
                <w:color w:val="auto"/>
              </w:rPr>
              <w:t>Federal Home Loan Bank advances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270,125</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ind w:lef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270,124</w:t>
            </w: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270,124</w:t>
            </w:r>
          </w:p>
        </w:tc>
      </w:tr>
      <w:tr>
        <w:trPr>
          <w:trHeight w:val="205"/>
        </w:trPr>
        <w:tc>
          <w:tcPr>
            <w:tcW w:w="4580" w:type="dxa"/>
            <w:vAlign w:val="bottom"/>
            <w:shd w:val="clear" w:color="auto" w:fill="F0FFFF"/>
          </w:tcPr>
          <w:p>
            <w:pPr>
              <w:ind w:left="180"/>
              <w:spacing w:after="0"/>
              <w:rPr>
                <w:sz w:val="20"/>
                <w:szCs w:val="20"/>
                <w:color w:val="auto"/>
              </w:rPr>
            </w:pPr>
            <w:r>
              <w:rPr>
                <w:rFonts w:ascii="Arial" w:cs="Arial" w:eastAsia="Arial" w:hAnsi="Arial"/>
                <w:sz w:val="17"/>
                <w:szCs w:val="17"/>
                <w:color w:val="auto"/>
              </w:rPr>
              <w:t>Long-term debt</w:t>
            </w: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2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113,901</w:t>
            </w:r>
          </w:p>
        </w:tc>
        <w:tc>
          <w:tcPr>
            <w:tcW w:w="960" w:type="dxa"/>
            <w:vAlign w:val="bottom"/>
            <w:shd w:val="clear" w:color="auto" w:fill="F0FFFF"/>
          </w:tcPr>
          <w:p>
            <w:pPr>
              <w:spacing w:after="0"/>
              <w:rPr>
                <w:sz w:val="17"/>
                <w:szCs w:val="17"/>
                <w:color w:val="auto"/>
              </w:rPr>
            </w:pPr>
          </w:p>
        </w:tc>
        <w:tc>
          <w:tcPr>
            <w:tcW w:w="200" w:type="dxa"/>
            <w:vAlign w:val="bottom"/>
            <w:shd w:val="clear" w:color="auto" w:fill="F0FFFF"/>
          </w:tcPr>
          <w:p>
            <w:pPr>
              <w:ind w:left="14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116,919</w:t>
            </w: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116,919</w:t>
            </w:r>
          </w:p>
        </w:tc>
      </w:tr>
      <w:tr>
        <w:trPr>
          <w:trHeight w:val="20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458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7"/>
                <w:szCs w:val="17"/>
                <w:b w:val="1"/>
                <w:bCs w:val="1"/>
                <w:color w:val="auto"/>
              </w:rPr>
              <w:t>December 31, 2014</w:t>
            </w:r>
          </w:p>
        </w:tc>
        <w:tc>
          <w:tcPr>
            <w:tcW w:w="120" w:type="dxa"/>
            <w:vAlign w:val="bottom"/>
            <w:tcBorders>
              <w:bottom w:val="single" w:sz="8" w:color="F0FFFF"/>
            </w:tcBorders>
            <w:shd w:val="clear" w:color="auto" w:fill="F0FFFF"/>
          </w:tcPr>
          <w:p>
            <w:pPr>
              <w:spacing w:after="0"/>
              <w:rPr>
                <w:sz w:val="18"/>
                <w:szCs w:val="18"/>
                <w:color w:val="auto"/>
              </w:rPr>
            </w:pPr>
          </w:p>
        </w:tc>
        <w:tc>
          <w:tcPr>
            <w:tcW w:w="160" w:type="dxa"/>
            <w:vAlign w:val="bottom"/>
            <w:tcBorders>
              <w:bottom w:val="single" w:sz="8" w:color="F0FFFF"/>
            </w:tcBorders>
            <w:shd w:val="clear" w:color="auto" w:fill="F0FFFF"/>
          </w:tcPr>
          <w:p>
            <w:pPr>
              <w:spacing w:after="0"/>
              <w:rPr>
                <w:sz w:val="18"/>
                <w:szCs w:val="18"/>
                <w:color w:val="auto"/>
              </w:rPr>
            </w:pPr>
          </w:p>
        </w:tc>
        <w:tc>
          <w:tcPr>
            <w:tcW w:w="980" w:type="dxa"/>
            <w:vAlign w:val="bottom"/>
            <w:tcBorders>
              <w:bottom w:val="single" w:sz="8" w:color="F0FFFF"/>
            </w:tcBorders>
            <w:shd w:val="clear" w:color="auto" w:fill="F0FFFF"/>
          </w:tcPr>
          <w:p>
            <w:pPr>
              <w:spacing w:after="0"/>
              <w:rPr>
                <w:sz w:val="18"/>
                <w:szCs w:val="18"/>
                <w:color w:val="auto"/>
              </w:rPr>
            </w:pPr>
          </w:p>
        </w:tc>
        <w:tc>
          <w:tcPr>
            <w:tcW w:w="240" w:type="dxa"/>
            <w:vAlign w:val="bottom"/>
            <w:tcBorders>
              <w:bottom w:val="single" w:sz="8" w:color="F0FFFF"/>
            </w:tcBorders>
            <w:shd w:val="clear" w:color="auto" w:fill="F0FFFF"/>
          </w:tcPr>
          <w:p>
            <w:pPr>
              <w:spacing w:after="0"/>
              <w:rPr>
                <w:sz w:val="18"/>
                <w:szCs w:val="18"/>
                <w:color w:val="auto"/>
              </w:rPr>
            </w:pPr>
          </w:p>
        </w:tc>
        <w:tc>
          <w:tcPr>
            <w:tcW w:w="960" w:type="dxa"/>
            <w:vAlign w:val="bottom"/>
            <w:tcBorders>
              <w:bottom w:val="single" w:sz="8" w:color="F0FFFF"/>
            </w:tcBorders>
            <w:shd w:val="clear" w:color="auto" w:fill="F0FFFF"/>
          </w:tcPr>
          <w:p>
            <w:pPr>
              <w:spacing w:after="0"/>
              <w:rPr>
                <w:sz w:val="18"/>
                <w:szCs w:val="18"/>
                <w:color w:val="auto"/>
              </w:rPr>
            </w:pPr>
          </w:p>
        </w:tc>
        <w:tc>
          <w:tcPr>
            <w:tcW w:w="200" w:type="dxa"/>
            <w:vAlign w:val="bottom"/>
            <w:tcBorders>
              <w:bottom w:val="single" w:sz="8" w:color="F0FFFF"/>
            </w:tcBorders>
            <w:shd w:val="clear" w:color="auto" w:fill="F0FFFF"/>
          </w:tcPr>
          <w:p>
            <w:pPr>
              <w:spacing w:after="0"/>
              <w:rPr>
                <w:sz w:val="18"/>
                <w:szCs w:val="18"/>
                <w:color w:val="auto"/>
              </w:rPr>
            </w:pPr>
          </w:p>
        </w:tc>
        <w:tc>
          <w:tcPr>
            <w:tcW w:w="220" w:type="dxa"/>
            <w:vAlign w:val="bottom"/>
            <w:tcBorders>
              <w:bottom w:val="single" w:sz="8" w:color="F0FFFF"/>
            </w:tcBorders>
            <w:shd w:val="clear" w:color="auto" w:fill="F0FFFF"/>
          </w:tcPr>
          <w:p>
            <w:pPr>
              <w:spacing w:after="0"/>
              <w:rPr>
                <w:sz w:val="18"/>
                <w:szCs w:val="18"/>
                <w:color w:val="auto"/>
              </w:rPr>
            </w:pPr>
          </w:p>
        </w:tc>
        <w:tc>
          <w:tcPr>
            <w:tcW w:w="200" w:type="dxa"/>
            <w:vAlign w:val="bottom"/>
            <w:tcBorders>
              <w:bottom w:val="single" w:sz="8" w:color="F0FFFF"/>
            </w:tcBorders>
            <w:shd w:val="clear" w:color="auto" w:fill="F0FFFF"/>
          </w:tcPr>
          <w:p>
            <w:pPr>
              <w:spacing w:after="0"/>
              <w:rPr>
                <w:sz w:val="18"/>
                <w:szCs w:val="18"/>
                <w:color w:val="auto"/>
              </w:rPr>
            </w:pPr>
          </w:p>
        </w:tc>
        <w:tc>
          <w:tcPr>
            <w:tcW w:w="960" w:type="dxa"/>
            <w:vAlign w:val="bottom"/>
            <w:tcBorders>
              <w:bottom w:val="single" w:sz="8" w:color="F0FFFF"/>
            </w:tcBorders>
            <w:shd w:val="clear" w:color="auto" w:fill="F0FFFF"/>
          </w:tcPr>
          <w:p>
            <w:pPr>
              <w:spacing w:after="0"/>
              <w:rPr>
                <w:sz w:val="18"/>
                <w:szCs w:val="18"/>
                <w:color w:val="auto"/>
              </w:rPr>
            </w:pPr>
          </w:p>
        </w:tc>
        <w:tc>
          <w:tcPr>
            <w:tcW w:w="220" w:type="dxa"/>
            <w:vAlign w:val="bottom"/>
            <w:tcBorders>
              <w:bottom w:val="single" w:sz="8" w:color="F0FFFF"/>
            </w:tcBorders>
            <w:shd w:val="clear" w:color="auto" w:fill="F0FFFF"/>
          </w:tcPr>
          <w:p>
            <w:pPr>
              <w:spacing w:after="0"/>
              <w:rPr>
                <w:sz w:val="18"/>
                <w:szCs w:val="18"/>
                <w:color w:val="auto"/>
              </w:rPr>
            </w:pPr>
          </w:p>
        </w:tc>
        <w:tc>
          <w:tcPr>
            <w:tcW w:w="200" w:type="dxa"/>
            <w:vAlign w:val="bottom"/>
            <w:tcBorders>
              <w:bottom w:val="single" w:sz="8" w:color="F0FFFF"/>
            </w:tcBorders>
            <w:shd w:val="clear" w:color="auto" w:fill="F0FFFF"/>
          </w:tcPr>
          <w:p>
            <w:pPr>
              <w:spacing w:after="0"/>
              <w:rPr>
                <w:sz w:val="18"/>
                <w:szCs w:val="18"/>
                <w:color w:val="auto"/>
              </w:rPr>
            </w:pPr>
          </w:p>
        </w:tc>
        <w:tc>
          <w:tcPr>
            <w:tcW w:w="940" w:type="dxa"/>
            <w:vAlign w:val="bottom"/>
            <w:tcBorders>
              <w:bottom w:val="single" w:sz="8" w:color="F0FFFF"/>
            </w:tcBorders>
            <w:shd w:val="clear" w:color="auto" w:fill="F0FFFF"/>
          </w:tcPr>
          <w:p>
            <w:pPr>
              <w:spacing w:after="0"/>
              <w:rPr>
                <w:sz w:val="18"/>
                <w:szCs w:val="18"/>
                <w:color w:val="auto"/>
              </w:rPr>
            </w:pPr>
          </w:p>
        </w:tc>
        <w:tc>
          <w:tcPr>
            <w:tcW w:w="220" w:type="dxa"/>
            <w:vAlign w:val="bottom"/>
            <w:tcBorders>
              <w:bottom w:val="single" w:sz="8" w:color="F0FFFF"/>
            </w:tcBorders>
            <w:shd w:val="clear" w:color="auto" w:fill="F0FFFF"/>
          </w:tcPr>
          <w:p>
            <w:pPr>
              <w:spacing w:after="0"/>
              <w:rPr>
                <w:sz w:val="18"/>
                <w:szCs w:val="18"/>
                <w:color w:val="auto"/>
              </w:rPr>
            </w:pPr>
          </w:p>
        </w:tc>
        <w:tc>
          <w:tcPr>
            <w:tcW w:w="220" w:type="dxa"/>
            <w:vAlign w:val="bottom"/>
            <w:tcBorders>
              <w:bottom w:val="single" w:sz="8" w:color="F0FFFF"/>
            </w:tcBorders>
            <w:shd w:val="clear" w:color="auto" w:fill="F0FFFF"/>
          </w:tcPr>
          <w:p>
            <w:pPr>
              <w:spacing w:after="0"/>
              <w:rPr>
                <w:sz w:val="18"/>
                <w:szCs w:val="18"/>
                <w:color w:val="auto"/>
              </w:rPr>
            </w:pPr>
          </w:p>
        </w:tc>
        <w:tc>
          <w:tcPr>
            <w:tcW w:w="900" w:type="dxa"/>
            <w:vAlign w:val="bottom"/>
            <w:tcBorders>
              <w:bottom w:val="single" w:sz="8" w:color="F0FFFF"/>
            </w:tcBorders>
            <w:shd w:val="clear" w:color="auto" w:fill="F0FFFF"/>
          </w:tcPr>
          <w:p>
            <w:pPr>
              <w:spacing w:after="0"/>
              <w:rPr>
                <w:sz w:val="18"/>
                <w:szCs w:val="18"/>
                <w:color w:val="auto"/>
              </w:rPr>
            </w:pPr>
          </w:p>
        </w:tc>
        <w:tc>
          <w:tcPr>
            <w:tcW w:w="100" w:type="dxa"/>
            <w:vAlign w:val="bottom"/>
            <w:tcBorders>
              <w:bottom w:val="single" w:sz="8" w:color="F0FFFF"/>
            </w:tcBorders>
            <w:shd w:val="clear" w:color="auto" w:fill="F0FFFF"/>
          </w:tcPr>
          <w:p>
            <w:pPr>
              <w:spacing w:after="0"/>
              <w:rPr>
                <w:sz w:val="18"/>
                <w:szCs w:val="18"/>
                <w:color w:val="auto"/>
              </w:rPr>
            </w:pPr>
          </w:p>
        </w:tc>
      </w:t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Assets: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580" w:type="dxa"/>
            <w:vAlign w:val="bottom"/>
            <w:shd w:val="clear" w:color="auto" w:fill="F0FFFF"/>
          </w:tcPr>
          <w:p>
            <w:pPr>
              <w:ind w:left="180"/>
              <w:spacing w:after="0"/>
              <w:rPr>
                <w:sz w:val="20"/>
                <w:szCs w:val="20"/>
                <w:color w:val="auto"/>
              </w:rPr>
            </w:pPr>
            <w:r>
              <w:rPr>
                <w:rFonts w:ascii="Arial" w:cs="Arial" w:eastAsia="Arial" w:hAnsi="Arial"/>
                <w:sz w:val="17"/>
                <w:szCs w:val="17"/>
                <w:color w:val="auto"/>
              </w:rPr>
              <w:t>Securities held to maturity</w:t>
            </w: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415,267</w:t>
            </w: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00" w:type="dxa"/>
            <w:vAlign w:val="bottom"/>
            <w:shd w:val="clear" w:color="auto" w:fill="F0FFFF"/>
          </w:tcPr>
          <w:p>
            <w:pPr>
              <w:ind w:left="14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425,233</w:t>
            </w:r>
          </w:p>
        </w:tc>
        <w:tc>
          <w:tcPr>
            <w:tcW w:w="20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425,233</w:t>
            </w:r>
          </w:p>
        </w:tc>
      </w:tr>
      <w:tr>
        <w:trPr>
          <w:trHeight w:val="205"/>
        </w:trPr>
        <w:tc>
          <w:tcPr>
            <w:tcW w:w="4580" w:type="dxa"/>
            <w:vAlign w:val="bottom"/>
          </w:tcPr>
          <w:p>
            <w:pPr>
              <w:ind w:left="180"/>
              <w:spacing w:after="0"/>
              <w:rPr>
                <w:sz w:val="20"/>
                <w:szCs w:val="20"/>
                <w:color w:val="auto"/>
              </w:rPr>
            </w:pPr>
            <w:r>
              <w:rPr>
                <w:rFonts w:ascii="Arial" w:cs="Arial" w:eastAsia="Arial" w:hAnsi="Arial"/>
                <w:sz w:val="17"/>
                <w:szCs w:val="17"/>
                <w:color w:val="auto"/>
              </w:rPr>
              <w:t>Loans, net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4,600,500</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ind w:lef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4,549,027</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4,549,027</w:t>
            </w:r>
          </w:p>
        </w:tc>
        <w:tc>
          <w:tcPr>
            <w:tcW w:w="100" w:type="dxa"/>
            <w:vAlign w:val="bottom"/>
          </w:tcPr>
          <w:p>
            <w:pPr>
              <w:spacing w:after="0"/>
              <w:rPr>
                <w:sz w:val="17"/>
                <w:szCs w:val="17"/>
                <w:color w:val="auto"/>
              </w:rPr>
            </w:pPr>
          </w:p>
        </w:tc>
      </w:tr>
      <w:tr>
        <w:trPr>
          <w:trHeight w:val="205"/>
        </w:trPr>
        <w:tc>
          <w:tcPr>
            <w:tcW w:w="4580" w:type="dxa"/>
            <w:vAlign w:val="bottom"/>
            <w:shd w:val="clear" w:color="auto" w:fill="F0FFFF"/>
          </w:tcPr>
          <w:p>
            <w:pPr>
              <w:ind w:left="180"/>
              <w:spacing w:after="0"/>
              <w:rPr>
                <w:sz w:val="20"/>
                <w:szCs w:val="20"/>
                <w:color w:val="auto"/>
              </w:rPr>
            </w:pPr>
            <w:r>
              <w:rPr>
                <w:rFonts w:ascii="Arial" w:cs="Arial" w:eastAsia="Arial" w:hAnsi="Arial"/>
                <w:sz w:val="17"/>
                <w:szCs w:val="17"/>
                <w:color w:val="auto"/>
              </w:rPr>
              <w:t>Mortgage loans held for sale</w:t>
            </w: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2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13,737</w:t>
            </w:r>
          </w:p>
        </w:tc>
        <w:tc>
          <w:tcPr>
            <w:tcW w:w="960" w:type="dxa"/>
            <w:vAlign w:val="bottom"/>
            <w:shd w:val="clear" w:color="auto" w:fill="F0FFFF"/>
          </w:tcPr>
          <w:p>
            <w:pPr>
              <w:spacing w:after="0"/>
              <w:rPr>
                <w:sz w:val="17"/>
                <w:szCs w:val="17"/>
                <w:color w:val="auto"/>
              </w:rPr>
            </w:pPr>
          </w:p>
        </w:tc>
        <w:tc>
          <w:tcPr>
            <w:tcW w:w="200" w:type="dxa"/>
            <w:vAlign w:val="bottom"/>
            <w:shd w:val="clear" w:color="auto" w:fill="F0FFFF"/>
          </w:tcPr>
          <w:p>
            <w:pPr>
              <w:ind w:left="14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14,139</w:t>
            </w:r>
          </w:p>
        </w:tc>
        <w:tc>
          <w:tcPr>
            <w:tcW w:w="20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14,139</w:t>
            </w:r>
          </w:p>
        </w:tc>
      </w:tr>
      <w:tr>
        <w:trPr>
          <w:trHeight w:val="20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580" w:type="dxa"/>
            <w:vAlign w:val="bottom"/>
            <w:shd w:val="clear" w:color="auto" w:fill="F0FFFF"/>
          </w:tcPr>
          <w:p>
            <w:pPr>
              <w:spacing w:after="0"/>
              <w:rPr>
                <w:sz w:val="20"/>
                <w:szCs w:val="20"/>
                <w:color w:val="auto"/>
              </w:rPr>
            </w:pPr>
            <w:r>
              <w:rPr>
                <w:rFonts w:ascii="Arial" w:cs="Arial" w:eastAsia="Arial" w:hAnsi="Arial"/>
                <w:sz w:val="17"/>
                <w:szCs w:val="17"/>
                <w:color w:val="auto"/>
              </w:rPr>
              <w:t>Liabilities:</w:t>
            </w: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4580" w:type="dxa"/>
            <w:vAlign w:val="bottom"/>
          </w:tcPr>
          <w:p>
            <w:pPr>
              <w:ind w:left="180"/>
              <w:spacing w:after="0"/>
              <w:rPr>
                <w:sz w:val="20"/>
                <w:szCs w:val="20"/>
                <w:color w:val="auto"/>
              </w:rPr>
            </w:pPr>
            <w:r>
              <w:rPr>
                <w:rFonts w:ascii="Arial" w:cs="Arial" w:eastAsia="Arial" w:hAnsi="Arial"/>
                <w:sz w:val="17"/>
                <w:szCs w:val="17"/>
                <w:color w:val="auto"/>
              </w:rPr>
              <w:t>Deposits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6,326,513</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ind w:lef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6,328,264</w:t>
            </w: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6,328,264</w:t>
            </w:r>
          </w:p>
        </w:tc>
        <w:tc>
          <w:tcPr>
            <w:tcW w:w="100" w:type="dxa"/>
            <w:vAlign w:val="bottom"/>
          </w:tcPr>
          <w:p>
            <w:pPr>
              <w:spacing w:after="0"/>
              <w:rPr>
                <w:sz w:val="17"/>
                <w:szCs w:val="17"/>
                <w:color w:val="auto"/>
              </w:rPr>
            </w:pPr>
          </w:p>
        </w:tc>
      </w:tr>
      <w:tr>
        <w:trPr>
          <w:trHeight w:val="205"/>
        </w:trPr>
        <w:tc>
          <w:tcPr>
            <w:tcW w:w="4580" w:type="dxa"/>
            <w:vAlign w:val="bottom"/>
            <w:shd w:val="clear" w:color="auto" w:fill="F0FFFF"/>
          </w:tcPr>
          <w:p>
            <w:pPr>
              <w:ind w:left="180"/>
              <w:spacing w:after="0"/>
              <w:rPr>
                <w:sz w:val="20"/>
                <w:szCs w:val="20"/>
                <w:color w:val="auto"/>
              </w:rPr>
            </w:pPr>
            <w:r>
              <w:rPr>
                <w:rFonts w:ascii="Arial" w:cs="Arial" w:eastAsia="Arial" w:hAnsi="Arial"/>
                <w:sz w:val="17"/>
                <w:szCs w:val="17"/>
                <w:color w:val="auto"/>
              </w:rPr>
              <w:t>Federal Home Loan Bank advances</w:t>
            </w: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270,125</w:t>
            </w: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00" w:type="dxa"/>
            <w:vAlign w:val="bottom"/>
            <w:shd w:val="clear" w:color="auto" w:fill="F0FFFF"/>
          </w:tcPr>
          <w:p>
            <w:pPr>
              <w:ind w:left="14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270,125</w:t>
            </w:r>
          </w:p>
        </w:tc>
        <w:tc>
          <w:tcPr>
            <w:tcW w:w="20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270,125</w:t>
            </w:r>
          </w:p>
        </w:tc>
      </w:tr>
      <w:tr>
        <w:trPr>
          <w:trHeight w:val="205"/>
        </w:trPr>
        <w:tc>
          <w:tcPr>
            <w:tcW w:w="4580" w:type="dxa"/>
            <w:vAlign w:val="bottom"/>
          </w:tcPr>
          <w:p>
            <w:pPr>
              <w:ind w:left="180"/>
              <w:spacing w:after="0"/>
              <w:rPr>
                <w:sz w:val="20"/>
                <w:szCs w:val="20"/>
                <w:color w:val="auto"/>
              </w:rPr>
            </w:pPr>
            <w:r>
              <w:rPr>
                <w:rFonts w:ascii="Arial" w:cs="Arial" w:eastAsia="Arial" w:hAnsi="Arial"/>
                <w:sz w:val="17"/>
                <w:szCs w:val="17"/>
                <w:color w:val="auto"/>
              </w:rPr>
              <w:t>Long-term debt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129,865</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ind w:lef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132,814</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132,814</w:t>
            </w:r>
          </w:p>
        </w:tc>
      </w:tr>
      <w:tr>
        <w:trPr>
          <w:trHeight w:val="205"/>
        </w:trPr>
        <w:tc>
          <w:tcPr>
            <w:tcW w:w="45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11"/>
        </w:trPr>
        <w:tc>
          <w:tcPr>
            <w:tcW w:w="45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March 31, 2014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4580" w:type="dxa"/>
            <w:vAlign w:val="bottom"/>
            <w:shd w:val="clear" w:color="auto" w:fill="F0FFFF"/>
          </w:tcPr>
          <w:p>
            <w:pPr>
              <w:spacing w:after="0"/>
              <w:rPr>
                <w:sz w:val="20"/>
                <w:szCs w:val="20"/>
                <w:color w:val="auto"/>
              </w:rPr>
            </w:pPr>
            <w:r>
              <w:rPr>
                <w:rFonts w:ascii="Arial" w:cs="Arial" w:eastAsia="Arial" w:hAnsi="Arial"/>
                <w:sz w:val="17"/>
                <w:szCs w:val="17"/>
                <w:color w:val="auto"/>
              </w:rPr>
              <w:t>Assets:</w:t>
            </w: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4580" w:type="dxa"/>
            <w:vAlign w:val="bottom"/>
          </w:tcPr>
          <w:p>
            <w:pPr>
              <w:ind w:left="180"/>
              <w:spacing w:after="0"/>
              <w:rPr>
                <w:sz w:val="20"/>
                <w:szCs w:val="20"/>
                <w:color w:val="auto"/>
              </w:rPr>
            </w:pPr>
            <w:r>
              <w:rPr>
                <w:rFonts w:ascii="Arial" w:cs="Arial" w:eastAsia="Arial" w:hAnsi="Arial"/>
                <w:sz w:val="17"/>
                <w:szCs w:val="17"/>
                <w:color w:val="auto"/>
              </w:rPr>
              <w:t>Securities held to maturity</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464,697</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ind w:lef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473,136</w:t>
            </w: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473,136</w:t>
            </w:r>
          </w:p>
        </w:tc>
      </w:tr>
      <w:tr>
        <w:trPr>
          <w:trHeight w:val="205"/>
        </w:trPr>
        <w:tc>
          <w:tcPr>
            <w:tcW w:w="4580" w:type="dxa"/>
            <w:vAlign w:val="bottom"/>
            <w:shd w:val="clear" w:color="auto" w:fill="F0FFFF"/>
          </w:tcPr>
          <w:p>
            <w:pPr>
              <w:ind w:left="180"/>
              <w:spacing w:after="0"/>
              <w:rPr>
                <w:sz w:val="20"/>
                <w:szCs w:val="20"/>
                <w:color w:val="auto"/>
              </w:rPr>
            </w:pPr>
            <w:r>
              <w:rPr>
                <w:rFonts w:ascii="Arial" w:cs="Arial" w:eastAsia="Arial" w:hAnsi="Arial"/>
                <w:sz w:val="17"/>
                <w:szCs w:val="17"/>
                <w:color w:val="auto"/>
              </w:rPr>
              <w:t>Loans, net</w:t>
            </w: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4,280,485</w:t>
            </w: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00" w:type="dxa"/>
            <w:vAlign w:val="bottom"/>
            <w:shd w:val="clear" w:color="auto" w:fill="F0FFFF"/>
          </w:tcPr>
          <w:p>
            <w:pPr>
              <w:ind w:left="14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4,201,255</w:t>
            </w: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4,201,255</w:t>
            </w:r>
          </w:p>
        </w:tc>
        <w:tc>
          <w:tcPr>
            <w:tcW w:w="100" w:type="dxa"/>
            <w:vAlign w:val="bottom"/>
            <w:shd w:val="clear" w:color="auto" w:fill="F0FFFF"/>
          </w:tcPr>
          <w:p>
            <w:pPr>
              <w:spacing w:after="0"/>
              <w:rPr>
                <w:sz w:val="17"/>
                <w:szCs w:val="17"/>
                <w:color w:val="auto"/>
              </w:rPr>
            </w:pPr>
          </w:p>
        </w:tc>
      </w:tr>
      <w:tr>
        <w:trPr>
          <w:trHeight w:val="205"/>
        </w:trPr>
        <w:tc>
          <w:tcPr>
            <w:tcW w:w="4580" w:type="dxa"/>
            <w:vAlign w:val="bottom"/>
          </w:tcPr>
          <w:p>
            <w:pPr>
              <w:ind w:left="180"/>
              <w:spacing w:after="0"/>
              <w:rPr>
                <w:sz w:val="20"/>
                <w:szCs w:val="20"/>
                <w:color w:val="auto"/>
              </w:rPr>
            </w:pPr>
            <w:r>
              <w:rPr>
                <w:rFonts w:ascii="Arial" w:cs="Arial" w:eastAsia="Arial" w:hAnsi="Arial"/>
                <w:sz w:val="17"/>
                <w:szCs w:val="17"/>
                <w:color w:val="auto"/>
              </w:rPr>
              <w:t>Mortgage loans held for sale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10,933</w:t>
            </w:r>
          </w:p>
        </w:tc>
        <w:tc>
          <w:tcPr>
            <w:tcW w:w="960" w:type="dxa"/>
            <w:vAlign w:val="bottom"/>
          </w:tcPr>
          <w:p>
            <w:pPr>
              <w:spacing w:after="0"/>
              <w:rPr>
                <w:sz w:val="17"/>
                <w:szCs w:val="17"/>
                <w:color w:val="auto"/>
              </w:rPr>
            </w:pPr>
          </w:p>
        </w:tc>
        <w:tc>
          <w:tcPr>
            <w:tcW w:w="200" w:type="dxa"/>
            <w:vAlign w:val="bottom"/>
          </w:tcPr>
          <w:p>
            <w:pPr>
              <w:ind w:lef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11,121</w:t>
            </w: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11,121</w:t>
            </w:r>
          </w:p>
        </w:tc>
      </w:tr>
      <w:tr>
        <w:trPr>
          <w:trHeight w:val="205"/>
        </w:trPr>
        <w:tc>
          <w:tcPr>
            <w:tcW w:w="45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Liabilities: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580" w:type="dxa"/>
            <w:vAlign w:val="bottom"/>
            <w:shd w:val="clear" w:color="auto" w:fill="F0FFFF"/>
          </w:tcPr>
          <w:p>
            <w:pPr>
              <w:ind w:left="180"/>
              <w:spacing w:after="0"/>
              <w:rPr>
                <w:sz w:val="20"/>
                <w:szCs w:val="20"/>
                <w:color w:val="auto"/>
              </w:rPr>
            </w:pPr>
            <w:r>
              <w:rPr>
                <w:rFonts w:ascii="Arial" w:cs="Arial" w:eastAsia="Arial" w:hAnsi="Arial"/>
                <w:sz w:val="17"/>
                <w:szCs w:val="17"/>
                <w:color w:val="auto"/>
              </w:rPr>
              <w:t>Deposits</w:t>
            </w: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6,247,541</w:t>
            </w: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00" w:type="dxa"/>
            <w:vAlign w:val="bottom"/>
            <w:shd w:val="clear" w:color="auto" w:fill="F0FFFF"/>
          </w:tcPr>
          <w:p>
            <w:pPr>
              <w:ind w:left="14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6,238,927</w:t>
            </w:r>
          </w:p>
        </w:tc>
        <w:tc>
          <w:tcPr>
            <w:tcW w:w="20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6,238,927</w:t>
            </w:r>
          </w:p>
        </w:tc>
        <w:tc>
          <w:tcPr>
            <w:tcW w:w="100" w:type="dxa"/>
            <w:vAlign w:val="bottom"/>
            <w:shd w:val="clear" w:color="auto" w:fill="F0FFFF"/>
          </w:tcPr>
          <w:p>
            <w:pPr>
              <w:spacing w:after="0"/>
              <w:rPr>
                <w:sz w:val="17"/>
                <w:szCs w:val="17"/>
                <w:color w:val="auto"/>
              </w:rPr>
            </w:pPr>
          </w:p>
        </w:tc>
      </w:tr>
      <w:tr>
        <w:trPr>
          <w:trHeight w:val="205"/>
        </w:trPr>
        <w:tc>
          <w:tcPr>
            <w:tcW w:w="4580" w:type="dxa"/>
            <w:vAlign w:val="bottom"/>
          </w:tcPr>
          <w:p>
            <w:pPr>
              <w:ind w:left="180"/>
              <w:spacing w:after="0"/>
              <w:rPr>
                <w:sz w:val="20"/>
                <w:szCs w:val="20"/>
                <w:color w:val="auto"/>
              </w:rPr>
            </w:pPr>
            <w:r>
              <w:rPr>
                <w:rFonts w:ascii="Arial" w:cs="Arial" w:eastAsia="Arial" w:hAnsi="Arial"/>
                <w:sz w:val="17"/>
                <w:szCs w:val="17"/>
                <w:color w:val="auto"/>
              </w:rPr>
              <w:t>Federal Home Loan Bank advances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50,125</w:t>
            </w:r>
          </w:p>
        </w:tc>
        <w:tc>
          <w:tcPr>
            <w:tcW w:w="960" w:type="dxa"/>
            <w:vAlign w:val="bottom"/>
          </w:tcPr>
          <w:p>
            <w:pPr>
              <w:spacing w:after="0"/>
              <w:rPr>
                <w:sz w:val="17"/>
                <w:szCs w:val="17"/>
                <w:color w:val="auto"/>
              </w:rPr>
            </w:pPr>
          </w:p>
        </w:tc>
        <w:tc>
          <w:tcPr>
            <w:tcW w:w="200" w:type="dxa"/>
            <w:vAlign w:val="bottom"/>
          </w:tcPr>
          <w:p>
            <w:pPr>
              <w:ind w:lef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50,125</w:t>
            </w: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50,125</w:t>
            </w:r>
          </w:p>
        </w:tc>
      </w:tr>
      <w:tr>
        <w:trPr>
          <w:trHeight w:val="205"/>
        </w:trPr>
        <w:tc>
          <w:tcPr>
            <w:tcW w:w="4580" w:type="dxa"/>
            <w:vAlign w:val="bottom"/>
            <w:shd w:val="clear" w:color="auto" w:fill="F0FFFF"/>
          </w:tcPr>
          <w:p>
            <w:pPr>
              <w:ind w:left="180"/>
              <w:spacing w:after="0"/>
              <w:rPr>
                <w:sz w:val="20"/>
                <w:szCs w:val="20"/>
                <w:color w:val="auto"/>
              </w:rPr>
            </w:pPr>
            <w:r>
              <w:rPr>
                <w:rFonts w:ascii="Arial" w:cs="Arial" w:eastAsia="Arial" w:hAnsi="Arial"/>
                <w:sz w:val="17"/>
                <w:szCs w:val="17"/>
                <w:color w:val="auto"/>
              </w:rPr>
              <w:t>Long-term debt</w:t>
            </w: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129,865</w:t>
            </w: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00" w:type="dxa"/>
            <w:vAlign w:val="bottom"/>
            <w:shd w:val="clear" w:color="auto" w:fill="F0FFFF"/>
          </w:tcPr>
          <w:p>
            <w:pPr>
              <w:ind w:left="14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130,636</w:t>
            </w: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130,636</w:t>
            </w:r>
          </w:p>
        </w:tc>
      </w:tr>
      <w:tr>
        <w:trPr>
          <w:trHeight w:val="640"/>
        </w:trPr>
        <w:tc>
          <w:tcPr>
            <w:tcW w:w="45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jc w:val="right"/>
              <w:spacing w:after="0"/>
              <w:rPr>
                <w:sz w:val="20"/>
                <w:szCs w:val="20"/>
                <w:color w:val="auto"/>
              </w:rPr>
            </w:pPr>
            <w:r>
              <w:rPr>
                <w:rFonts w:ascii="Arial" w:cs="Arial" w:eastAsia="Arial" w:hAnsi="Arial"/>
                <w:sz w:val="17"/>
                <w:szCs w:val="17"/>
                <w:color w:val="auto"/>
              </w:rPr>
              <w:t>34</w:t>
            </w:r>
          </w:p>
        </w:tc>
        <w:tc>
          <w:tcPr>
            <w:tcW w:w="24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79"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7"/>
          <w:szCs w:val="17"/>
          <w:b w:val="1"/>
          <w:bCs w:val="1"/>
          <w:color w:val="auto"/>
        </w:rPr>
        <w:t>UNITED COMMUNITY BANKS,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 Commitments and Contingencies</w:t>
      </w:r>
    </w:p>
    <w:p>
      <w:pPr>
        <w:spacing w:after="0" w:line="244"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United is party to financial instruments with off-balance sheet risk in the normal course of business to meet the financing needs of its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United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The following table summarizes, as of March 31, 2015, December 31, 2014 and March 31, 2014, the contractual amount of off-balance sheet instruments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thousands)</w:t>
      </w:r>
      <w:r>
        <w:rPr>
          <w:rFonts w:ascii="Arial" w:cs="Arial" w:eastAsia="Arial" w:hAnsi="Arial"/>
          <w:sz w:val="17"/>
          <w:szCs w:val="17"/>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5"/>
              </w:rPr>
              <w:t>March 31, 2015</w:t>
            </w:r>
          </w:p>
        </w:tc>
        <w:tc>
          <w:tcPr>
            <w:tcW w:w="120" w:type="dxa"/>
            <w:vAlign w:val="bottom"/>
          </w:tcPr>
          <w:p>
            <w:pPr>
              <w:spacing w:after="0"/>
              <w:rPr>
                <w:sz w:val="19"/>
                <w:szCs w:val="19"/>
                <w:color w:val="auto"/>
              </w:rPr>
            </w:pPr>
          </w:p>
        </w:tc>
        <w:tc>
          <w:tcPr>
            <w:tcW w:w="1700" w:type="dxa"/>
            <w:vAlign w:val="bottom"/>
            <w:gridSpan w:val="3"/>
          </w:tcPr>
          <w:p>
            <w:pPr>
              <w:ind w:left="40"/>
              <w:spacing w:after="0"/>
              <w:rPr>
                <w:sz w:val="20"/>
                <w:szCs w:val="20"/>
                <w:color w:val="auto"/>
              </w:rPr>
            </w:pPr>
            <w:r>
              <w:rPr>
                <w:rFonts w:ascii="Arial" w:cs="Arial" w:eastAsia="Arial" w:hAnsi="Arial"/>
                <w:sz w:val="17"/>
                <w:szCs w:val="17"/>
                <w:b w:val="1"/>
                <w:bCs w:val="1"/>
                <w:color w:val="auto"/>
              </w:rPr>
              <w:t>December 31, 2014</w:t>
            </w:r>
          </w:p>
        </w:tc>
        <w:tc>
          <w:tcPr>
            <w:tcW w:w="1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95"/>
              </w:rPr>
              <w:t>March 31, 2014</w:t>
            </w:r>
          </w:p>
        </w:tc>
      </w:tr>
      <w:tr>
        <w:trPr>
          <w:trHeight w:val="205"/>
        </w:trPr>
        <w:tc>
          <w:tcPr>
            <w:tcW w:w="6420" w:type="dxa"/>
            <w:vAlign w:val="bottom"/>
            <w:shd w:val="clear" w:color="auto" w:fill="F0FFFF"/>
          </w:tcPr>
          <w:p>
            <w:pPr>
              <w:spacing w:after="0"/>
              <w:rPr>
                <w:sz w:val="20"/>
                <w:szCs w:val="20"/>
                <w:color w:val="auto"/>
              </w:rPr>
            </w:pPr>
            <w:r>
              <w:rPr>
                <w:rFonts w:ascii="Arial" w:cs="Arial" w:eastAsia="Arial" w:hAnsi="Arial"/>
                <w:sz w:val="17"/>
                <w:szCs w:val="17"/>
                <w:color w:val="auto"/>
              </w:rPr>
              <w:t>Financial instruments whose contract amounts represent credit risk:</w:t>
            </w:r>
          </w:p>
        </w:tc>
        <w:tc>
          <w:tcPr>
            <w:tcW w:w="120" w:type="dxa"/>
            <w:vAlign w:val="bottom"/>
            <w:tcBorders>
              <w:top w:val="single" w:sz="8" w:color="auto"/>
            </w:tcBorders>
            <w:shd w:val="clear" w:color="auto" w:fill="F0FFFF"/>
          </w:tcPr>
          <w:p>
            <w:pPr>
              <w:spacing w:after="0"/>
              <w:rPr>
                <w:sz w:val="17"/>
                <w:szCs w:val="17"/>
                <w:color w:val="auto"/>
              </w:rPr>
            </w:pPr>
          </w:p>
        </w:tc>
        <w:tc>
          <w:tcPr>
            <w:tcW w:w="1360" w:type="dxa"/>
            <w:vAlign w:val="bottom"/>
            <w:tcBorders>
              <w:top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500" w:type="dxa"/>
            <w:vAlign w:val="bottom"/>
            <w:tcBorders>
              <w:top w:val="single" w:sz="8" w:color="auto"/>
            </w:tcBorders>
            <w:shd w:val="clear" w:color="auto" w:fill="F0FFFF"/>
          </w:tcPr>
          <w:p>
            <w:pPr>
              <w:spacing w:after="0"/>
              <w:rPr>
                <w:sz w:val="17"/>
                <w:szCs w:val="17"/>
                <w:color w:val="auto"/>
              </w:rPr>
            </w:pPr>
          </w:p>
        </w:tc>
        <w:tc>
          <w:tcPr>
            <w:tcW w:w="98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134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05"/>
        </w:trPr>
        <w:tc>
          <w:tcPr>
            <w:tcW w:w="6420" w:type="dxa"/>
            <w:vAlign w:val="bottom"/>
          </w:tcPr>
          <w:p>
            <w:pPr>
              <w:ind w:left="140"/>
              <w:spacing w:after="0"/>
              <w:rPr>
                <w:sz w:val="20"/>
                <w:szCs w:val="20"/>
                <w:color w:val="auto"/>
              </w:rPr>
            </w:pPr>
            <w:r>
              <w:rPr>
                <w:rFonts w:ascii="Arial" w:cs="Arial" w:eastAsia="Arial" w:hAnsi="Arial"/>
                <w:sz w:val="17"/>
                <w:szCs w:val="17"/>
                <w:color w:val="auto"/>
              </w:rPr>
              <w:t>Commitments to extend credit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972,819</w:t>
            </w:r>
          </w:p>
        </w:tc>
        <w:tc>
          <w:tcPr>
            <w:tcW w:w="620" w:type="dxa"/>
            <w:vAlign w:val="bottom"/>
            <w:gridSpan w:val="2"/>
          </w:tcPr>
          <w:p>
            <w:pPr>
              <w:jc w:val="right"/>
              <w:ind w:right="335"/>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878,160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jc w:val="right"/>
              <w:ind w:right="100"/>
              <w:spacing w:after="0"/>
              <w:rPr>
                <w:sz w:val="20"/>
                <w:szCs w:val="20"/>
                <w:color w:val="auto"/>
              </w:rPr>
            </w:pPr>
            <w:r>
              <w:rPr>
                <w:rFonts w:ascii="Arial" w:cs="Arial" w:eastAsia="Arial" w:hAnsi="Arial"/>
                <w:sz w:val="17"/>
                <w:szCs w:val="17"/>
                <w:color w:val="auto"/>
              </w:rPr>
              <w:t>720,891</w:t>
            </w:r>
          </w:p>
        </w:tc>
      </w:tr>
      <w:tr>
        <w:trPr>
          <w:trHeight w:val="205"/>
        </w:trPr>
        <w:tc>
          <w:tcPr>
            <w:tcW w:w="6420" w:type="dxa"/>
            <w:vAlign w:val="bottom"/>
            <w:shd w:val="clear" w:color="auto" w:fill="F0FFFF"/>
          </w:tcPr>
          <w:p>
            <w:pPr>
              <w:ind w:left="140"/>
              <w:spacing w:after="0"/>
              <w:rPr>
                <w:sz w:val="20"/>
                <w:szCs w:val="20"/>
                <w:color w:val="auto"/>
              </w:rPr>
            </w:pPr>
            <w:r>
              <w:rPr>
                <w:rFonts w:ascii="Arial" w:cs="Arial" w:eastAsia="Arial" w:hAnsi="Arial"/>
                <w:sz w:val="17"/>
                <w:szCs w:val="17"/>
                <w:color w:val="auto"/>
              </w:rPr>
              <w:t>Letters of credit</w:t>
            </w:r>
          </w:p>
        </w:tc>
        <w:tc>
          <w:tcPr>
            <w:tcW w:w="120" w:type="dxa"/>
            <w:vAlign w:val="bottom"/>
            <w:shd w:val="clear" w:color="auto" w:fill="F0FFFF"/>
          </w:tcPr>
          <w:p>
            <w:pPr>
              <w:spacing w:after="0"/>
              <w:rPr>
                <w:sz w:val="17"/>
                <w:szCs w:val="17"/>
                <w:color w:val="auto"/>
              </w:rPr>
            </w:pPr>
          </w:p>
        </w:tc>
        <w:tc>
          <w:tcPr>
            <w:tcW w:w="148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24,310</w:t>
            </w:r>
          </w:p>
        </w:tc>
        <w:tc>
          <w:tcPr>
            <w:tcW w:w="120" w:type="dxa"/>
            <w:vAlign w:val="bottom"/>
            <w:shd w:val="clear" w:color="auto" w:fill="F0FFFF"/>
          </w:tcPr>
          <w:p>
            <w:pPr>
              <w:spacing w:after="0"/>
              <w:rPr>
                <w:sz w:val="17"/>
                <w:szCs w:val="17"/>
                <w:color w:val="auto"/>
              </w:rPr>
            </w:pPr>
          </w:p>
        </w:tc>
        <w:tc>
          <w:tcPr>
            <w:tcW w:w="50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19,861</w:t>
            </w:r>
          </w:p>
        </w:tc>
        <w:tc>
          <w:tcPr>
            <w:tcW w:w="140" w:type="dxa"/>
            <w:vAlign w:val="bottom"/>
            <w:shd w:val="clear" w:color="auto" w:fill="F0FFFF"/>
          </w:tcPr>
          <w:p>
            <w:pPr>
              <w:spacing w:after="0"/>
              <w:rPr>
                <w:sz w:val="17"/>
                <w:szCs w:val="17"/>
                <w:color w:val="auto"/>
              </w:rPr>
            </w:pPr>
          </w:p>
        </w:tc>
        <w:tc>
          <w:tcPr>
            <w:tcW w:w="144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19,960</w:t>
            </w:r>
          </w:p>
        </w:tc>
      </w:tr>
    </w:tbl>
    <w:p>
      <w:pPr>
        <w:spacing w:after="0" w:line="21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 Subsequent Events</w:t>
      </w:r>
    </w:p>
    <w:p>
      <w:pPr>
        <w:spacing w:after="0" w:line="24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April 22, 2015, United announced that it had reached a definitive agreement to acquire Palmetto Bancshares, Inc. (“Palmetto”) and its wholly owned bank subsidiary The Palmetto Bank. The Palmetto Bank is the third largest banking institution headquartered in South Carolina with total assets of $1.2 billion, loans of $832 million and deposits of $967 million. It is a 108-year old community bank that serves Upstate South Carolina through 25 branch locations in nine counties along the Interstate 85 corridor. The Palmetto Bank will merge into and operate under the brand of United Community Bank.</w:t>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Under the terms of the agreement, which has been unanimously approved by the Boards of Directors of both companies, Palmetto shareholders will have the right to receive $19.25 in cash or 0.97 shares of United common stock, or any combination thereof, for each share of Palmetto common stock. The cash and stock elections are subject to proration to ensure that 30% of the outstanding shares of Palmetto common stock will be exchanged for cash and 70% of the outstanding shares of Palmetto common stock will be exchanged for shares of United common stock in the merger. Based on United’s ten-day average closing price of $18.78 per share as of April 21, 2015 the aggregate deal value is approximately $240.5 million.</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merger, which is subject to regulatory approval, the approval of the shareholders of Palmetto, and other customary conditions, is expected to close in the fourth quarter of 2015.</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On May 1, 2015, United completed its previously announced acquisition of MoneyTree Corporation and its wholly owned bank subsidiary, First National Bank.</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36" w:name="page37"/>
    <w:bookmarkEnd w:id="36"/>
    <w:p>
      <w:pPr>
        <w:spacing w:after="0"/>
        <w:tabs>
          <w:tab w:leader="none" w:pos="10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4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This Form 10-Q contains forward-looking statements within the meaning of Section 27A of the Securities Act of 1933, as amended, and Section 21E of the Securities Exchange Act of 1934, as amended,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or events, and statements about the future performance, operations, products and services of United and its subsidiaries. We caution our shareholders and other readers not to place undue reliance on such statements.</w:t>
      </w:r>
    </w:p>
    <w:p>
      <w:pPr>
        <w:spacing w:after="0" w:line="19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businesses and operations are and will be subject to a variety of risks, uncertainties and other factors. Consequently, actual results and experiences may differ materially from those contained in any forward-looking statements. Such risks, uncertainties and other factors that could cause actual results and experiences to differ from those projected include, but are not limited to, the risk factors set forth in our Annual Report on Form 10-K for the year ended December 31, 2014 as well as the following factors:</w:t>
      </w:r>
    </w:p>
    <w:p>
      <w:pPr>
        <w:spacing w:after="0" w:line="204" w:lineRule="exact"/>
        <w:rPr>
          <w:sz w:val="20"/>
          <w:szCs w:val="20"/>
          <w:color w:val="auto"/>
        </w:rPr>
      </w:pPr>
    </w:p>
    <w:p>
      <w:pPr>
        <w:ind w:left="320" w:hanging="31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condition of the general business and economic environment;</w:t>
      </w:r>
    </w:p>
    <w:p>
      <w:pPr>
        <w:spacing w:after="0" w:line="20" w:lineRule="exact"/>
        <w:rPr>
          <w:rFonts w:ascii="Arial" w:cs="Arial" w:eastAsia="Arial" w:hAnsi="Arial"/>
          <w:sz w:val="17"/>
          <w:szCs w:val="17"/>
          <w:color w:val="auto"/>
        </w:rPr>
      </w:pPr>
    </w:p>
    <w:p>
      <w:pPr>
        <w:ind w:left="320" w:hanging="31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results of our internal credit stress tests may not accurately predict the impact on our financial condition if the economy were to deteriorate;</w:t>
      </w:r>
    </w:p>
    <w:p>
      <w:pPr>
        <w:spacing w:after="0" w:line="9" w:lineRule="exact"/>
        <w:rPr>
          <w:rFonts w:ascii="Arial" w:cs="Arial" w:eastAsia="Arial" w:hAnsi="Arial"/>
          <w:sz w:val="17"/>
          <w:szCs w:val="17"/>
          <w:color w:val="auto"/>
        </w:rPr>
      </w:pPr>
    </w:p>
    <w:p>
      <w:pPr>
        <w:ind w:left="320" w:hanging="31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maintain profitability;</w:t>
      </w:r>
    </w:p>
    <w:p>
      <w:pPr>
        <w:spacing w:after="0" w:line="9" w:lineRule="exact"/>
        <w:rPr>
          <w:rFonts w:ascii="Arial" w:cs="Arial" w:eastAsia="Arial" w:hAnsi="Arial"/>
          <w:sz w:val="17"/>
          <w:szCs w:val="17"/>
          <w:color w:val="auto"/>
        </w:rPr>
      </w:pPr>
    </w:p>
    <w:p>
      <w:pPr>
        <w:ind w:left="320" w:hanging="31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fully realize the balance of our net deferred tax asset, including net operating loss carryforwards;</w:t>
      </w:r>
    </w:p>
    <w:p>
      <w:pPr>
        <w:spacing w:after="0" w:line="9" w:lineRule="exact"/>
        <w:rPr>
          <w:rFonts w:ascii="Arial" w:cs="Arial" w:eastAsia="Arial" w:hAnsi="Arial"/>
          <w:sz w:val="17"/>
          <w:szCs w:val="17"/>
          <w:color w:val="auto"/>
        </w:rPr>
      </w:pPr>
    </w:p>
    <w:p>
      <w:pPr>
        <w:ind w:left="320" w:hanging="31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risk that we may be required to increase the valuation allowance on our net deferred tax asset in future periods;</w:t>
      </w:r>
    </w:p>
    <w:p>
      <w:pPr>
        <w:spacing w:after="0" w:line="9" w:lineRule="exact"/>
        <w:rPr>
          <w:rFonts w:ascii="Arial" w:cs="Arial" w:eastAsia="Arial" w:hAnsi="Arial"/>
          <w:sz w:val="17"/>
          <w:szCs w:val="17"/>
          <w:color w:val="auto"/>
        </w:rPr>
      </w:pPr>
    </w:p>
    <w:p>
      <w:pPr>
        <w:ind w:left="320" w:hanging="31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condition of the banking system and financial markets;</w:t>
      </w:r>
    </w:p>
    <w:p>
      <w:pPr>
        <w:spacing w:after="0" w:line="9" w:lineRule="exact"/>
        <w:rPr>
          <w:rFonts w:ascii="Arial" w:cs="Arial" w:eastAsia="Arial" w:hAnsi="Arial"/>
          <w:sz w:val="17"/>
          <w:szCs w:val="17"/>
          <w:color w:val="auto"/>
        </w:rPr>
      </w:pPr>
    </w:p>
    <w:p>
      <w:pPr>
        <w:ind w:left="320" w:hanging="31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raise capital;</w:t>
      </w:r>
    </w:p>
    <w:p>
      <w:pPr>
        <w:spacing w:after="0" w:line="9" w:lineRule="exact"/>
        <w:rPr>
          <w:rFonts w:ascii="Arial" w:cs="Arial" w:eastAsia="Arial" w:hAnsi="Arial"/>
          <w:sz w:val="17"/>
          <w:szCs w:val="17"/>
          <w:color w:val="auto"/>
        </w:rPr>
      </w:pPr>
    </w:p>
    <w:p>
      <w:pPr>
        <w:ind w:left="320" w:hanging="31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maintain liquidity or access other sources of funding;</w:t>
      </w:r>
    </w:p>
    <w:p>
      <w:pPr>
        <w:spacing w:after="0" w:line="9" w:lineRule="exact"/>
        <w:rPr>
          <w:rFonts w:ascii="Arial" w:cs="Arial" w:eastAsia="Arial" w:hAnsi="Arial"/>
          <w:sz w:val="17"/>
          <w:szCs w:val="17"/>
          <w:color w:val="auto"/>
        </w:rPr>
      </w:pPr>
    </w:p>
    <w:p>
      <w:pPr>
        <w:ind w:left="320" w:hanging="31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the cost and availability of funding;</w:t>
      </w:r>
    </w:p>
    <w:p>
      <w:pPr>
        <w:spacing w:after="0" w:line="9" w:lineRule="exact"/>
        <w:rPr>
          <w:rFonts w:ascii="Arial" w:cs="Arial" w:eastAsia="Arial" w:hAnsi="Arial"/>
          <w:sz w:val="17"/>
          <w:szCs w:val="17"/>
          <w:color w:val="auto"/>
        </w:rPr>
      </w:pPr>
    </w:p>
    <w:p>
      <w:pPr>
        <w:ind w:left="320" w:hanging="31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success of the local economies in which we operate;</w:t>
      </w:r>
    </w:p>
    <w:p>
      <w:pPr>
        <w:spacing w:after="0" w:line="9" w:lineRule="exact"/>
        <w:rPr>
          <w:rFonts w:ascii="Arial" w:cs="Arial" w:eastAsia="Arial" w:hAnsi="Arial"/>
          <w:sz w:val="17"/>
          <w:szCs w:val="17"/>
          <w:color w:val="auto"/>
        </w:rPr>
      </w:pPr>
    </w:p>
    <w:p>
      <w:pPr>
        <w:ind w:left="320" w:hanging="31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lack of geographic diversification;</w:t>
      </w:r>
    </w:p>
    <w:p>
      <w:pPr>
        <w:spacing w:after="0" w:line="9" w:lineRule="exact"/>
        <w:rPr>
          <w:rFonts w:ascii="Arial" w:cs="Arial" w:eastAsia="Arial" w:hAnsi="Arial"/>
          <w:sz w:val="17"/>
          <w:szCs w:val="17"/>
          <w:color w:val="auto"/>
        </w:rPr>
      </w:pPr>
    </w:p>
    <w:p>
      <w:pPr>
        <w:ind w:left="320" w:hanging="317"/>
        <w:spacing w:after="0" w:line="251" w:lineRule="auto"/>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concentrations of residential and commercial construction and development loans and commercial real estate loans are subject to unique risks that could adversely affect our earnings;</w:t>
      </w:r>
    </w:p>
    <w:p>
      <w:pPr>
        <w:spacing w:after="0" w:line="1" w:lineRule="exact"/>
        <w:rPr>
          <w:rFonts w:ascii="Arial" w:cs="Arial" w:eastAsia="Arial" w:hAnsi="Arial"/>
          <w:sz w:val="17"/>
          <w:szCs w:val="17"/>
          <w:color w:val="auto"/>
        </w:rPr>
      </w:pPr>
    </w:p>
    <w:p>
      <w:pPr>
        <w:ind w:left="320" w:hanging="31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prevailing interest rates may negatively affect our net income and the value of our assets and other interest rate risks;</w:t>
      </w:r>
    </w:p>
    <w:p>
      <w:pPr>
        <w:spacing w:after="0" w:line="9" w:lineRule="exact"/>
        <w:rPr>
          <w:rFonts w:ascii="Arial" w:cs="Arial" w:eastAsia="Arial" w:hAnsi="Arial"/>
          <w:sz w:val="17"/>
          <w:szCs w:val="17"/>
          <w:color w:val="auto"/>
        </w:rPr>
      </w:pPr>
    </w:p>
    <w:p>
      <w:pPr>
        <w:ind w:left="320" w:hanging="31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accounting and reporting policies;</w:t>
      </w:r>
    </w:p>
    <w:p>
      <w:pPr>
        <w:spacing w:after="0" w:line="9" w:lineRule="exact"/>
        <w:rPr>
          <w:rFonts w:ascii="Arial" w:cs="Arial" w:eastAsia="Arial" w:hAnsi="Arial"/>
          <w:sz w:val="17"/>
          <w:szCs w:val="17"/>
          <w:color w:val="auto"/>
        </w:rPr>
      </w:pPr>
    </w:p>
    <w:p>
      <w:pPr>
        <w:ind w:left="320" w:hanging="31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our allowance for loan losses is not sufficient to cover actual loan losses;</w:t>
      </w:r>
    </w:p>
    <w:p>
      <w:pPr>
        <w:spacing w:after="0" w:line="9" w:lineRule="exact"/>
        <w:rPr>
          <w:rFonts w:ascii="Arial" w:cs="Arial" w:eastAsia="Arial" w:hAnsi="Arial"/>
          <w:sz w:val="17"/>
          <w:szCs w:val="17"/>
          <w:color w:val="auto"/>
        </w:rPr>
      </w:pPr>
    </w:p>
    <w:p>
      <w:pPr>
        <w:ind w:left="320" w:hanging="31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losses due to fraudulent and negligent conduct of our loan customers, third party service providers or employees;</w:t>
      </w:r>
    </w:p>
    <w:p>
      <w:pPr>
        <w:spacing w:after="0" w:line="9" w:lineRule="exact"/>
        <w:rPr>
          <w:rFonts w:ascii="Arial" w:cs="Arial" w:eastAsia="Arial" w:hAnsi="Arial"/>
          <w:sz w:val="17"/>
          <w:szCs w:val="17"/>
          <w:color w:val="auto"/>
        </w:rPr>
      </w:pPr>
    </w:p>
    <w:p>
      <w:pPr>
        <w:ind w:left="320" w:hanging="31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related to our communications and information systems, including risks with respect to cybersecurity breaches;</w:t>
      </w:r>
    </w:p>
    <w:p>
      <w:pPr>
        <w:spacing w:after="0" w:line="9" w:lineRule="exact"/>
        <w:rPr>
          <w:rFonts w:ascii="Arial" w:cs="Arial" w:eastAsia="Arial" w:hAnsi="Arial"/>
          <w:sz w:val="17"/>
          <w:szCs w:val="17"/>
          <w:color w:val="auto"/>
        </w:rPr>
      </w:pPr>
    </w:p>
    <w:p>
      <w:pPr>
        <w:ind w:left="320" w:hanging="31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reliance on third parties to provide key components of our business infrastructure and services required to operate our business;</w:t>
      </w:r>
    </w:p>
    <w:p>
      <w:pPr>
        <w:spacing w:after="0" w:line="9" w:lineRule="exact"/>
        <w:rPr>
          <w:rFonts w:ascii="Arial" w:cs="Arial" w:eastAsia="Arial" w:hAnsi="Arial"/>
          <w:sz w:val="17"/>
          <w:szCs w:val="17"/>
          <w:color w:val="auto"/>
        </w:rPr>
      </w:pPr>
    </w:p>
    <w:p>
      <w:pPr>
        <w:ind w:left="320" w:hanging="31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competition from financial institutions and other financial service providers;</w:t>
      </w:r>
    </w:p>
    <w:p>
      <w:pPr>
        <w:spacing w:after="0" w:line="9" w:lineRule="exact"/>
        <w:rPr>
          <w:rFonts w:ascii="Arial" w:cs="Arial" w:eastAsia="Arial" w:hAnsi="Arial"/>
          <w:sz w:val="17"/>
          <w:szCs w:val="17"/>
          <w:color w:val="auto"/>
        </w:rPr>
      </w:pPr>
    </w:p>
    <w:p>
      <w:pPr>
        <w:ind w:left="320" w:hanging="31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with respect to our ability to successfully expand and complete acquisitions and integrate businesses and operations that are acquired;</w:t>
      </w:r>
    </w:p>
    <w:p>
      <w:pPr>
        <w:spacing w:after="0" w:line="9" w:lineRule="exact"/>
        <w:rPr>
          <w:rFonts w:ascii="Arial" w:cs="Arial" w:eastAsia="Arial" w:hAnsi="Arial"/>
          <w:sz w:val="17"/>
          <w:szCs w:val="17"/>
          <w:color w:val="auto"/>
        </w:rPr>
      </w:pPr>
    </w:p>
    <w:p>
      <w:pPr>
        <w:ind w:left="320" w:hanging="31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the conditions in the stock market, the public debt market and other capital markets deteriorate;</w:t>
      </w:r>
    </w:p>
    <w:p>
      <w:pPr>
        <w:spacing w:after="0" w:line="9" w:lineRule="exact"/>
        <w:rPr>
          <w:rFonts w:ascii="Arial" w:cs="Arial" w:eastAsia="Arial" w:hAnsi="Arial"/>
          <w:sz w:val="17"/>
          <w:szCs w:val="17"/>
          <w:color w:val="auto"/>
        </w:rPr>
      </w:pPr>
    </w:p>
    <w:p>
      <w:pPr>
        <w:ind w:left="320" w:hanging="31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impact of the Dodd-Frank Wall Street Reform and Consumer Protection Act of 2010 and related regulations;</w:t>
      </w:r>
    </w:p>
    <w:p>
      <w:pPr>
        <w:spacing w:after="0" w:line="9" w:lineRule="exact"/>
        <w:rPr>
          <w:rFonts w:ascii="Arial" w:cs="Arial" w:eastAsia="Arial" w:hAnsi="Arial"/>
          <w:sz w:val="17"/>
          <w:szCs w:val="17"/>
          <w:color w:val="auto"/>
        </w:rPr>
      </w:pPr>
    </w:p>
    <w:p>
      <w:pPr>
        <w:ind w:left="320" w:hanging="31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laws and regulations or failures to comply with such laws and regulations;</w:t>
      </w:r>
    </w:p>
    <w:p>
      <w:pPr>
        <w:spacing w:after="0" w:line="9" w:lineRule="exact"/>
        <w:rPr>
          <w:rFonts w:ascii="Arial" w:cs="Arial" w:eastAsia="Arial" w:hAnsi="Arial"/>
          <w:sz w:val="17"/>
          <w:szCs w:val="17"/>
          <w:color w:val="auto"/>
        </w:rPr>
      </w:pPr>
    </w:p>
    <w:p>
      <w:pPr>
        <w:ind w:left="320" w:hanging="31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regulatory capital and other requirements;</w:t>
      </w:r>
    </w:p>
    <w:p>
      <w:pPr>
        <w:spacing w:after="0" w:line="9" w:lineRule="exact"/>
        <w:rPr>
          <w:rFonts w:ascii="Arial" w:cs="Arial" w:eastAsia="Arial" w:hAnsi="Arial"/>
          <w:sz w:val="17"/>
          <w:szCs w:val="17"/>
          <w:color w:val="auto"/>
        </w:rPr>
      </w:pPr>
    </w:p>
    <w:p>
      <w:pPr>
        <w:ind w:left="320" w:hanging="317"/>
        <w:spacing w:after="0"/>
        <w:tabs>
          <w:tab w:leader="none" w:pos="32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costs and effects of litigation, examinations, investigations, or similar matters, or adverse facts and developments related thereto, including possible dilution;</w:t>
      </w:r>
    </w:p>
    <w:p>
      <w:pPr>
        <w:spacing w:after="0" w:line="32" w:lineRule="exact"/>
        <w:rPr>
          <w:rFonts w:ascii="Arial" w:cs="Arial" w:eastAsia="Arial" w:hAnsi="Arial"/>
          <w:sz w:val="15"/>
          <w:szCs w:val="15"/>
          <w:color w:val="auto"/>
        </w:rPr>
      </w:pPr>
    </w:p>
    <w:p>
      <w:pPr>
        <w:ind w:left="320" w:hanging="317"/>
        <w:spacing w:after="0" w:line="251" w:lineRule="auto"/>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regulatory or judicial proceedings, board resolutions, informal memorandums of understanding or formal enforcement actions imposed by regulators that may occur;</w:t>
      </w:r>
    </w:p>
    <w:p>
      <w:pPr>
        <w:spacing w:after="0" w:line="1" w:lineRule="exact"/>
        <w:rPr>
          <w:rFonts w:ascii="Arial" w:cs="Arial" w:eastAsia="Arial" w:hAnsi="Arial"/>
          <w:sz w:val="17"/>
          <w:szCs w:val="17"/>
          <w:color w:val="auto"/>
        </w:rPr>
      </w:pPr>
    </w:p>
    <w:p>
      <w:pPr>
        <w:ind w:left="320" w:hanging="31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tax laws, regulations and interpretations or challenges to our income tax provision; and</w:t>
      </w:r>
    </w:p>
    <w:p>
      <w:pPr>
        <w:spacing w:after="0" w:line="9" w:lineRule="exact"/>
        <w:rPr>
          <w:rFonts w:ascii="Arial" w:cs="Arial" w:eastAsia="Arial" w:hAnsi="Arial"/>
          <w:sz w:val="17"/>
          <w:szCs w:val="17"/>
          <w:color w:val="auto"/>
        </w:rPr>
      </w:pPr>
    </w:p>
    <w:p>
      <w:pPr>
        <w:ind w:left="320" w:hanging="317"/>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maintain effective internal controls over financial reporting and disclosure controls and procedures.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(the “SEC”). United cautions that the foregoing list of factors is not exclusive and not to place undue reliance on forward-looking statements. United does not intend to update any forward-looking statement, whether written or oral, relating to the matters discussed in this Form 10-Q.</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Overview</w:t>
      </w:r>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following discussion is intended to provide insight into the results of operations and financial condition of United Community Banks, Inc. (“United”) and its subsidiaries and should be read in conjunction with United’s consolidated financial statements and accompanying notes.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United is a bank holding company registered with the Board of Governors of the Federal Reserve under the Bank Holding Company Act of 1956 that was incorporated under the laws of the state of Georgia in 1987 and commenced operations in 1988. At March 31, 2015, United had total consolidated assets of $7.66 billion, total loans of $4.79 billion, total deposits of $6.44 billion, and shareholders’ equity of $764 million.</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United’s activities are primarily conducted by its wholly-owned Georgia banking subsidiary, United Community Bank (the “Bank”). The Bank’s operations are conducted under a community bank model that operates 28 “community banks” with local bank presidents and boards in north Georgia, the Atlanta-Sandy Springs-Roswell, Georgia metropolitan statistical area, the Gainesville, Georgia metropolitan statistical area, coastal Georgia, western North Carolina, east Tennessee and the Greenville-Anderson-Mauldin, South Carolina metropolitan statistical area. Recently, United has opened commercial loan offices in Nashville, Tennessee and Charlotte, North Carolina.</w:t>
      </w:r>
    </w:p>
    <w:p>
      <w:pPr>
        <w:spacing w:after="0" w:line="20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Included in management’s discussion and analysis are certain non-GAAP (accounting principles generally accepted in the United States of America (“GAAP”)) performance measures. United’s management believes that non-GAAP performance measures are useful in analyzing United’s financial performance trends and therefore this section will refer to non-GAAP performance measures. A reconciliation of these non-GAAP performance measures to GAAP performance measures is included in the table on page 40.</w:t>
      </w:r>
    </w:p>
    <w:p>
      <w:pPr>
        <w:spacing w:after="0" w:line="204"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United reported net income of $17.7 million for the first quarter of 2015. This compared to net income of $15.4 million for the first quarter of 2014. Diluted earnings per common share were $.29 for the first quarter of 2015, compared to diluted earnings per common share of $.25 for the first quarter of 2014.</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Taxable equivalent net interest revenue was $57.6 million for the first quarter of 2015, compared to $54.2 million for the same period of 2014. Net interest margin increased from 3.21% for the three months ended March 31, 2014 to 3.31% for the same period in 2015. In the second quarter of 2014, United executed a number of balance sheet management activities, including restructuring interest rate swaps, selling investment securities and repaying high cost wholesale borrowings with the intent of improving the net interest margin and increasing net interest revenue. These balance sheet management activities, along with strong loan growth over the last four quarters, had the desired effect of increasing net interest revenue and net interest margin which has held steady in the low 3.30% range since the second quarter restructuring activities.</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United’s provision for credit losses was $1.80 million for the first quarter of 2015, compared to $2.50 million for the same period in 2014. Net charge-offs for the first quarter of 2015 were $2.56 million, compared to $4.04 million for the first quarter of 2014. United’s credit quality indicators have shown improvement over the last four quarters leading to lower net charge offs and provisions for credit losses.</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of March 31, 2015, United’s allowance for loan losses was $70.0 million, or 1.46% of loans, compared to $71.6 million, or 1.53% of loans, at December 31, 2014 and $75.2 million, or 1.73% of loans, at March 31, 2014. Nonperforming assets of $20.2 million were .26% of total assets at March 31, 2015, the same level as December 31, 2014 and down from .42% as of March 31, 2014, due to ongoing improving credit conditions. During the first quarter of 2015, $5.94 million in loans were placed on nonaccrual compared with $9.30 million in the first quarter of 2014.</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Fee revenue of $15.7 million for the first quarter of 2015 was up $3.51 million, or 29%, from the first quarter of 2014. The increase was due primarily to $1.14 million in gains from the sales of Small Business Administration (“SBA”) loans in the first quarter of 2015. United began selling the guaranteed portion of SBA / United States Department of Agriculture (“USDA”) loans in the second quarter of 2014 as part of its emphasis on growing the SBA lending business. Mortgage fees of $2.76 million for the first quarter of 2015 more than doubled the $1.35 million in mortgage fees earned in the first quarter of 2014. The increase was due to United’s emphasis in growing its mortgage business by recruiting lenders in underserved markets and a wave of refinancing activity in the first quarter of 2015. Brokerage fees of $1.55 million for the first quarter of 2015 were up $374,000, or 32%, from the first quarter of 2014 reflecting United’s efforts to grow its advisory services business. United also sold securities resulting in net gains of $1.54 million in the first quarter of 2015 compared with $217,000 in the first quarter of 2014. The first quarter 2015 also included $1.04 million in charges from prepayment of debt. During the first quarter of 2015, United prepaid a $6.00 million structured repurchase agreement with an interest rate of 4.00% and $15.0 million in trust preferred securities with an average rate over 11%. United expects approximately $1.6 million in annual interest savings from the repayment. Partially offsetting these increases in fee revenue was a decrease in deposit service charges mostly caused by lower overdraft fees, which have been on a declining trend as customer overdraft activity has been down.</w:t>
      </w:r>
    </w:p>
    <w:p>
      <w:pPr>
        <w:spacing w:after="0" w:line="202"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For the first quarter of 2015, operating expenses of $43.1 million were up $4.01 million from the first quarter of 2014. The increase was due primarily to higher salaries and benefits expense which were up $2.05 million from a year ago mostly due to the investment in additional staff and new teams to expand the specialized lending area as well as higher incentive compensation in connection with increased lending activities and improvement in earnings performance. The increase also reflects charges of $690,000 to terminate and settle the loss sharing agreements with the Federal Deposit Insurance Corporation (the “FDIC”) related to United’s 2009 acquisition of Southern Community Bank and a $420,000 loss on a fraudulent home equity line of credit transaction that are reflected in other operating expense.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Recent Developments</w:t>
      </w:r>
    </w:p>
    <w:p>
      <w:pPr>
        <w:spacing w:after="0" w:line="24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April 22, 2015, United announced that it had reached a definitive agreement to acquire Palmetto Bancshares, Inc. (“Palmetto”) and its wholly owned bank subsidiary The Palmetto Bank. The Palmetto Bank is the third largest banking institution headquartered in South Carolina with total assets of $1.2 billion, loans of $832 million and deposits of $967 million. It is a 108-year old community bank that serves Upstate South Carolina through 25 branch locations in nine counties along the Interstate 85 corridor. The Palmetto Bank will merge into and operate under the brand of United Community Bank.</w:t>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Under the terms of the agreement, which has been unanimously approved by the Boards of Directors of both companies, Palmetto shareholders will have the right to receive $19.25 in cash or 0.97 shares of United common stock, or any combination thereof, for each share of Palmetto common stock. The cash and stock elections are subject to proration to ensure that 30% of the outstanding shares of Palmetto common stock will be exchanged for cash and 70% of the outstanding shares of Palmetto common stock will be exchanged for shares of United common stock in the merger. Based on United’s ten-day average closing price of $18.78 per share as of April 21, 2015 the aggregate deal value is approximately $240.5 million.</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merger, which is subject to regulatory approval, the approval of the shareholders of Palmetto, and other customary conditions, is expected to close in the fourth quarter of 2015.</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On May 1, 2015, United completed its previously announced acquisition of MoneyTree Corporation and its wholly owned bank subsidiary, First National Bank.</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4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accounting and reporting policies of United are in accordance with GAAP and conform to general practices within the banking industry. The more critical accounting and reporting policies include United’s accounting for the allowance for loan losses, fair value measurements, and income taxes which involve the use of estimates and require significant judgments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 for loan losses.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GAAP Reconciliation and Explanation</w:t>
      </w:r>
    </w:p>
    <w:p>
      <w:pPr>
        <w:spacing w:after="0" w:line="24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This Form 10-Q contains non-GAAP financial measures, which are performance measures determined by methods other than in accordance with GAAP. Such non-GAAP financial measures include, among others the following: taxable equivalent interest revenue, taxable equivalent net interest revenue, tangible book value per share, tangible equity to assets, tangible common equity to assets and tangible common equity to risk-weighted assets. Management uses these non-GAAP financial measures because it believes they are useful for evaluating our operations and performance over periods of time, as well as in managing and evaluating our business and in discussions about our operations and performance. Management believes these non-GAAP financial measures provide users of our financial information with a meaningful measure for assessing our financial results and credit trends, as well as comparison to financial results for prior periods. These non-GAAP financial measures should not be considered as a substitute for operating results determined in accordance with GAAP and may not be comparable to other similarly titled financial measures used by other companies. A reconciliation of these operating performance measures to GAAP performance measures is included in on the table on page 40.</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United reported net income of $17.7 million for the first quarter of 2015. This compared to net income of $15.4 million for the same period in 2014. For the first quarter of 2015, diluted earnings per common share were $.29 compared to $.25 for the first quarter of 2014.</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Table 1 - Financial Highlights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Selected Financial Information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7"/>
                <w:szCs w:val="17"/>
                <w:b w:val="1"/>
                <w:bCs w:val="1"/>
                <w:color w:val="auto"/>
                <w:w w:val="92"/>
              </w:rPr>
              <w:t>First</w:t>
            </w:r>
          </w:p>
        </w:tc>
      </w:tr>
      <w:tr>
        <w:trPr>
          <w:trHeight w:val="227"/>
        </w:trPr>
        <w:tc>
          <w:tcPr>
            <w:tcW w:w="3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89"/>
              </w:rPr>
              <w:t>2015</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7"/>
                <w:szCs w:val="17"/>
                <w:b w:val="1"/>
                <w:bCs w:val="1"/>
                <w:color w:val="auto"/>
              </w:rPr>
              <w:t>2014</w:t>
            </w: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7"/>
              </w:rPr>
              <w:t>Quarter</w:t>
            </w:r>
          </w:p>
        </w:tc>
      </w:tr>
      <w:tr>
        <w:trPr>
          <w:trHeight w:val="214"/>
        </w:trPr>
        <w:tc>
          <w:tcPr>
            <w:tcW w:w="3280" w:type="dxa"/>
            <w:vAlign w:val="bottom"/>
          </w:tcPr>
          <w:p>
            <w:pPr>
              <w:spacing w:after="0"/>
              <w:rPr>
                <w:sz w:val="20"/>
                <w:szCs w:val="20"/>
                <w:color w:val="auto"/>
              </w:rPr>
            </w:pPr>
            <w:r>
              <w:rPr>
                <w:rFonts w:ascii="Arial" w:cs="Arial" w:eastAsia="Arial" w:hAnsi="Arial"/>
                <w:sz w:val="17"/>
                <w:szCs w:val="17"/>
                <w:i w:val="1"/>
                <w:iCs w:val="1"/>
                <w:color w:val="auto"/>
              </w:rPr>
              <w:t>(in thousands, except per share</w:t>
            </w:r>
          </w:p>
        </w:tc>
        <w:tc>
          <w:tcPr>
            <w:tcW w:w="180" w:type="dxa"/>
            <w:vAlign w:val="bottom"/>
          </w:tcPr>
          <w:p>
            <w:pPr>
              <w:spacing w:after="0"/>
              <w:rPr>
                <w:sz w:val="18"/>
                <w:szCs w:val="18"/>
                <w:color w:val="auto"/>
              </w:rPr>
            </w:pPr>
          </w:p>
        </w:tc>
        <w:tc>
          <w:tcPr>
            <w:tcW w:w="940" w:type="dxa"/>
            <w:vAlign w:val="bottom"/>
          </w:tcPr>
          <w:p>
            <w:pPr>
              <w:jc w:val="center"/>
              <w:ind w:right="95"/>
              <w:spacing w:after="0"/>
              <w:rPr>
                <w:sz w:val="20"/>
                <w:szCs w:val="20"/>
                <w:color w:val="auto"/>
              </w:rPr>
            </w:pPr>
            <w:r>
              <w:rPr>
                <w:rFonts w:ascii="Arial" w:cs="Arial" w:eastAsia="Arial" w:hAnsi="Arial"/>
                <w:sz w:val="17"/>
                <w:szCs w:val="17"/>
                <w:b w:val="1"/>
                <w:bCs w:val="1"/>
                <w:color w:val="auto"/>
                <w:w w:val="97"/>
              </w:rPr>
              <w:t>First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rPr>
              <w:t>Fourth</w:t>
            </w:r>
          </w:p>
        </w:tc>
        <w:tc>
          <w:tcPr>
            <w:tcW w:w="1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7"/>
                <w:szCs w:val="17"/>
                <w:b w:val="1"/>
                <w:bCs w:val="1"/>
                <w:color w:val="auto"/>
              </w:rPr>
              <w:t>Third</w:t>
            </w:r>
          </w:p>
        </w:tc>
        <w:tc>
          <w:tcPr>
            <w:tcW w:w="18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Second</w:t>
            </w:r>
          </w:p>
        </w:tc>
        <w:tc>
          <w:tcPr>
            <w:tcW w:w="160" w:type="dxa"/>
            <w:vAlign w:val="bottom"/>
          </w:tcPr>
          <w:p>
            <w:pPr>
              <w:spacing w:after="0"/>
              <w:rPr>
                <w:sz w:val="18"/>
                <w:szCs w:val="18"/>
                <w:color w:val="auto"/>
              </w:rPr>
            </w:pPr>
          </w:p>
        </w:tc>
        <w:tc>
          <w:tcPr>
            <w:tcW w:w="940" w:type="dxa"/>
            <w:vAlign w:val="bottom"/>
          </w:tcPr>
          <w:p>
            <w:pPr>
              <w:jc w:val="right"/>
              <w:ind w:right="295"/>
              <w:spacing w:after="0"/>
              <w:rPr>
                <w:sz w:val="20"/>
                <w:szCs w:val="20"/>
                <w:color w:val="auto"/>
              </w:rPr>
            </w:pPr>
            <w:r>
              <w:rPr>
                <w:rFonts w:ascii="Arial" w:cs="Arial" w:eastAsia="Arial" w:hAnsi="Arial"/>
                <w:sz w:val="17"/>
                <w:szCs w:val="17"/>
                <w:b w:val="1"/>
                <w:bCs w:val="1"/>
                <w:color w:val="auto"/>
              </w:rPr>
              <w:t>First</w:t>
            </w:r>
          </w:p>
        </w:tc>
        <w:tc>
          <w:tcPr>
            <w:tcW w:w="2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b w:val="1"/>
                <w:bCs w:val="1"/>
                <w:color w:val="auto"/>
                <w:w w:val="90"/>
              </w:rPr>
              <w:t>2015-2014</w:t>
            </w:r>
          </w:p>
        </w:tc>
        <w:tc>
          <w:tcPr>
            <w:tcW w:w="140" w:type="dxa"/>
            <w:vAlign w:val="bottom"/>
          </w:tcPr>
          <w:p>
            <w:pPr>
              <w:spacing w:after="0"/>
              <w:rPr>
                <w:sz w:val="18"/>
                <w:szCs w:val="18"/>
                <w:color w:val="auto"/>
              </w:rPr>
            </w:pPr>
          </w:p>
        </w:tc>
      </w:tr>
      <w:tr>
        <w:trPr>
          <w:trHeight w:val="227"/>
        </w:trPr>
        <w:tc>
          <w:tcPr>
            <w:tcW w:w="3280" w:type="dxa"/>
            <w:vAlign w:val="bottom"/>
          </w:tcPr>
          <w:p>
            <w:pPr>
              <w:spacing w:after="0"/>
              <w:rPr>
                <w:sz w:val="20"/>
                <w:szCs w:val="20"/>
                <w:color w:val="auto"/>
              </w:rPr>
            </w:pPr>
            <w:r>
              <w:rPr>
                <w:rFonts w:ascii="Arial" w:cs="Arial" w:eastAsia="Arial" w:hAnsi="Arial"/>
                <w:sz w:val="17"/>
                <w:szCs w:val="17"/>
                <w:i w:val="1"/>
                <w:iCs w:val="1"/>
                <w:color w:val="auto"/>
              </w:rPr>
              <w:t>data; taxable equivalent)</w:t>
            </w:r>
          </w:p>
        </w:tc>
        <w:tc>
          <w:tcPr>
            <w:tcW w:w="18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97"/>
              </w:rPr>
              <w:t>Quarter</w:t>
            </w:r>
          </w:p>
        </w:tc>
        <w:tc>
          <w:tcPr>
            <w:tcW w:w="16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Quarter</w:t>
            </w:r>
          </w:p>
        </w:tc>
        <w:tc>
          <w:tcPr>
            <w:tcW w:w="18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Quarter</w:t>
            </w:r>
          </w:p>
        </w:tc>
        <w:tc>
          <w:tcPr>
            <w:tcW w:w="18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Quarter</w:t>
            </w:r>
          </w:p>
        </w:tc>
        <w:tc>
          <w:tcPr>
            <w:tcW w:w="16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Quarter</w:t>
            </w:r>
          </w:p>
        </w:tc>
        <w:tc>
          <w:tcPr>
            <w:tcW w:w="12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9"/>
              </w:rPr>
              <w:t>Change</w:t>
            </w:r>
          </w:p>
        </w:tc>
      </w:tr>
      <w:tr>
        <w:trPr>
          <w:trHeight w:val="205"/>
        </w:trPr>
        <w:tc>
          <w:tcPr>
            <w:tcW w:w="32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7"/>
                <w:szCs w:val="17"/>
                <w:b w:val="1"/>
                <w:bCs w:val="1"/>
                <w:color w:val="auto"/>
              </w:rPr>
              <w:t>INCOME SUMMARY</w:t>
            </w:r>
          </w:p>
        </w:tc>
        <w:tc>
          <w:tcPr>
            <w:tcW w:w="180" w:type="dxa"/>
            <w:vAlign w:val="bottom"/>
            <w:tcBorders>
              <w:top w:val="single" w:sz="8" w:color="auto"/>
            </w:tcBorders>
            <w:shd w:val="clear" w:color="auto" w:fill="F0FFFF"/>
          </w:tcPr>
          <w:p>
            <w:pPr>
              <w:spacing w:after="0"/>
              <w:rPr>
                <w:sz w:val="17"/>
                <w:szCs w:val="17"/>
                <w:color w:val="auto"/>
              </w:rPr>
            </w:pPr>
          </w:p>
        </w:tc>
        <w:tc>
          <w:tcPr>
            <w:tcW w:w="940" w:type="dxa"/>
            <w:vAlign w:val="bottom"/>
            <w:tcBorders>
              <w:top w:val="single" w:sz="8" w:color="auto"/>
            </w:tcBorders>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60" w:type="dxa"/>
            <w:vAlign w:val="bottom"/>
            <w:tcBorders>
              <w:top w:val="single" w:sz="8" w:color="auto"/>
            </w:tcBorders>
            <w:shd w:val="clear" w:color="auto" w:fill="F0FFFF"/>
          </w:tcPr>
          <w:p>
            <w:pPr>
              <w:spacing w:after="0"/>
              <w:rPr>
                <w:sz w:val="17"/>
                <w:szCs w:val="17"/>
                <w:color w:val="auto"/>
              </w:rPr>
            </w:pPr>
          </w:p>
        </w:tc>
        <w:tc>
          <w:tcPr>
            <w:tcW w:w="960" w:type="dxa"/>
            <w:vAlign w:val="bottom"/>
            <w:tcBorders>
              <w:top w:val="single" w:sz="8" w:color="auto"/>
            </w:tcBorders>
            <w:shd w:val="clear" w:color="auto" w:fill="F0FFFF"/>
          </w:tcPr>
          <w:p>
            <w:pPr>
              <w:spacing w:after="0"/>
              <w:rPr>
                <w:sz w:val="17"/>
                <w:szCs w:val="17"/>
                <w:color w:val="auto"/>
              </w:rPr>
            </w:pPr>
          </w:p>
        </w:tc>
        <w:tc>
          <w:tcPr>
            <w:tcW w:w="240" w:type="dxa"/>
            <w:vAlign w:val="bottom"/>
            <w:tcBorders>
              <w:right w:val="single" w:sz="8" w:color="F0FFFF"/>
            </w:tcBorders>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940" w:type="dxa"/>
            <w:vAlign w:val="bottom"/>
            <w:tcBorders>
              <w:top w:val="single" w:sz="8" w:color="auto"/>
            </w:tcBorders>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940" w:type="dxa"/>
            <w:vAlign w:val="bottom"/>
            <w:tcBorders>
              <w:top w:val="single" w:sz="8" w:color="auto"/>
            </w:tcBorders>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60" w:type="dxa"/>
            <w:vAlign w:val="bottom"/>
            <w:tcBorders>
              <w:top w:val="single" w:sz="8" w:color="auto"/>
            </w:tcBorders>
            <w:shd w:val="clear" w:color="auto" w:fill="F0FFFF"/>
          </w:tcPr>
          <w:p>
            <w:pPr>
              <w:spacing w:after="0"/>
              <w:rPr>
                <w:sz w:val="17"/>
                <w:szCs w:val="17"/>
                <w:color w:val="auto"/>
              </w:rPr>
            </w:pPr>
          </w:p>
        </w:tc>
        <w:tc>
          <w:tcPr>
            <w:tcW w:w="940" w:type="dxa"/>
            <w:vAlign w:val="bottom"/>
            <w:tcBorders>
              <w:top w:val="single" w:sz="8" w:color="auto"/>
            </w:tcBorders>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14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3280" w:type="dxa"/>
            <w:vAlign w:val="bottom"/>
          </w:tcPr>
          <w:p>
            <w:pPr>
              <w:spacing w:after="0"/>
              <w:rPr>
                <w:sz w:val="20"/>
                <w:szCs w:val="20"/>
                <w:color w:val="auto"/>
              </w:rPr>
            </w:pPr>
            <w:r>
              <w:rPr>
                <w:rFonts w:ascii="Arial" w:cs="Arial" w:eastAsia="Arial" w:hAnsi="Arial"/>
                <w:sz w:val="17"/>
                <w:szCs w:val="17"/>
                <w:color w:val="auto"/>
              </w:rPr>
              <w:t>Interest revenue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62,909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64,353</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63,338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61,783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60,495</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3280" w:type="dxa"/>
            <w:vAlign w:val="bottom"/>
            <w:shd w:val="clear" w:color="auto" w:fill="F0FFFF"/>
          </w:tcPr>
          <w:p>
            <w:pPr>
              <w:spacing w:after="0"/>
              <w:rPr>
                <w:sz w:val="20"/>
                <w:szCs w:val="20"/>
                <w:color w:val="auto"/>
              </w:rPr>
            </w:pPr>
            <w:r>
              <w:rPr>
                <w:rFonts w:ascii="Arial" w:cs="Arial" w:eastAsia="Arial" w:hAnsi="Arial"/>
                <w:sz w:val="17"/>
                <w:szCs w:val="17"/>
                <w:color w:val="auto"/>
              </w:rPr>
              <w:t>Interest expense</w:t>
            </w: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5,292</w:t>
            </w:r>
          </w:p>
        </w:tc>
        <w:tc>
          <w:tcPr>
            <w:tcW w:w="2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6,021</w:t>
            </w:r>
          </w:p>
        </w:tc>
        <w:tc>
          <w:tcPr>
            <w:tcW w:w="24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6,371</w:t>
            </w: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6,833</w:t>
            </w:r>
          </w:p>
        </w:tc>
        <w:tc>
          <w:tcPr>
            <w:tcW w:w="260" w:type="dxa"/>
            <w:vAlign w:val="bottom"/>
            <w:tcBorders>
              <w:right w:val="single" w:sz="8" w:color="F0FFFF"/>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6,326</w:t>
            </w:r>
          </w:p>
        </w:tc>
        <w:tc>
          <w:tcPr>
            <w:tcW w:w="26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6"/>
        </w:trPr>
        <w:tc>
          <w:tcPr>
            <w:tcW w:w="32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14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r>
      <w:tr>
        <w:trPr>
          <w:trHeight w:val="205"/>
        </w:trPr>
        <w:tc>
          <w:tcPr>
            <w:tcW w:w="3280" w:type="dxa"/>
            <w:vAlign w:val="bottom"/>
          </w:tcPr>
          <w:p>
            <w:pPr>
              <w:ind w:left="180"/>
              <w:spacing w:after="0"/>
              <w:rPr>
                <w:sz w:val="20"/>
                <w:szCs w:val="20"/>
                <w:color w:val="auto"/>
              </w:rPr>
            </w:pPr>
            <w:r>
              <w:rPr>
                <w:rFonts w:ascii="Arial" w:cs="Arial" w:eastAsia="Arial" w:hAnsi="Arial"/>
                <w:sz w:val="17"/>
                <w:szCs w:val="17"/>
                <w:color w:val="auto"/>
              </w:rPr>
              <w:t>Net interest revenue</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57,617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58,332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56,967</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54,950</w:t>
            </w:r>
          </w:p>
        </w:tc>
        <w:tc>
          <w:tcPr>
            <w:tcW w:w="16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54,169</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6%</w:t>
            </w:r>
          </w:p>
        </w:tc>
      </w:tr>
      <w:tr>
        <w:trPr>
          <w:trHeight w:val="205"/>
        </w:trPr>
        <w:tc>
          <w:tcPr>
            <w:tcW w:w="3280" w:type="dxa"/>
            <w:vAlign w:val="bottom"/>
            <w:shd w:val="clear" w:color="auto" w:fill="F0FFFF"/>
          </w:tcPr>
          <w:p>
            <w:pPr>
              <w:spacing w:after="0"/>
              <w:rPr>
                <w:sz w:val="20"/>
                <w:szCs w:val="20"/>
                <w:color w:val="auto"/>
              </w:rPr>
            </w:pPr>
            <w:r>
              <w:rPr>
                <w:rFonts w:ascii="Arial" w:cs="Arial" w:eastAsia="Arial" w:hAnsi="Arial"/>
                <w:sz w:val="17"/>
                <w:szCs w:val="17"/>
                <w:color w:val="auto"/>
              </w:rPr>
              <w:t>Provision for credit losses</w:t>
            </w:r>
          </w:p>
        </w:tc>
        <w:tc>
          <w:tcPr>
            <w:tcW w:w="18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1,800</w:t>
            </w:r>
          </w:p>
        </w:tc>
        <w:tc>
          <w:tcPr>
            <w:tcW w:w="16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1,800</w:t>
            </w: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2,000</w:t>
            </w: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2,200</w:t>
            </w:r>
          </w:p>
        </w:tc>
        <w:tc>
          <w:tcPr>
            <w:tcW w:w="260" w:type="dxa"/>
            <w:vAlign w:val="bottom"/>
            <w:tcBorders>
              <w:right w:val="single" w:sz="8" w:color="F0FFFF"/>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2,500</w:t>
            </w:r>
          </w:p>
        </w:tc>
        <w:tc>
          <w:tcPr>
            <w:tcW w:w="26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3280" w:type="dxa"/>
            <w:vAlign w:val="bottom"/>
          </w:tcPr>
          <w:p>
            <w:pPr>
              <w:spacing w:after="0"/>
              <w:rPr>
                <w:sz w:val="20"/>
                <w:szCs w:val="20"/>
                <w:color w:val="auto"/>
              </w:rPr>
            </w:pPr>
            <w:r>
              <w:rPr>
                <w:rFonts w:ascii="Arial" w:cs="Arial" w:eastAsia="Arial" w:hAnsi="Arial"/>
                <w:sz w:val="17"/>
                <w:szCs w:val="17"/>
                <w:color w:val="auto"/>
              </w:rPr>
              <w:t>Fee revenue</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15,682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14,823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14,412</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14,143</w:t>
            </w:r>
          </w:p>
        </w:tc>
        <w:tc>
          <w:tcPr>
            <w:tcW w:w="16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12,176</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29</w:t>
            </w:r>
          </w:p>
        </w:tc>
      </w:tr>
      <w:tr>
        <w:trPr>
          <w:trHeight w:val="26"/>
        </w:trPr>
        <w:tc>
          <w:tcPr>
            <w:tcW w:w="3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05"/>
        </w:trPr>
        <w:tc>
          <w:tcPr>
            <w:tcW w:w="3280" w:type="dxa"/>
            <w:vAlign w:val="bottom"/>
            <w:shd w:val="clear" w:color="auto" w:fill="F0FFFF"/>
          </w:tcPr>
          <w:p>
            <w:pPr>
              <w:ind w:left="120"/>
              <w:spacing w:after="0"/>
              <w:rPr>
                <w:sz w:val="20"/>
                <w:szCs w:val="20"/>
                <w:color w:val="auto"/>
              </w:rPr>
            </w:pPr>
            <w:r>
              <w:rPr>
                <w:rFonts w:ascii="Arial" w:cs="Arial" w:eastAsia="Arial" w:hAnsi="Arial"/>
                <w:sz w:val="17"/>
                <w:szCs w:val="17"/>
                <w:b w:val="1"/>
                <w:bCs w:val="1"/>
                <w:color w:val="auto"/>
              </w:rPr>
              <w:t>Total revenue</w:t>
            </w: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71,499</w:t>
            </w:r>
          </w:p>
        </w:tc>
        <w:tc>
          <w:tcPr>
            <w:tcW w:w="2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71,355</w:t>
            </w:r>
          </w:p>
        </w:tc>
        <w:tc>
          <w:tcPr>
            <w:tcW w:w="24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69,379</w:t>
            </w: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66,893</w:t>
            </w:r>
          </w:p>
        </w:tc>
        <w:tc>
          <w:tcPr>
            <w:tcW w:w="16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63,845</w:t>
            </w: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12</w:t>
            </w:r>
          </w:p>
        </w:tc>
      </w:tr>
      <w:tr>
        <w:trPr>
          <w:trHeight w:val="205"/>
        </w:trPr>
        <w:tc>
          <w:tcPr>
            <w:tcW w:w="3280" w:type="dxa"/>
            <w:vAlign w:val="bottom"/>
          </w:tcPr>
          <w:p>
            <w:pPr>
              <w:spacing w:after="0"/>
              <w:rPr>
                <w:sz w:val="20"/>
                <w:szCs w:val="20"/>
                <w:color w:val="auto"/>
              </w:rPr>
            </w:pPr>
            <w:r>
              <w:rPr>
                <w:rFonts w:ascii="Arial" w:cs="Arial" w:eastAsia="Arial" w:hAnsi="Arial"/>
                <w:sz w:val="17"/>
                <w:szCs w:val="17"/>
                <w:color w:val="auto"/>
              </w:rPr>
              <w:t>Operating expenses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43,061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41,919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41,364</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40,532</w:t>
            </w:r>
          </w:p>
        </w:tc>
        <w:tc>
          <w:tcPr>
            <w:tcW w:w="16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39,050</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r>
      <w:tr>
        <w:trPr>
          <w:trHeight w:val="26"/>
        </w:trPr>
        <w:tc>
          <w:tcPr>
            <w:tcW w:w="3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05"/>
        </w:trPr>
        <w:tc>
          <w:tcPr>
            <w:tcW w:w="3280" w:type="dxa"/>
            <w:vAlign w:val="bottom"/>
            <w:shd w:val="clear" w:color="auto" w:fill="F0FFFF"/>
          </w:tcPr>
          <w:p>
            <w:pPr>
              <w:ind w:left="140"/>
              <w:spacing w:after="0"/>
              <w:rPr>
                <w:sz w:val="20"/>
                <w:szCs w:val="20"/>
                <w:color w:val="auto"/>
              </w:rPr>
            </w:pPr>
            <w:r>
              <w:rPr>
                <w:rFonts w:ascii="Arial" w:cs="Arial" w:eastAsia="Arial" w:hAnsi="Arial"/>
                <w:sz w:val="17"/>
                <w:szCs w:val="17"/>
                <w:color w:val="auto"/>
              </w:rPr>
              <w:t>Income before income taxes</w:t>
            </w: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28,438</w:t>
            </w:r>
          </w:p>
        </w:tc>
        <w:tc>
          <w:tcPr>
            <w:tcW w:w="2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29,436</w:t>
            </w:r>
          </w:p>
        </w:tc>
        <w:tc>
          <w:tcPr>
            <w:tcW w:w="24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28,015</w:t>
            </w: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26,361</w:t>
            </w:r>
          </w:p>
        </w:tc>
        <w:tc>
          <w:tcPr>
            <w:tcW w:w="16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24,795</w:t>
            </w: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15</w:t>
            </w:r>
          </w:p>
        </w:tc>
      </w:tr>
      <w:tr>
        <w:trPr>
          <w:trHeight w:val="205"/>
        </w:trPr>
        <w:tc>
          <w:tcPr>
            <w:tcW w:w="3280" w:type="dxa"/>
            <w:vAlign w:val="bottom"/>
          </w:tcPr>
          <w:p>
            <w:pPr>
              <w:spacing w:after="0"/>
              <w:rPr>
                <w:sz w:val="20"/>
                <w:szCs w:val="20"/>
                <w:color w:val="auto"/>
              </w:rPr>
            </w:pPr>
            <w:r>
              <w:rPr>
                <w:rFonts w:ascii="Arial" w:cs="Arial" w:eastAsia="Arial" w:hAnsi="Arial"/>
                <w:sz w:val="17"/>
                <w:szCs w:val="17"/>
                <w:color w:val="auto"/>
              </w:rPr>
              <w:t>Income tax expense</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10,768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11,189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10,399</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10,004</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9,395</w:t>
            </w:r>
          </w:p>
        </w:tc>
        <w:tc>
          <w:tcPr>
            <w:tcW w:w="26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15</w:t>
            </w:r>
          </w:p>
        </w:tc>
      </w:tr>
      <w:tr>
        <w:trPr>
          <w:trHeight w:val="26"/>
        </w:trPr>
        <w:tc>
          <w:tcPr>
            <w:tcW w:w="3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05"/>
        </w:trPr>
        <w:tc>
          <w:tcPr>
            <w:tcW w:w="3280" w:type="dxa"/>
            <w:vAlign w:val="bottom"/>
            <w:shd w:val="clear" w:color="auto" w:fill="F0FFFF"/>
          </w:tcPr>
          <w:p>
            <w:pPr>
              <w:ind w:left="140"/>
              <w:spacing w:after="0"/>
              <w:rPr>
                <w:sz w:val="20"/>
                <w:szCs w:val="20"/>
                <w:color w:val="auto"/>
              </w:rPr>
            </w:pPr>
            <w:r>
              <w:rPr>
                <w:rFonts w:ascii="Arial" w:cs="Arial" w:eastAsia="Arial" w:hAnsi="Arial"/>
                <w:sz w:val="17"/>
                <w:szCs w:val="17"/>
                <w:b w:val="1"/>
                <w:bCs w:val="1"/>
                <w:color w:val="auto"/>
              </w:rPr>
              <w:t>Net income</w:t>
            </w: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17,670</w:t>
            </w:r>
          </w:p>
        </w:tc>
        <w:tc>
          <w:tcPr>
            <w:tcW w:w="2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18,247</w:t>
            </w:r>
          </w:p>
        </w:tc>
        <w:tc>
          <w:tcPr>
            <w:tcW w:w="24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17,616</w:t>
            </w: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16,357</w:t>
            </w:r>
          </w:p>
        </w:tc>
        <w:tc>
          <w:tcPr>
            <w:tcW w:w="16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15,400</w:t>
            </w: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15</w:t>
            </w:r>
          </w:p>
        </w:tc>
      </w:tr>
      <w:tr>
        <w:trPr>
          <w:trHeight w:val="211"/>
        </w:trPr>
        <w:tc>
          <w:tcPr>
            <w:tcW w:w="3280" w:type="dxa"/>
            <w:vAlign w:val="bottom"/>
          </w:tcPr>
          <w:p>
            <w:pPr>
              <w:spacing w:after="0"/>
              <w:rPr>
                <w:sz w:val="20"/>
                <w:szCs w:val="20"/>
                <w:color w:val="auto"/>
              </w:rPr>
            </w:pPr>
            <w:r>
              <w:rPr>
                <w:rFonts w:ascii="Arial" w:cs="Arial" w:eastAsia="Arial" w:hAnsi="Arial"/>
                <w:sz w:val="17"/>
                <w:szCs w:val="17"/>
                <w:color w:val="auto"/>
              </w:rPr>
              <w:t>Preferred dividends and discount accretion</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439</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89"/>
        </w:trPr>
        <w:tc>
          <w:tcPr>
            <w:tcW w:w="3280" w:type="dxa"/>
            <w:vAlign w:val="bottom"/>
            <w:shd w:val="clear" w:color="auto" w:fill="F0FFFF"/>
          </w:tcPr>
          <w:p>
            <w:pPr>
              <w:spacing w:after="0" w:line="189" w:lineRule="exact"/>
              <w:rPr>
                <w:sz w:val="20"/>
                <w:szCs w:val="20"/>
                <w:color w:val="auto"/>
              </w:rPr>
            </w:pPr>
            <w:r>
              <w:rPr>
                <w:rFonts w:ascii="Arial" w:cs="Arial" w:eastAsia="Arial" w:hAnsi="Arial"/>
                <w:sz w:val="17"/>
                <w:szCs w:val="17"/>
                <w:b w:val="1"/>
                <w:bCs w:val="1"/>
                <w:color w:val="auto"/>
              </w:rPr>
              <w:t>Net income available to common</w:t>
            </w: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160" w:type="dxa"/>
            <w:vAlign w:val="bottom"/>
            <w:tcBorders>
              <w:top w:val="single" w:sz="8" w:color="auto"/>
            </w:tcBorders>
            <w:shd w:val="clear" w:color="auto" w:fill="F0FFFF"/>
          </w:tcPr>
          <w:p>
            <w:pPr>
              <w:spacing w:after="0"/>
              <w:rPr>
                <w:sz w:val="16"/>
                <w:szCs w:val="16"/>
                <w:color w:val="auto"/>
              </w:rPr>
            </w:pPr>
          </w:p>
        </w:tc>
        <w:tc>
          <w:tcPr>
            <w:tcW w:w="960" w:type="dxa"/>
            <w:vAlign w:val="bottom"/>
            <w:tcBorders>
              <w:top w:val="single" w:sz="8" w:color="auto"/>
            </w:tcBorders>
            <w:shd w:val="clear" w:color="auto" w:fill="F0FFFF"/>
          </w:tcPr>
          <w:p>
            <w:pPr>
              <w:spacing w:after="0"/>
              <w:rPr>
                <w:sz w:val="16"/>
                <w:szCs w:val="16"/>
                <w:color w:val="auto"/>
              </w:rPr>
            </w:pPr>
          </w:p>
        </w:tc>
        <w:tc>
          <w:tcPr>
            <w:tcW w:w="240" w:type="dxa"/>
            <w:vAlign w:val="bottom"/>
            <w:tcBorders>
              <w:right w:val="single" w:sz="8" w:color="F0FFFF"/>
            </w:tcBorders>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60" w:type="dxa"/>
            <w:vAlign w:val="bottom"/>
            <w:tcBorders>
              <w:right w:val="single" w:sz="8" w:color="F0FFFF"/>
            </w:tcBorders>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60" w:type="dxa"/>
            <w:vAlign w:val="bottom"/>
            <w:tcBorders>
              <w:right w:val="single" w:sz="8" w:color="F0FFFF"/>
            </w:tcBorders>
            <w:shd w:val="clear" w:color="auto" w:fill="F0FFFF"/>
          </w:tcPr>
          <w:p>
            <w:pPr>
              <w:spacing w:after="0"/>
              <w:rPr>
                <w:sz w:val="16"/>
                <w:szCs w:val="16"/>
                <w:color w:val="auto"/>
              </w:rPr>
            </w:pPr>
          </w:p>
        </w:tc>
        <w:tc>
          <w:tcPr>
            <w:tcW w:w="16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114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r>
      <w:tr>
        <w:trPr>
          <w:trHeight w:val="261"/>
        </w:trPr>
        <w:tc>
          <w:tcPr>
            <w:tcW w:w="3280" w:type="dxa"/>
            <w:vAlign w:val="bottom"/>
            <w:shd w:val="clear" w:color="auto" w:fill="F0FFFF"/>
          </w:tcPr>
          <w:p>
            <w:pPr>
              <w:ind w:left="160"/>
              <w:spacing w:after="0"/>
              <w:rPr>
                <w:sz w:val="20"/>
                <w:szCs w:val="20"/>
                <w:color w:val="auto"/>
              </w:rPr>
            </w:pPr>
            <w:r>
              <w:rPr>
                <w:rFonts w:ascii="Arial" w:cs="Arial" w:eastAsia="Arial" w:hAnsi="Arial"/>
                <w:sz w:val="17"/>
                <w:szCs w:val="17"/>
                <w:b w:val="1"/>
                <w:bCs w:val="1"/>
                <w:color w:val="auto"/>
              </w:rPr>
              <w:t>shareholders</w:t>
            </w:r>
          </w:p>
        </w:tc>
        <w:tc>
          <w:tcPr>
            <w:tcW w:w="18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17,670</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18,247</w:t>
            </w:r>
          </w:p>
        </w:tc>
        <w:tc>
          <w:tcPr>
            <w:tcW w:w="18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17,616</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16,357</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14,961</w:t>
            </w: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18</w:t>
            </w:r>
          </w:p>
        </w:tc>
      </w:tr>
      <w:tr>
        <w:trPr>
          <w:trHeight w:val="197"/>
        </w:trPr>
        <w:tc>
          <w:tcPr>
            <w:tcW w:w="328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F0FFFF"/>
            </w:tcBorders>
          </w:tcPr>
          <w:p>
            <w:pPr>
              <w:spacing w:after="0"/>
              <w:rPr>
                <w:sz w:val="17"/>
                <w:szCs w:val="17"/>
                <w:color w:val="auto"/>
              </w:rPr>
            </w:pPr>
          </w:p>
        </w:tc>
        <w:tc>
          <w:tcPr>
            <w:tcW w:w="1140" w:type="dxa"/>
            <w:vAlign w:val="bottom"/>
            <w:tcBorders>
              <w:top w:val="single" w:sz="8" w:color="F0FFFF"/>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r>
      <w:tr>
        <w:trPr>
          <w:trHeight w:val="205"/>
        </w:trPr>
        <w:tc>
          <w:tcPr>
            <w:tcW w:w="3280" w:type="dxa"/>
            <w:vAlign w:val="bottom"/>
            <w:shd w:val="clear" w:color="auto" w:fill="F0FFFF"/>
          </w:tcPr>
          <w:p>
            <w:pPr>
              <w:spacing w:after="0"/>
              <w:rPr>
                <w:sz w:val="20"/>
                <w:szCs w:val="20"/>
                <w:color w:val="auto"/>
              </w:rPr>
            </w:pPr>
            <w:r>
              <w:rPr>
                <w:rFonts w:ascii="Arial" w:cs="Arial" w:eastAsia="Arial" w:hAnsi="Arial"/>
                <w:sz w:val="17"/>
                <w:szCs w:val="17"/>
                <w:b w:val="1"/>
                <w:bCs w:val="1"/>
                <w:color w:val="auto"/>
              </w:rPr>
              <w:t>PERFORMANCE MEASURES</w:t>
            </w: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4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3280" w:type="dxa"/>
            <w:vAlign w:val="bottom"/>
          </w:tcPr>
          <w:p>
            <w:pPr>
              <w:ind w:left="80"/>
              <w:spacing w:after="0"/>
              <w:rPr>
                <w:sz w:val="20"/>
                <w:szCs w:val="20"/>
                <w:color w:val="auto"/>
              </w:rPr>
            </w:pPr>
            <w:r>
              <w:rPr>
                <w:rFonts w:ascii="Arial" w:cs="Arial" w:eastAsia="Arial" w:hAnsi="Arial"/>
                <w:sz w:val="17"/>
                <w:szCs w:val="17"/>
                <w:color w:val="auto"/>
              </w:rPr>
              <w:t>Per common share: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3280" w:type="dxa"/>
            <w:vAlign w:val="bottom"/>
            <w:shd w:val="clear" w:color="auto" w:fill="F0FFFF"/>
          </w:tcPr>
          <w:p>
            <w:pPr>
              <w:ind w:left="180"/>
              <w:spacing w:after="0"/>
              <w:rPr>
                <w:sz w:val="20"/>
                <w:szCs w:val="20"/>
                <w:color w:val="auto"/>
              </w:rPr>
            </w:pPr>
            <w:r>
              <w:rPr>
                <w:rFonts w:ascii="Arial" w:cs="Arial" w:eastAsia="Arial" w:hAnsi="Arial"/>
                <w:sz w:val="17"/>
                <w:szCs w:val="17"/>
                <w:color w:val="auto"/>
              </w:rPr>
              <w:t>Diluted income</w:t>
            </w:r>
          </w:p>
        </w:tc>
        <w:tc>
          <w:tcPr>
            <w:tcW w:w="18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.29</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.30</w:t>
            </w:r>
          </w:p>
        </w:tc>
        <w:tc>
          <w:tcPr>
            <w:tcW w:w="18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.29</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.27</w:t>
            </w:r>
          </w:p>
        </w:tc>
        <w:tc>
          <w:tcPr>
            <w:tcW w:w="260" w:type="dxa"/>
            <w:vAlign w:val="bottom"/>
            <w:tcBorders>
              <w:right w:val="single" w:sz="8" w:color="F0FFFF"/>
            </w:tcBorders>
            <w:shd w:val="clear" w:color="auto" w:fill="F0FFFF"/>
          </w:tcPr>
          <w:p>
            <w:pPr>
              <w:spacing w:after="0"/>
              <w:rPr>
                <w:sz w:val="17"/>
                <w:szCs w:val="17"/>
                <w:color w:val="auto"/>
              </w:rPr>
            </w:pP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.25</w:t>
            </w:r>
          </w:p>
        </w:tc>
        <w:tc>
          <w:tcPr>
            <w:tcW w:w="260" w:type="dxa"/>
            <w:vAlign w:val="bottom"/>
            <w:shd w:val="clear" w:color="auto" w:fill="F0FFFF"/>
          </w:tcPr>
          <w:p>
            <w:pPr>
              <w:spacing w:after="0"/>
              <w:rPr>
                <w:sz w:val="17"/>
                <w:szCs w:val="17"/>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16</w:t>
            </w:r>
          </w:p>
        </w:tc>
      </w:tr>
      <w:tr>
        <w:trPr>
          <w:trHeight w:val="205"/>
        </w:trPr>
        <w:tc>
          <w:tcPr>
            <w:tcW w:w="3280" w:type="dxa"/>
            <w:vAlign w:val="bottom"/>
          </w:tcPr>
          <w:p>
            <w:pPr>
              <w:ind w:left="180"/>
              <w:spacing w:after="0"/>
              <w:rPr>
                <w:sz w:val="20"/>
                <w:szCs w:val="20"/>
                <w:color w:val="auto"/>
              </w:rPr>
            </w:pPr>
            <w:r>
              <w:rPr>
                <w:rFonts w:ascii="Arial" w:cs="Arial" w:eastAsia="Arial" w:hAnsi="Arial"/>
                <w:sz w:val="17"/>
                <w:szCs w:val="17"/>
                <w:color w:val="auto"/>
              </w:rPr>
              <w:t>Cash dividends declared</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.05</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.05</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.03</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3280" w:type="dxa"/>
            <w:vAlign w:val="bottom"/>
            <w:shd w:val="clear" w:color="auto" w:fill="F0FFFF"/>
          </w:tcPr>
          <w:p>
            <w:pPr>
              <w:ind w:left="180"/>
              <w:spacing w:after="0"/>
              <w:rPr>
                <w:sz w:val="20"/>
                <w:szCs w:val="20"/>
                <w:color w:val="auto"/>
              </w:rPr>
            </w:pPr>
            <w:r>
              <w:rPr>
                <w:rFonts w:ascii="Arial" w:cs="Arial" w:eastAsia="Arial" w:hAnsi="Arial"/>
                <w:sz w:val="17"/>
                <w:szCs w:val="17"/>
                <w:color w:val="auto"/>
              </w:rPr>
              <w:t>Book value</w:t>
            </w:r>
          </w:p>
        </w:tc>
        <w:tc>
          <w:tcPr>
            <w:tcW w:w="18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12.58</w:t>
            </w:r>
          </w:p>
        </w:tc>
        <w:tc>
          <w:tcPr>
            <w:tcW w:w="16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12.20</w:t>
            </w: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12.15</w:t>
            </w: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11.94</w:t>
            </w:r>
          </w:p>
        </w:tc>
        <w:tc>
          <w:tcPr>
            <w:tcW w:w="16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11.66</w:t>
            </w: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8</w:t>
            </w:r>
          </w:p>
        </w:tc>
      </w:tr>
      <w:tr>
        <w:trPr>
          <w:trHeight w:val="205"/>
        </w:trPr>
        <w:tc>
          <w:tcPr>
            <w:tcW w:w="3280" w:type="dxa"/>
            <w:vAlign w:val="bottom"/>
          </w:tcPr>
          <w:p>
            <w:pPr>
              <w:ind w:left="180"/>
              <w:spacing w:after="0"/>
              <w:rPr>
                <w:sz w:val="20"/>
                <w:szCs w:val="20"/>
                <w:color w:val="auto"/>
              </w:rPr>
            </w:pPr>
            <w:r>
              <w:rPr>
                <w:rFonts w:ascii="Arial" w:cs="Arial" w:eastAsia="Arial" w:hAnsi="Arial"/>
                <w:sz w:val="17"/>
                <w:szCs w:val="17"/>
                <w:color w:val="auto"/>
              </w:rPr>
              <w:t xml:space="preserve">Tangible book value </w:t>
            </w:r>
            <w:r>
              <w:rPr>
                <w:rFonts w:ascii="Arial" w:cs="Arial" w:eastAsia="Arial" w:hAnsi="Arial"/>
                <w:sz w:val="17"/>
                <w:szCs w:val="17"/>
                <w:color w:val="auto"/>
                <w:vertAlign w:val="superscript"/>
              </w:rPr>
              <w:t>(2)</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12.53</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12.15</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12.10</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11.91</w:t>
            </w:r>
          </w:p>
        </w:tc>
        <w:tc>
          <w:tcPr>
            <w:tcW w:w="16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11.63</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8</w:t>
            </w:r>
          </w:p>
        </w:tc>
      </w:tr>
      <w:tr>
        <w:trPr>
          <w:trHeight w:val="205"/>
        </w:trPr>
        <w:tc>
          <w:tcPr>
            <w:tcW w:w="32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4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3280" w:type="dxa"/>
            <w:vAlign w:val="bottom"/>
          </w:tcPr>
          <w:p>
            <w:pPr>
              <w:ind w:left="80"/>
              <w:spacing w:after="0"/>
              <w:rPr>
                <w:sz w:val="20"/>
                <w:szCs w:val="20"/>
                <w:color w:val="auto"/>
              </w:rPr>
            </w:pPr>
            <w:r>
              <w:rPr>
                <w:rFonts w:ascii="Arial" w:cs="Arial" w:eastAsia="Arial" w:hAnsi="Arial"/>
                <w:sz w:val="17"/>
                <w:szCs w:val="17"/>
                <w:color w:val="auto"/>
              </w:rPr>
              <w:t>Key performance ratios: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3280" w:type="dxa"/>
            <w:vAlign w:val="bottom"/>
            <w:shd w:val="clear" w:color="auto" w:fill="F0FFFF"/>
          </w:tcPr>
          <w:p>
            <w:pPr>
              <w:ind w:left="180"/>
              <w:spacing w:after="0"/>
              <w:rPr>
                <w:sz w:val="20"/>
                <w:szCs w:val="20"/>
                <w:color w:val="auto"/>
              </w:rPr>
            </w:pPr>
            <w:r>
              <w:rPr>
                <w:rFonts w:ascii="Arial" w:cs="Arial" w:eastAsia="Arial" w:hAnsi="Arial"/>
                <w:sz w:val="17"/>
                <w:szCs w:val="17"/>
                <w:color w:val="auto"/>
              </w:rPr>
              <w:t xml:space="preserve">Return on common equity </w:t>
            </w:r>
            <w:r>
              <w:rPr>
                <w:rFonts w:ascii="Arial" w:cs="Arial" w:eastAsia="Arial" w:hAnsi="Arial"/>
                <w:sz w:val="17"/>
                <w:szCs w:val="17"/>
                <w:color w:val="auto"/>
                <w:vertAlign w:val="superscript"/>
              </w:rPr>
              <w:t>(1)(3)</w:t>
            </w:r>
          </w:p>
        </w:tc>
        <w:tc>
          <w:tcPr>
            <w:tcW w:w="18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9.34%</w:t>
            </w:r>
          </w:p>
        </w:tc>
        <w:tc>
          <w:tcPr>
            <w:tcW w:w="16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9.60%</w:t>
            </w: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9.41%</w:t>
            </w: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8.99%</w:t>
            </w:r>
          </w:p>
        </w:tc>
        <w:tc>
          <w:tcPr>
            <w:tcW w:w="16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8.64%</w:t>
            </w: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3280" w:type="dxa"/>
            <w:vAlign w:val="bottom"/>
          </w:tcPr>
          <w:p>
            <w:pPr>
              <w:ind w:left="180"/>
              <w:spacing w:after="0"/>
              <w:rPr>
                <w:sz w:val="20"/>
                <w:szCs w:val="20"/>
                <w:color w:val="auto"/>
              </w:rPr>
            </w:pPr>
            <w:r>
              <w:rPr>
                <w:rFonts w:ascii="Arial" w:cs="Arial" w:eastAsia="Arial" w:hAnsi="Arial"/>
                <w:sz w:val="17"/>
                <w:szCs w:val="17"/>
                <w:color w:val="auto"/>
              </w:rPr>
              <w:t xml:space="preserve">Return on assets </w:t>
            </w:r>
            <w:r>
              <w:rPr>
                <w:rFonts w:ascii="Arial" w:cs="Arial" w:eastAsia="Arial" w:hAnsi="Arial"/>
                <w:sz w:val="17"/>
                <w:szCs w:val="17"/>
                <w:color w:val="auto"/>
                <w:vertAlign w:val="superscript"/>
              </w:rPr>
              <w:t>(3)</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.94</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.96</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.95</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.85</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3280" w:type="dxa"/>
            <w:vAlign w:val="bottom"/>
            <w:shd w:val="clear" w:color="auto" w:fill="F0FFFF"/>
          </w:tcPr>
          <w:p>
            <w:pPr>
              <w:ind w:left="180"/>
              <w:spacing w:after="0"/>
              <w:rPr>
                <w:sz w:val="20"/>
                <w:szCs w:val="20"/>
                <w:color w:val="auto"/>
              </w:rPr>
            </w:pPr>
            <w:r>
              <w:rPr>
                <w:rFonts w:ascii="Arial" w:cs="Arial" w:eastAsia="Arial" w:hAnsi="Arial"/>
                <w:sz w:val="17"/>
                <w:szCs w:val="17"/>
                <w:color w:val="auto"/>
              </w:rPr>
              <w:t>Dividend payout ratio</w:t>
            </w:r>
          </w:p>
        </w:tc>
        <w:tc>
          <w:tcPr>
            <w:tcW w:w="18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17.24</w:t>
            </w:r>
          </w:p>
        </w:tc>
        <w:tc>
          <w:tcPr>
            <w:tcW w:w="16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16.67</w:t>
            </w: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10.34</w:t>
            </w: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11.11</w:t>
            </w:r>
          </w:p>
        </w:tc>
        <w:tc>
          <w:tcPr>
            <w:tcW w:w="16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3280" w:type="dxa"/>
            <w:vAlign w:val="bottom"/>
          </w:tcPr>
          <w:p>
            <w:pPr>
              <w:ind w:left="180"/>
              <w:spacing w:after="0"/>
              <w:rPr>
                <w:sz w:val="20"/>
                <w:szCs w:val="20"/>
                <w:color w:val="auto"/>
              </w:rPr>
            </w:pPr>
            <w:r>
              <w:rPr>
                <w:rFonts w:ascii="Arial" w:cs="Arial" w:eastAsia="Arial" w:hAnsi="Arial"/>
                <w:sz w:val="17"/>
                <w:szCs w:val="17"/>
                <w:color w:val="auto"/>
              </w:rPr>
              <w:t xml:space="preserve">Net interest margin </w:t>
            </w:r>
            <w:r>
              <w:rPr>
                <w:rFonts w:ascii="Arial" w:cs="Arial" w:eastAsia="Arial" w:hAnsi="Arial"/>
                <w:sz w:val="17"/>
                <w:szCs w:val="17"/>
                <w:color w:val="auto"/>
                <w:vertAlign w:val="superscript"/>
              </w:rPr>
              <w:t>(3)</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3.31</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3.31</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3.32</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3.21</w:t>
            </w:r>
          </w:p>
        </w:tc>
        <w:tc>
          <w:tcPr>
            <w:tcW w:w="16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3.21</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3280" w:type="dxa"/>
            <w:vAlign w:val="bottom"/>
            <w:shd w:val="clear" w:color="auto" w:fill="F0FFFF"/>
          </w:tcPr>
          <w:p>
            <w:pPr>
              <w:ind w:left="180"/>
              <w:spacing w:after="0"/>
              <w:rPr>
                <w:sz w:val="20"/>
                <w:szCs w:val="20"/>
                <w:color w:val="auto"/>
              </w:rPr>
            </w:pPr>
            <w:r>
              <w:rPr>
                <w:rFonts w:ascii="Arial" w:cs="Arial" w:eastAsia="Arial" w:hAnsi="Arial"/>
                <w:sz w:val="17"/>
                <w:szCs w:val="17"/>
                <w:color w:val="auto"/>
              </w:rPr>
              <w:t>Efficiency ratio</w:t>
            </w:r>
          </w:p>
        </w:tc>
        <w:tc>
          <w:tcPr>
            <w:tcW w:w="18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59.15</w:t>
            </w:r>
          </w:p>
        </w:tc>
        <w:tc>
          <w:tcPr>
            <w:tcW w:w="16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57.47</w:t>
            </w: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57.96</w:t>
            </w: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58.65</w:t>
            </w:r>
          </w:p>
        </w:tc>
        <w:tc>
          <w:tcPr>
            <w:tcW w:w="260" w:type="dxa"/>
            <w:vAlign w:val="bottom"/>
            <w:tcBorders>
              <w:right w:val="single" w:sz="8" w:color="F0FFFF"/>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59.05</w:t>
            </w:r>
          </w:p>
        </w:tc>
        <w:tc>
          <w:tcPr>
            <w:tcW w:w="26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3280" w:type="dxa"/>
            <w:vAlign w:val="bottom"/>
          </w:tcPr>
          <w:p>
            <w:pPr>
              <w:ind w:left="160"/>
              <w:spacing w:after="0"/>
              <w:rPr>
                <w:sz w:val="20"/>
                <w:szCs w:val="20"/>
                <w:color w:val="auto"/>
              </w:rPr>
            </w:pPr>
            <w:r>
              <w:rPr>
                <w:rFonts w:ascii="Arial" w:cs="Arial" w:eastAsia="Arial" w:hAnsi="Arial"/>
                <w:sz w:val="17"/>
                <w:szCs w:val="17"/>
                <w:color w:val="auto"/>
              </w:rPr>
              <w:t>Average equity to average assets</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9.86</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9.76</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9.85</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9.61</w:t>
            </w:r>
          </w:p>
        </w:tc>
        <w:tc>
          <w:tcPr>
            <w:tcW w:w="16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9.52</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3280" w:type="dxa"/>
            <w:vAlign w:val="bottom"/>
            <w:shd w:val="clear" w:color="auto" w:fill="F0FFFF"/>
          </w:tcPr>
          <w:p>
            <w:pPr>
              <w:ind w:left="160"/>
              <w:spacing w:after="0"/>
              <w:rPr>
                <w:sz w:val="20"/>
                <w:szCs w:val="20"/>
                <w:color w:val="auto"/>
              </w:rPr>
            </w:pPr>
            <w:r>
              <w:rPr>
                <w:rFonts w:ascii="Arial" w:cs="Arial" w:eastAsia="Arial" w:hAnsi="Arial"/>
                <w:sz w:val="17"/>
                <w:szCs w:val="17"/>
                <w:color w:val="auto"/>
                <w:w w:val="92"/>
              </w:rPr>
              <w:t xml:space="preserve">Average tangible equity to average assets </w:t>
            </w:r>
            <w:r>
              <w:rPr>
                <w:rFonts w:ascii="Arial" w:cs="Arial" w:eastAsia="Arial" w:hAnsi="Arial"/>
                <w:sz w:val="17"/>
                <w:szCs w:val="17"/>
                <w:color w:val="auto"/>
                <w:w w:val="92"/>
                <w:vertAlign w:val="superscript"/>
              </w:rPr>
              <w:t>(2)</w:t>
            </w:r>
          </w:p>
        </w:tc>
        <w:tc>
          <w:tcPr>
            <w:tcW w:w="18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9.82</w:t>
            </w:r>
          </w:p>
        </w:tc>
        <w:tc>
          <w:tcPr>
            <w:tcW w:w="16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9.72</w:t>
            </w: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9.83</w:t>
            </w: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9.58</w:t>
            </w:r>
          </w:p>
        </w:tc>
        <w:tc>
          <w:tcPr>
            <w:tcW w:w="16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9.50</w:t>
            </w: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193"/>
        </w:trPr>
        <w:tc>
          <w:tcPr>
            <w:tcW w:w="3280" w:type="dxa"/>
            <w:vAlign w:val="bottom"/>
          </w:tcPr>
          <w:p>
            <w:pPr>
              <w:ind w:left="160"/>
              <w:spacing w:after="0" w:line="193" w:lineRule="exact"/>
              <w:rPr>
                <w:sz w:val="20"/>
                <w:szCs w:val="20"/>
                <w:color w:val="auto"/>
              </w:rPr>
            </w:pPr>
            <w:r>
              <w:rPr>
                <w:rFonts w:ascii="Arial" w:cs="Arial" w:eastAsia="Arial" w:hAnsi="Arial"/>
                <w:sz w:val="17"/>
                <w:szCs w:val="17"/>
                <w:color w:val="auto"/>
              </w:rPr>
              <w:t>Average tangible common equity to</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8"/>
        </w:trPr>
        <w:tc>
          <w:tcPr>
            <w:tcW w:w="3280" w:type="dxa"/>
            <w:vAlign w:val="bottom"/>
          </w:tcPr>
          <w:p>
            <w:pPr>
              <w:ind w:left="320"/>
              <w:spacing w:after="0"/>
              <w:rPr>
                <w:sz w:val="20"/>
                <w:szCs w:val="20"/>
                <w:color w:val="auto"/>
              </w:rPr>
            </w:pPr>
            <w:r>
              <w:rPr>
                <w:rFonts w:ascii="Arial" w:cs="Arial" w:eastAsia="Arial" w:hAnsi="Arial"/>
                <w:sz w:val="17"/>
                <w:szCs w:val="17"/>
                <w:color w:val="auto"/>
              </w:rPr>
              <w:t xml:space="preserve">average assets </w:t>
            </w:r>
            <w:r>
              <w:rPr>
                <w:rFonts w:ascii="Arial" w:cs="Arial" w:eastAsia="Arial" w:hAnsi="Arial"/>
                <w:sz w:val="17"/>
                <w:szCs w:val="17"/>
                <w:color w:val="auto"/>
                <w:vertAlign w:val="superscript"/>
              </w:rPr>
              <w:t>(2)</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9.82</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9.72</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9.83</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9.58</w:t>
            </w: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9.22</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3"/>
        </w:trPr>
        <w:tc>
          <w:tcPr>
            <w:tcW w:w="3280" w:type="dxa"/>
            <w:vAlign w:val="bottom"/>
            <w:shd w:val="clear" w:color="auto" w:fill="F0FFFF"/>
          </w:tcPr>
          <w:p>
            <w:pPr>
              <w:ind w:left="180"/>
              <w:spacing w:after="0" w:line="193" w:lineRule="exact"/>
              <w:rPr>
                <w:sz w:val="20"/>
                <w:szCs w:val="20"/>
                <w:color w:val="auto"/>
              </w:rPr>
            </w:pPr>
            <w:r>
              <w:rPr>
                <w:rFonts w:ascii="Arial" w:cs="Arial" w:eastAsia="Arial" w:hAnsi="Arial"/>
                <w:sz w:val="17"/>
                <w:szCs w:val="17"/>
                <w:color w:val="auto"/>
                <w:w w:val="99"/>
              </w:rPr>
              <w:t>Tangible common equity to risk-weighted</w:t>
            </w:r>
          </w:p>
        </w:tc>
        <w:tc>
          <w:tcPr>
            <w:tcW w:w="18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960" w:type="dxa"/>
            <w:vAlign w:val="bottom"/>
            <w:shd w:val="clear" w:color="auto" w:fill="F0FFFF"/>
          </w:tcPr>
          <w:p>
            <w:pPr>
              <w:spacing w:after="0"/>
              <w:rPr>
                <w:sz w:val="16"/>
                <w:szCs w:val="16"/>
                <w:color w:val="auto"/>
              </w:rPr>
            </w:pPr>
          </w:p>
        </w:tc>
        <w:tc>
          <w:tcPr>
            <w:tcW w:w="240" w:type="dxa"/>
            <w:vAlign w:val="bottom"/>
            <w:tcBorders>
              <w:right w:val="single" w:sz="8" w:color="F0FFFF"/>
            </w:tcBorders>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260" w:type="dxa"/>
            <w:vAlign w:val="bottom"/>
            <w:tcBorders>
              <w:right w:val="single" w:sz="8" w:color="F0FFFF"/>
            </w:tcBorders>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260" w:type="dxa"/>
            <w:vAlign w:val="bottom"/>
            <w:tcBorders>
              <w:right w:val="single" w:sz="8" w:color="F0FFFF"/>
            </w:tcBorders>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114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r>
      <w:tr>
        <w:trPr>
          <w:trHeight w:val="218"/>
        </w:trPr>
        <w:tc>
          <w:tcPr>
            <w:tcW w:w="3280" w:type="dxa"/>
            <w:vAlign w:val="bottom"/>
            <w:shd w:val="clear" w:color="auto" w:fill="F0FFFF"/>
          </w:tcPr>
          <w:p>
            <w:pPr>
              <w:ind w:left="320"/>
              <w:spacing w:after="0" w:line="217" w:lineRule="exact"/>
              <w:rPr>
                <w:sz w:val="20"/>
                <w:szCs w:val="20"/>
                <w:color w:val="auto"/>
              </w:rPr>
            </w:pPr>
            <w:r>
              <w:rPr>
                <w:rFonts w:ascii="Arial" w:cs="Arial" w:eastAsia="Arial" w:hAnsi="Arial"/>
                <w:sz w:val="25"/>
                <w:szCs w:val="25"/>
                <w:color w:val="auto"/>
                <w:vertAlign w:val="subscript"/>
              </w:rPr>
              <w:t>assets</w:t>
            </w:r>
            <w:r>
              <w:rPr>
                <w:rFonts w:ascii="Arial" w:cs="Arial" w:eastAsia="Arial" w:hAnsi="Arial"/>
                <w:sz w:val="8"/>
                <w:szCs w:val="8"/>
                <w:color w:val="auto"/>
              </w:rPr>
              <w:t xml:space="preserve"> (2)(4)</w:t>
            </w: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13.53</w:t>
            </w:r>
          </w:p>
        </w:tc>
        <w:tc>
          <w:tcPr>
            <w:tcW w:w="160" w:type="dxa"/>
            <w:vAlign w:val="bottom"/>
            <w:shd w:val="clear" w:color="auto" w:fill="F0FFFF"/>
          </w:tcPr>
          <w:p>
            <w:pPr>
              <w:spacing w:after="0"/>
              <w:rPr>
                <w:sz w:val="18"/>
                <w:szCs w:val="18"/>
                <w:color w:val="auto"/>
              </w:rPr>
            </w:pPr>
          </w:p>
        </w:tc>
        <w:tc>
          <w:tcPr>
            <w:tcW w:w="12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13.82</w:t>
            </w:r>
          </w:p>
        </w:tc>
        <w:tc>
          <w:tcPr>
            <w:tcW w:w="180" w:type="dxa"/>
            <w:vAlign w:val="bottom"/>
            <w:shd w:val="clear" w:color="auto" w:fill="F0FFFF"/>
          </w:tcPr>
          <w:p>
            <w:pPr>
              <w:spacing w:after="0"/>
              <w:rPr>
                <w:sz w:val="18"/>
                <w:szCs w:val="18"/>
                <w:color w:val="auto"/>
              </w:rPr>
            </w:pP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14.10</w:t>
            </w: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13.92</w:t>
            </w:r>
          </w:p>
        </w:tc>
        <w:tc>
          <w:tcPr>
            <w:tcW w:w="260" w:type="dxa"/>
            <w:vAlign w:val="bottom"/>
            <w:tcBorders>
              <w:right w:val="single" w:sz="8" w:color="F0FFFF"/>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13.63</w:t>
            </w:r>
          </w:p>
        </w:tc>
        <w:tc>
          <w:tcPr>
            <w:tcW w:w="26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r>
      <w:tr>
        <w:trPr>
          <w:trHeight w:val="205"/>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3280" w:type="dxa"/>
            <w:vAlign w:val="bottom"/>
            <w:shd w:val="clear" w:color="auto" w:fill="F0FFFF"/>
          </w:tcPr>
          <w:p>
            <w:pPr>
              <w:spacing w:after="0"/>
              <w:rPr>
                <w:sz w:val="20"/>
                <w:szCs w:val="20"/>
                <w:color w:val="auto"/>
              </w:rPr>
            </w:pPr>
            <w:r>
              <w:rPr>
                <w:rFonts w:ascii="Arial" w:cs="Arial" w:eastAsia="Arial" w:hAnsi="Arial"/>
                <w:sz w:val="17"/>
                <w:szCs w:val="17"/>
                <w:b w:val="1"/>
                <w:bCs w:val="1"/>
                <w:color w:val="auto"/>
              </w:rPr>
              <w:t>ASSET QUALITY</w:t>
            </w: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4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3280" w:type="dxa"/>
            <w:vAlign w:val="bottom"/>
          </w:tcPr>
          <w:p>
            <w:pPr>
              <w:ind w:left="80"/>
              <w:spacing w:after="0"/>
              <w:rPr>
                <w:sz w:val="20"/>
                <w:szCs w:val="20"/>
                <w:color w:val="auto"/>
              </w:rPr>
            </w:pPr>
            <w:r>
              <w:rPr>
                <w:rFonts w:ascii="Arial" w:cs="Arial" w:eastAsia="Arial" w:hAnsi="Arial"/>
                <w:sz w:val="17"/>
                <w:szCs w:val="17"/>
                <w:color w:val="auto"/>
              </w:rPr>
              <w:t>Nonperforming loans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19,015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17,881</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18,745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20,724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25,250</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(25)</w:t>
            </w:r>
          </w:p>
        </w:tc>
      </w:tr>
      <w:tr>
        <w:trPr>
          <w:trHeight w:val="205"/>
        </w:trPr>
        <w:tc>
          <w:tcPr>
            <w:tcW w:w="3280" w:type="dxa"/>
            <w:vAlign w:val="bottom"/>
            <w:shd w:val="clear" w:color="auto" w:fill="F0FFFF"/>
          </w:tcPr>
          <w:p>
            <w:pPr>
              <w:ind w:left="80"/>
              <w:spacing w:after="0"/>
              <w:rPr>
                <w:sz w:val="20"/>
                <w:szCs w:val="20"/>
                <w:color w:val="auto"/>
              </w:rPr>
            </w:pPr>
            <w:r>
              <w:rPr>
                <w:rFonts w:ascii="Arial" w:cs="Arial" w:eastAsia="Arial" w:hAnsi="Arial"/>
                <w:sz w:val="17"/>
                <w:szCs w:val="17"/>
                <w:color w:val="auto"/>
              </w:rPr>
              <w:t>Foreclosed properties</w:t>
            </w: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1,158</w:t>
            </w:r>
          </w:p>
        </w:tc>
        <w:tc>
          <w:tcPr>
            <w:tcW w:w="2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1,726</w:t>
            </w:r>
          </w:p>
        </w:tc>
        <w:tc>
          <w:tcPr>
            <w:tcW w:w="24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3,146</w:t>
            </w: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2,969</w:t>
            </w:r>
          </w:p>
        </w:tc>
        <w:tc>
          <w:tcPr>
            <w:tcW w:w="260" w:type="dxa"/>
            <w:vAlign w:val="bottom"/>
            <w:tcBorders>
              <w:right w:val="single" w:sz="8" w:color="F0FFFF"/>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5,594</w:t>
            </w:r>
          </w:p>
        </w:tc>
        <w:tc>
          <w:tcPr>
            <w:tcW w:w="260" w:type="dxa"/>
            <w:vAlign w:val="bottom"/>
            <w:shd w:val="clear" w:color="auto" w:fill="F0FFFF"/>
          </w:tcPr>
          <w:p>
            <w:pPr>
              <w:spacing w:after="0"/>
              <w:rPr>
                <w:sz w:val="17"/>
                <w:szCs w:val="17"/>
                <w:color w:val="auto"/>
              </w:rPr>
            </w:pPr>
          </w:p>
        </w:tc>
        <w:tc>
          <w:tcPr>
            <w:tcW w:w="12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(79)</w:t>
            </w:r>
          </w:p>
        </w:tc>
      </w:tr>
      <w:tr>
        <w:trPr>
          <w:trHeight w:val="26"/>
        </w:trPr>
        <w:tc>
          <w:tcPr>
            <w:tcW w:w="32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14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r>
      <w:tr>
        <w:trPr>
          <w:trHeight w:val="205"/>
        </w:trPr>
        <w:tc>
          <w:tcPr>
            <w:tcW w:w="3280" w:type="dxa"/>
            <w:vAlign w:val="bottom"/>
          </w:tcPr>
          <w:p>
            <w:pPr>
              <w:ind w:left="180"/>
              <w:spacing w:after="0"/>
              <w:rPr>
                <w:sz w:val="20"/>
                <w:szCs w:val="20"/>
                <w:color w:val="auto"/>
              </w:rPr>
            </w:pPr>
            <w:r>
              <w:rPr>
                <w:rFonts w:ascii="Arial" w:cs="Arial" w:eastAsia="Arial" w:hAnsi="Arial"/>
                <w:sz w:val="17"/>
                <w:szCs w:val="17"/>
                <w:color w:val="auto"/>
              </w:rPr>
              <w:t>Total nonperforming assets (NPAs)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20,173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19,607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21,891</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23,693</w:t>
            </w:r>
          </w:p>
        </w:tc>
        <w:tc>
          <w:tcPr>
            <w:tcW w:w="16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30,844</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(35)</w:t>
            </w:r>
          </w:p>
        </w:tc>
      </w:tr>
      <w:tr>
        <w:trPr>
          <w:trHeight w:val="205"/>
        </w:trPr>
        <w:tc>
          <w:tcPr>
            <w:tcW w:w="3280" w:type="dxa"/>
            <w:vAlign w:val="bottom"/>
            <w:shd w:val="clear" w:color="auto" w:fill="F0FFFF"/>
          </w:tcPr>
          <w:p>
            <w:pPr>
              <w:ind w:left="80"/>
              <w:spacing w:after="0"/>
              <w:rPr>
                <w:sz w:val="20"/>
                <w:szCs w:val="20"/>
                <w:color w:val="auto"/>
              </w:rPr>
            </w:pPr>
            <w:r>
              <w:rPr>
                <w:rFonts w:ascii="Arial" w:cs="Arial" w:eastAsia="Arial" w:hAnsi="Arial"/>
                <w:sz w:val="17"/>
                <w:szCs w:val="17"/>
                <w:color w:val="auto"/>
              </w:rPr>
              <w:t>Allowance for loan losses</w:t>
            </w:r>
          </w:p>
        </w:tc>
        <w:tc>
          <w:tcPr>
            <w:tcW w:w="18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70,007</w:t>
            </w:r>
          </w:p>
        </w:tc>
        <w:tc>
          <w:tcPr>
            <w:tcW w:w="16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71,619</w:t>
            </w: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71,928</w:t>
            </w: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73,248</w:t>
            </w:r>
          </w:p>
        </w:tc>
        <w:tc>
          <w:tcPr>
            <w:tcW w:w="16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75,223</w:t>
            </w: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3280" w:type="dxa"/>
            <w:vAlign w:val="bottom"/>
          </w:tcPr>
          <w:p>
            <w:pPr>
              <w:ind w:left="80"/>
              <w:spacing w:after="0"/>
              <w:rPr>
                <w:sz w:val="20"/>
                <w:szCs w:val="20"/>
                <w:color w:val="auto"/>
              </w:rPr>
            </w:pPr>
            <w:r>
              <w:rPr>
                <w:rFonts w:ascii="Arial" w:cs="Arial" w:eastAsia="Arial" w:hAnsi="Arial"/>
                <w:sz w:val="17"/>
                <w:szCs w:val="17"/>
                <w:color w:val="auto"/>
              </w:rPr>
              <w:t>Net charge-offs</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2,562</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2,509</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3,155</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4,175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4,039</w:t>
            </w:r>
          </w:p>
        </w:tc>
        <w:tc>
          <w:tcPr>
            <w:tcW w:w="26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(37)</w:t>
            </w:r>
          </w:p>
        </w:tc>
      </w:tr>
      <w:tr>
        <w:trPr>
          <w:trHeight w:val="205"/>
        </w:trPr>
        <w:tc>
          <w:tcPr>
            <w:tcW w:w="3280" w:type="dxa"/>
            <w:vAlign w:val="bottom"/>
            <w:shd w:val="clear" w:color="auto" w:fill="F0FFFF"/>
          </w:tcPr>
          <w:p>
            <w:pPr>
              <w:ind w:left="80"/>
              <w:spacing w:after="0"/>
              <w:rPr>
                <w:sz w:val="20"/>
                <w:szCs w:val="20"/>
                <w:color w:val="auto"/>
              </w:rPr>
            </w:pPr>
            <w:r>
              <w:rPr>
                <w:rFonts w:ascii="Arial" w:cs="Arial" w:eastAsia="Arial" w:hAnsi="Arial"/>
                <w:sz w:val="17"/>
                <w:szCs w:val="17"/>
                <w:color w:val="auto"/>
              </w:rPr>
              <w:t>Allowance for loan losses to loans</w:t>
            </w:r>
          </w:p>
        </w:tc>
        <w:tc>
          <w:tcPr>
            <w:tcW w:w="18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1.46%</w:t>
            </w:r>
          </w:p>
        </w:tc>
        <w:tc>
          <w:tcPr>
            <w:tcW w:w="16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1.53%</w:t>
            </w: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1.57%</w:t>
            </w: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1.66%</w:t>
            </w:r>
          </w:p>
        </w:tc>
        <w:tc>
          <w:tcPr>
            <w:tcW w:w="16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1.73%</w:t>
            </w: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3280" w:type="dxa"/>
            <w:vAlign w:val="bottom"/>
          </w:tcPr>
          <w:p>
            <w:pPr>
              <w:ind w:left="80"/>
              <w:spacing w:after="0"/>
              <w:rPr>
                <w:sz w:val="20"/>
                <w:szCs w:val="20"/>
                <w:color w:val="auto"/>
              </w:rPr>
            </w:pPr>
            <w:r>
              <w:rPr>
                <w:rFonts w:ascii="Arial" w:cs="Arial" w:eastAsia="Arial" w:hAnsi="Arial"/>
                <w:sz w:val="17"/>
                <w:szCs w:val="17"/>
                <w:color w:val="auto"/>
              </w:rPr>
              <w:t xml:space="preserve">Net charge-offs to average loans </w:t>
            </w:r>
            <w:r>
              <w:rPr>
                <w:rFonts w:ascii="Arial" w:cs="Arial" w:eastAsia="Arial" w:hAnsi="Arial"/>
                <w:sz w:val="17"/>
                <w:szCs w:val="17"/>
                <w:color w:val="auto"/>
                <w:vertAlign w:val="superscript"/>
              </w:rPr>
              <w:t>(3)</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.22</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.22</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.28</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.38</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3280" w:type="dxa"/>
            <w:vAlign w:val="bottom"/>
            <w:shd w:val="clear" w:color="auto" w:fill="F0FFFF"/>
          </w:tcPr>
          <w:p>
            <w:pPr>
              <w:ind w:left="80"/>
              <w:spacing w:after="0"/>
              <w:rPr>
                <w:sz w:val="20"/>
                <w:szCs w:val="20"/>
                <w:color w:val="auto"/>
              </w:rPr>
            </w:pPr>
            <w:r>
              <w:rPr>
                <w:rFonts w:ascii="Arial" w:cs="Arial" w:eastAsia="Arial" w:hAnsi="Arial"/>
                <w:sz w:val="17"/>
                <w:szCs w:val="17"/>
                <w:color w:val="auto"/>
              </w:rPr>
              <w:t>NPAs to loans and foreclosed properties</w:t>
            </w:r>
          </w:p>
        </w:tc>
        <w:tc>
          <w:tcPr>
            <w:tcW w:w="18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.42</w:t>
            </w:r>
          </w:p>
        </w:tc>
        <w:tc>
          <w:tcPr>
            <w:tcW w:w="16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.42</w:t>
            </w: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.48</w:t>
            </w: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.54</w:t>
            </w:r>
          </w:p>
        </w:tc>
        <w:tc>
          <w:tcPr>
            <w:tcW w:w="260" w:type="dxa"/>
            <w:vAlign w:val="bottom"/>
            <w:tcBorders>
              <w:right w:val="single" w:sz="8" w:color="F0FFFF"/>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.71</w:t>
            </w:r>
          </w:p>
        </w:tc>
        <w:tc>
          <w:tcPr>
            <w:tcW w:w="26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3280" w:type="dxa"/>
            <w:vAlign w:val="bottom"/>
          </w:tcPr>
          <w:p>
            <w:pPr>
              <w:ind w:left="80"/>
              <w:spacing w:after="0"/>
              <w:rPr>
                <w:sz w:val="20"/>
                <w:szCs w:val="20"/>
                <w:color w:val="auto"/>
              </w:rPr>
            </w:pPr>
            <w:r>
              <w:rPr>
                <w:rFonts w:ascii="Arial" w:cs="Arial" w:eastAsia="Arial" w:hAnsi="Arial"/>
                <w:sz w:val="17"/>
                <w:szCs w:val="17"/>
                <w:color w:val="auto"/>
              </w:rPr>
              <w:t>NPAs to total assets</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.26</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.26</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.29</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.42</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32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4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3280" w:type="dxa"/>
            <w:vAlign w:val="bottom"/>
          </w:tcPr>
          <w:p>
            <w:pPr>
              <w:spacing w:after="0"/>
              <w:rPr>
                <w:sz w:val="20"/>
                <w:szCs w:val="20"/>
                <w:color w:val="auto"/>
              </w:rPr>
            </w:pPr>
            <w:r>
              <w:rPr>
                <w:rFonts w:ascii="Arial" w:cs="Arial" w:eastAsia="Arial" w:hAnsi="Arial"/>
                <w:sz w:val="17"/>
                <w:szCs w:val="17"/>
                <w:b w:val="1"/>
                <w:bCs w:val="1"/>
                <w:color w:val="auto"/>
              </w:rPr>
              <w:t xml:space="preserve">AVERAGE BALANCES </w:t>
            </w:r>
            <w:r>
              <w:rPr>
                <w:rFonts w:ascii="Arial" w:cs="Arial" w:eastAsia="Arial" w:hAnsi="Arial"/>
                <w:sz w:val="17"/>
                <w:szCs w:val="17"/>
                <w:i w:val="1"/>
                <w:iCs w:val="1"/>
                <w:color w:val="auto"/>
              </w:rPr>
              <w:t>($ in millions)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3280" w:type="dxa"/>
            <w:vAlign w:val="bottom"/>
            <w:shd w:val="clear" w:color="auto" w:fill="F0FFFF"/>
          </w:tcPr>
          <w:p>
            <w:pPr>
              <w:ind w:left="80"/>
              <w:spacing w:after="0"/>
              <w:rPr>
                <w:sz w:val="20"/>
                <w:szCs w:val="20"/>
                <w:color w:val="auto"/>
              </w:rPr>
            </w:pPr>
            <w:r>
              <w:rPr>
                <w:rFonts w:ascii="Arial" w:cs="Arial" w:eastAsia="Arial" w:hAnsi="Arial"/>
                <w:sz w:val="17"/>
                <w:szCs w:val="17"/>
                <w:color w:val="auto"/>
              </w:rPr>
              <w:t>Loans</w:t>
            </w:r>
          </w:p>
        </w:tc>
        <w:tc>
          <w:tcPr>
            <w:tcW w:w="18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4,725</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4,621</w:t>
            </w:r>
          </w:p>
        </w:tc>
        <w:tc>
          <w:tcPr>
            <w:tcW w:w="18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4,446</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4,376</w:t>
            </w:r>
          </w:p>
        </w:tc>
        <w:tc>
          <w:tcPr>
            <w:tcW w:w="260" w:type="dxa"/>
            <w:vAlign w:val="bottom"/>
            <w:tcBorders>
              <w:right w:val="single" w:sz="8" w:color="F0FFFF"/>
            </w:tcBorders>
            <w:shd w:val="clear" w:color="auto" w:fill="F0FFFF"/>
          </w:tcPr>
          <w:p>
            <w:pPr>
              <w:spacing w:after="0"/>
              <w:rPr>
                <w:sz w:val="17"/>
                <w:szCs w:val="17"/>
                <w:color w:val="auto"/>
              </w:rPr>
            </w:pP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4,356</w:t>
            </w:r>
          </w:p>
        </w:tc>
        <w:tc>
          <w:tcPr>
            <w:tcW w:w="260" w:type="dxa"/>
            <w:vAlign w:val="bottom"/>
            <w:shd w:val="clear" w:color="auto" w:fill="F0FFFF"/>
          </w:tcPr>
          <w:p>
            <w:pPr>
              <w:spacing w:after="0"/>
              <w:rPr>
                <w:sz w:val="17"/>
                <w:szCs w:val="17"/>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8</w:t>
            </w:r>
          </w:p>
        </w:tc>
      </w:tr>
      <w:tr>
        <w:trPr>
          <w:trHeight w:val="205"/>
        </w:trPr>
        <w:tc>
          <w:tcPr>
            <w:tcW w:w="3280" w:type="dxa"/>
            <w:vAlign w:val="bottom"/>
          </w:tcPr>
          <w:p>
            <w:pPr>
              <w:ind w:left="80"/>
              <w:spacing w:after="0"/>
              <w:rPr>
                <w:sz w:val="20"/>
                <w:szCs w:val="20"/>
                <w:color w:val="auto"/>
              </w:rPr>
            </w:pPr>
            <w:r>
              <w:rPr>
                <w:rFonts w:ascii="Arial" w:cs="Arial" w:eastAsia="Arial" w:hAnsi="Arial"/>
                <w:sz w:val="17"/>
                <w:szCs w:val="17"/>
                <w:color w:val="auto"/>
              </w:rPr>
              <w:t>Investment securities</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2,203</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2,222</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2,231</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2,326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2,320</w:t>
            </w:r>
          </w:p>
        </w:tc>
        <w:tc>
          <w:tcPr>
            <w:tcW w:w="26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r>
      <w:tr>
        <w:trPr>
          <w:trHeight w:val="205"/>
        </w:trPr>
        <w:tc>
          <w:tcPr>
            <w:tcW w:w="3280" w:type="dxa"/>
            <w:vAlign w:val="bottom"/>
            <w:shd w:val="clear" w:color="auto" w:fill="F0FFFF"/>
          </w:tcPr>
          <w:p>
            <w:pPr>
              <w:ind w:left="80"/>
              <w:spacing w:after="0"/>
              <w:rPr>
                <w:sz w:val="20"/>
                <w:szCs w:val="20"/>
                <w:color w:val="auto"/>
              </w:rPr>
            </w:pPr>
            <w:r>
              <w:rPr>
                <w:rFonts w:ascii="Arial" w:cs="Arial" w:eastAsia="Arial" w:hAnsi="Arial"/>
                <w:sz w:val="17"/>
                <w:szCs w:val="17"/>
                <w:color w:val="auto"/>
              </w:rPr>
              <w:t>Earning assets</w:t>
            </w:r>
          </w:p>
        </w:tc>
        <w:tc>
          <w:tcPr>
            <w:tcW w:w="18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7,070</w:t>
            </w:r>
          </w:p>
        </w:tc>
        <w:tc>
          <w:tcPr>
            <w:tcW w:w="16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7,013</w:t>
            </w: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6,820</w:t>
            </w: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6,861</w:t>
            </w:r>
          </w:p>
        </w:tc>
        <w:tc>
          <w:tcPr>
            <w:tcW w:w="260" w:type="dxa"/>
            <w:vAlign w:val="bottom"/>
            <w:tcBorders>
              <w:right w:val="single" w:sz="8" w:color="F0FFFF"/>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6,827</w:t>
            </w:r>
          </w:p>
        </w:tc>
        <w:tc>
          <w:tcPr>
            <w:tcW w:w="260" w:type="dxa"/>
            <w:vAlign w:val="bottom"/>
            <w:shd w:val="clear" w:color="auto" w:fill="F0FFFF"/>
          </w:tcPr>
          <w:p>
            <w:pPr>
              <w:spacing w:after="0"/>
              <w:rPr>
                <w:sz w:val="17"/>
                <w:szCs w:val="17"/>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4</w:t>
            </w:r>
          </w:p>
        </w:tc>
      </w:tr>
      <w:tr>
        <w:trPr>
          <w:trHeight w:val="205"/>
        </w:trPr>
        <w:tc>
          <w:tcPr>
            <w:tcW w:w="3280" w:type="dxa"/>
            <w:vAlign w:val="bottom"/>
          </w:tcPr>
          <w:p>
            <w:pPr>
              <w:ind w:left="80"/>
              <w:spacing w:after="0"/>
              <w:rPr>
                <w:sz w:val="20"/>
                <w:szCs w:val="20"/>
                <w:color w:val="auto"/>
              </w:rPr>
            </w:pPr>
            <w:r>
              <w:rPr>
                <w:rFonts w:ascii="Arial" w:cs="Arial" w:eastAsia="Arial" w:hAnsi="Arial"/>
                <w:sz w:val="17"/>
                <w:szCs w:val="17"/>
                <w:color w:val="auto"/>
              </w:rPr>
              <w:t>Total assets</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7,617</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7,565</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7,374</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7,418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7,384</w:t>
            </w:r>
          </w:p>
        </w:tc>
        <w:tc>
          <w:tcPr>
            <w:tcW w:w="26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r>
      <w:tr>
        <w:trPr>
          <w:trHeight w:val="205"/>
        </w:trPr>
        <w:tc>
          <w:tcPr>
            <w:tcW w:w="3280" w:type="dxa"/>
            <w:vAlign w:val="bottom"/>
            <w:shd w:val="clear" w:color="auto" w:fill="F0FFFF"/>
          </w:tcPr>
          <w:p>
            <w:pPr>
              <w:ind w:left="80"/>
              <w:spacing w:after="0"/>
              <w:rPr>
                <w:sz w:val="20"/>
                <w:szCs w:val="20"/>
                <w:color w:val="auto"/>
              </w:rPr>
            </w:pPr>
            <w:r>
              <w:rPr>
                <w:rFonts w:ascii="Arial" w:cs="Arial" w:eastAsia="Arial" w:hAnsi="Arial"/>
                <w:sz w:val="17"/>
                <w:szCs w:val="17"/>
                <w:color w:val="auto"/>
              </w:rPr>
              <w:t>Deposits</w:t>
            </w:r>
          </w:p>
        </w:tc>
        <w:tc>
          <w:tcPr>
            <w:tcW w:w="18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6,369</w:t>
            </w:r>
          </w:p>
        </w:tc>
        <w:tc>
          <w:tcPr>
            <w:tcW w:w="16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6,383</w:t>
            </w: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6,143</w:t>
            </w: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6,187</w:t>
            </w:r>
          </w:p>
        </w:tc>
        <w:tc>
          <w:tcPr>
            <w:tcW w:w="260" w:type="dxa"/>
            <w:vAlign w:val="bottom"/>
            <w:tcBorders>
              <w:right w:val="single" w:sz="8" w:color="F0FFFF"/>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6,197</w:t>
            </w:r>
          </w:p>
        </w:tc>
        <w:tc>
          <w:tcPr>
            <w:tcW w:w="260" w:type="dxa"/>
            <w:vAlign w:val="bottom"/>
            <w:shd w:val="clear" w:color="auto" w:fill="F0FFFF"/>
          </w:tcPr>
          <w:p>
            <w:pPr>
              <w:spacing w:after="0"/>
              <w:rPr>
                <w:sz w:val="17"/>
                <w:szCs w:val="17"/>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3</w:t>
            </w:r>
          </w:p>
        </w:tc>
      </w:tr>
      <w:tr>
        <w:trPr>
          <w:trHeight w:val="205"/>
        </w:trPr>
        <w:tc>
          <w:tcPr>
            <w:tcW w:w="3280" w:type="dxa"/>
            <w:vAlign w:val="bottom"/>
          </w:tcPr>
          <w:p>
            <w:pPr>
              <w:ind w:left="80"/>
              <w:spacing w:after="0"/>
              <w:rPr>
                <w:sz w:val="20"/>
                <w:szCs w:val="20"/>
                <w:color w:val="auto"/>
              </w:rPr>
            </w:pPr>
            <w:r>
              <w:rPr>
                <w:rFonts w:ascii="Arial" w:cs="Arial" w:eastAsia="Arial" w:hAnsi="Arial"/>
                <w:sz w:val="17"/>
                <w:szCs w:val="17"/>
                <w:color w:val="auto"/>
              </w:rPr>
              <w:t>Shareholders’ equity</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751</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738</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726</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713</w:t>
            </w:r>
          </w:p>
        </w:tc>
        <w:tc>
          <w:tcPr>
            <w:tcW w:w="16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703</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7</w:t>
            </w:r>
          </w:p>
        </w:tc>
      </w:tr>
      <w:tr>
        <w:trPr>
          <w:trHeight w:val="205"/>
        </w:trPr>
        <w:tc>
          <w:tcPr>
            <w:tcW w:w="3280" w:type="dxa"/>
            <w:vAlign w:val="bottom"/>
            <w:shd w:val="clear" w:color="auto" w:fill="F0FFFF"/>
          </w:tcPr>
          <w:p>
            <w:pPr>
              <w:ind w:left="80"/>
              <w:spacing w:after="0"/>
              <w:rPr>
                <w:sz w:val="20"/>
                <w:szCs w:val="20"/>
                <w:color w:val="auto"/>
              </w:rPr>
            </w:pPr>
            <w:r>
              <w:rPr>
                <w:rFonts w:ascii="Arial" w:cs="Arial" w:eastAsia="Arial" w:hAnsi="Arial"/>
                <w:sz w:val="17"/>
                <w:szCs w:val="17"/>
                <w:color w:val="auto"/>
              </w:rPr>
              <w:t xml:space="preserve">Common shares - basic </w:t>
            </w:r>
            <w:r>
              <w:rPr>
                <w:rFonts w:ascii="Arial" w:cs="Arial" w:eastAsia="Arial" w:hAnsi="Arial"/>
                <w:sz w:val="17"/>
                <w:szCs w:val="17"/>
                <w:i w:val="1"/>
                <w:iCs w:val="1"/>
                <w:color w:val="auto"/>
              </w:rPr>
              <w:t>(thousands)</w:t>
            </w:r>
          </w:p>
        </w:tc>
        <w:tc>
          <w:tcPr>
            <w:tcW w:w="18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60,905</w:t>
            </w:r>
          </w:p>
        </w:tc>
        <w:tc>
          <w:tcPr>
            <w:tcW w:w="16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60,830</w:t>
            </w: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60,776</w:t>
            </w: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60,712</w:t>
            </w:r>
          </w:p>
        </w:tc>
        <w:tc>
          <w:tcPr>
            <w:tcW w:w="16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60,059</w:t>
            </w: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3280" w:type="dxa"/>
            <w:vAlign w:val="bottom"/>
          </w:tcPr>
          <w:p>
            <w:pPr>
              <w:ind w:left="80"/>
              <w:spacing w:after="0"/>
              <w:rPr>
                <w:sz w:val="20"/>
                <w:szCs w:val="20"/>
                <w:color w:val="auto"/>
              </w:rPr>
            </w:pPr>
            <w:r>
              <w:rPr>
                <w:rFonts w:ascii="Arial" w:cs="Arial" w:eastAsia="Arial" w:hAnsi="Arial"/>
                <w:sz w:val="17"/>
                <w:szCs w:val="17"/>
                <w:color w:val="auto"/>
              </w:rPr>
              <w:t xml:space="preserve">Common shares - diluted </w:t>
            </w:r>
            <w:r>
              <w:rPr>
                <w:rFonts w:ascii="Arial" w:cs="Arial" w:eastAsia="Arial" w:hAnsi="Arial"/>
                <w:sz w:val="17"/>
                <w:szCs w:val="17"/>
                <w:i w:val="1"/>
                <w:iCs w:val="1"/>
                <w:color w:val="auto"/>
              </w:rPr>
              <w:t>(thousands)</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60,909</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60,833</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60,779</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60,714</w:t>
            </w:r>
          </w:p>
        </w:tc>
        <w:tc>
          <w:tcPr>
            <w:tcW w:w="16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60,061</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32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4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3280" w:type="dxa"/>
            <w:vAlign w:val="bottom"/>
          </w:tcPr>
          <w:p>
            <w:pPr>
              <w:spacing w:after="0"/>
              <w:rPr>
                <w:sz w:val="20"/>
                <w:szCs w:val="20"/>
                <w:color w:val="auto"/>
              </w:rPr>
            </w:pPr>
            <w:r>
              <w:rPr>
                <w:rFonts w:ascii="Arial" w:cs="Arial" w:eastAsia="Arial" w:hAnsi="Arial"/>
                <w:sz w:val="17"/>
                <w:szCs w:val="17"/>
                <w:b w:val="1"/>
                <w:bCs w:val="1"/>
                <w:color w:val="auto"/>
              </w:rPr>
              <w:t xml:space="preserve">AT PERIOD END </w:t>
            </w:r>
            <w:r>
              <w:rPr>
                <w:rFonts w:ascii="Arial" w:cs="Arial" w:eastAsia="Arial" w:hAnsi="Arial"/>
                <w:sz w:val="17"/>
                <w:szCs w:val="17"/>
                <w:i w:val="1"/>
                <w:iCs w:val="1"/>
                <w:color w:val="auto"/>
              </w:rPr>
              <w:t>($ in millions)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3280" w:type="dxa"/>
            <w:vAlign w:val="bottom"/>
            <w:shd w:val="clear" w:color="auto" w:fill="F0FFFF"/>
          </w:tcPr>
          <w:p>
            <w:pPr>
              <w:ind w:left="80"/>
              <w:spacing w:after="0"/>
              <w:rPr>
                <w:sz w:val="20"/>
                <w:szCs w:val="20"/>
                <w:color w:val="auto"/>
              </w:rPr>
            </w:pPr>
            <w:r>
              <w:rPr>
                <w:rFonts w:ascii="Arial" w:cs="Arial" w:eastAsia="Arial" w:hAnsi="Arial"/>
                <w:sz w:val="17"/>
                <w:szCs w:val="17"/>
                <w:color w:val="auto"/>
              </w:rPr>
              <w:t>Loans</w:t>
            </w:r>
          </w:p>
        </w:tc>
        <w:tc>
          <w:tcPr>
            <w:tcW w:w="18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4,788</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4,672</w:t>
            </w:r>
          </w:p>
        </w:tc>
        <w:tc>
          <w:tcPr>
            <w:tcW w:w="18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4,569</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4,410</w:t>
            </w:r>
          </w:p>
        </w:tc>
        <w:tc>
          <w:tcPr>
            <w:tcW w:w="260" w:type="dxa"/>
            <w:vAlign w:val="bottom"/>
            <w:tcBorders>
              <w:right w:val="single" w:sz="8" w:color="F0FFFF"/>
            </w:tcBorders>
            <w:shd w:val="clear" w:color="auto" w:fill="F0FFFF"/>
          </w:tcPr>
          <w:p>
            <w:pPr>
              <w:spacing w:after="0"/>
              <w:rPr>
                <w:sz w:val="17"/>
                <w:szCs w:val="17"/>
                <w:color w:val="auto"/>
              </w:rPr>
            </w:pP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4,356</w:t>
            </w:r>
          </w:p>
        </w:tc>
        <w:tc>
          <w:tcPr>
            <w:tcW w:w="260" w:type="dxa"/>
            <w:vAlign w:val="bottom"/>
            <w:shd w:val="clear" w:color="auto" w:fill="F0FFFF"/>
          </w:tcPr>
          <w:p>
            <w:pPr>
              <w:spacing w:after="0"/>
              <w:rPr>
                <w:sz w:val="17"/>
                <w:szCs w:val="17"/>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10</w:t>
            </w:r>
          </w:p>
        </w:tc>
      </w:tr>
      <w:tr>
        <w:trPr>
          <w:trHeight w:val="205"/>
        </w:trPr>
        <w:tc>
          <w:tcPr>
            <w:tcW w:w="3280" w:type="dxa"/>
            <w:vAlign w:val="bottom"/>
          </w:tcPr>
          <w:p>
            <w:pPr>
              <w:ind w:left="80"/>
              <w:spacing w:after="0"/>
              <w:rPr>
                <w:sz w:val="20"/>
                <w:szCs w:val="20"/>
                <w:color w:val="auto"/>
              </w:rPr>
            </w:pPr>
            <w:r>
              <w:rPr>
                <w:rFonts w:ascii="Arial" w:cs="Arial" w:eastAsia="Arial" w:hAnsi="Arial"/>
                <w:sz w:val="17"/>
                <w:szCs w:val="17"/>
                <w:color w:val="auto"/>
              </w:rPr>
              <w:t>Investment securities</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2,201</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2,198</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2,222</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2,190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2,302</w:t>
            </w:r>
          </w:p>
        </w:tc>
        <w:tc>
          <w:tcPr>
            <w:tcW w:w="26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r>
      <w:tr>
        <w:trPr>
          <w:trHeight w:val="205"/>
        </w:trPr>
        <w:tc>
          <w:tcPr>
            <w:tcW w:w="3280" w:type="dxa"/>
            <w:vAlign w:val="bottom"/>
            <w:shd w:val="clear" w:color="auto" w:fill="F0FFFF"/>
          </w:tcPr>
          <w:p>
            <w:pPr>
              <w:ind w:left="80"/>
              <w:spacing w:after="0"/>
              <w:rPr>
                <w:sz w:val="20"/>
                <w:szCs w:val="20"/>
                <w:color w:val="auto"/>
              </w:rPr>
            </w:pPr>
            <w:r>
              <w:rPr>
                <w:rFonts w:ascii="Arial" w:cs="Arial" w:eastAsia="Arial" w:hAnsi="Arial"/>
                <w:sz w:val="17"/>
                <w:szCs w:val="17"/>
                <w:color w:val="auto"/>
              </w:rPr>
              <w:t>Total assets</w:t>
            </w:r>
          </w:p>
        </w:tc>
        <w:tc>
          <w:tcPr>
            <w:tcW w:w="18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7,664</w:t>
            </w:r>
          </w:p>
        </w:tc>
        <w:tc>
          <w:tcPr>
            <w:tcW w:w="16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7,567</w:t>
            </w: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7,526</w:t>
            </w: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7,352</w:t>
            </w:r>
          </w:p>
        </w:tc>
        <w:tc>
          <w:tcPr>
            <w:tcW w:w="260" w:type="dxa"/>
            <w:vAlign w:val="bottom"/>
            <w:tcBorders>
              <w:right w:val="single" w:sz="8" w:color="F0FFFF"/>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7,398</w:t>
            </w:r>
          </w:p>
        </w:tc>
        <w:tc>
          <w:tcPr>
            <w:tcW w:w="260" w:type="dxa"/>
            <w:vAlign w:val="bottom"/>
            <w:shd w:val="clear" w:color="auto" w:fill="F0FFFF"/>
          </w:tcPr>
          <w:p>
            <w:pPr>
              <w:spacing w:after="0"/>
              <w:rPr>
                <w:sz w:val="17"/>
                <w:szCs w:val="17"/>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4</w:t>
            </w:r>
          </w:p>
        </w:tc>
      </w:tr>
      <w:tr>
        <w:trPr>
          <w:trHeight w:val="205"/>
        </w:trPr>
        <w:tc>
          <w:tcPr>
            <w:tcW w:w="3280" w:type="dxa"/>
            <w:vAlign w:val="bottom"/>
          </w:tcPr>
          <w:p>
            <w:pPr>
              <w:ind w:left="80"/>
              <w:spacing w:after="0"/>
              <w:rPr>
                <w:sz w:val="20"/>
                <w:szCs w:val="20"/>
                <w:color w:val="auto"/>
              </w:rPr>
            </w:pPr>
            <w:r>
              <w:rPr>
                <w:rFonts w:ascii="Arial" w:cs="Arial" w:eastAsia="Arial" w:hAnsi="Arial"/>
                <w:sz w:val="17"/>
                <w:szCs w:val="17"/>
                <w:color w:val="auto"/>
              </w:rPr>
              <w:t>Deposits</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6,438</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6,327</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6,241</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6,164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6,248</w:t>
            </w:r>
          </w:p>
        </w:tc>
        <w:tc>
          <w:tcPr>
            <w:tcW w:w="26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r>
      <w:tr>
        <w:trPr>
          <w:trHeight w:val="205"/>
        </w:trPr>
        <w:tc>
          <w:tcPr>
            <w:tcW w:w="3280" w:type="dxa"/>
            <w:vAlign w:val="bottom"/>
            <w:shd w:val="clear" w:color="auto" w:fill="F0FFFF"/>
          </w:tcPr>
          <w:p>
            <w:pPr>
              <w:ind w:left="80"/>
              <w:spacing w:after="0"/>
              <w:rPr>
                <w:sz w:val="20"/>
                <w:szCs w:val="20"/>
                <w:color w:val="auto"/>
              </w:rPr>
            </w:pPr>
            <w:r>
              <w:rPr>
                <w:rFonts w:ascii="Arial" w:cs="Arial" w:eastAsia="Arial" w:hAnsi="Arial"/>
                <w:sz w:val="17"/>
                <w:szCs w:val="17"/>
                <w:color w:val="auto"/>
              </w:rPr>
              <w:t>Shareholders’ equity</w:t>
            </w:r>
          </w:p>
        </w:tc>
        <w:tc>
          <w:tcPr>
            <w:tcW w:w="18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764</w:t>
            </w:r>
          </w:p>
        </w:tc>
        <w:tc>
          <w:tcPr>
            <w:tcW w:w="16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740</w:t>
            </w: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736</w:t>
            </w: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722</w:t>
            </w:r>
          </w:p>
        </w:tc>
        <w:tc>
          <w:tcPr>
            <w:tcW w:w="16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704</w:t>
            </w: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9</w:t>
            </w:r>
          </w:p>
        </w:tc>
      </w:tr>
      <w:tr>
        <w:trPr>
          <w:trHeight w:val="216"/>
        </w:trPr>
        <w:tc>
          <w:tcPr>
            <w:tcW w:w="3280" w:type="dxa"/>
            <w:vAlign w:val="bottom"/>
          </w:tcPr>
          <w:p>
            <w:pPr>
              <w:ind w:left="80"/>
              <w:spacing w:after="0"/>
              <w:rPr>
                <w:sz w:val="20"/>
                <w:szCs w:val="20"/>
                <w:color w:val="auto"/>
              </w:rPr>
            </w:pPr>
            <w:r>
              <w:rPr>
                <w:rFonts w:ascii="Arial" w:cs="Arial" w:eastAsia="Arial" w:hAnsi="Arial"/>
                <w:sz w:val="17"/>
                <w:szCs w:val="17"/>
                <w:color w:val="auto"/>
              </w:rPr>
              <w:t xml:space="preserve">Common shares outstanding </w:t>
            </w:r>
            <w:r>
              <w:rPr>
                <w:rFonts w:ascii="Arial" w:cs="Arial" w:eastAsia="Arial" w:hAnsi="Arial"/>
                <w:sz w:val="17"/>
                <w:szCs w:val="17"/>
                <w:i w:val="1"/>
                <w:iCs w:val="1"/>
                <w:color w:val="auto"/>
              </w:rPr>
              <w:t>(thousands)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60,309</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60,259</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60,248</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60,139</w:t>
            </w: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60,092</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207" w:lineRule="exact"/>
        <w:rPr>
          <w:sz w:val="20"/>
          <w:szCs w:val="20"/>
          <w:color w:val="auto"/>
        </w:rPr>
      </w:pPr>
    </w:p>
    <w:p>
      <w:pPr>
        <w:ind w:right="20" w:firstLine="3"/>
        <w:spacing w:after="0" w:line="186" w:lineRule="auto"/>
        <w:tabs>
          <w:tab w:leader="none" w:pos="225"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 xml:space="preserve">Net income available to common shareholders, which is net of preferred stock dividends, divided by average realized common equity, which excludes accumulated other comprehensive income (loss). </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Excludes effect of acquisition related intangibles and associated amortization. </w:t>
      </w:r>
      <w:r>
        <w:rPr>
          <w:rFonts w:ascii="Arial" w:cs="Arial" w:eastAsia="Arial" w:hAnsi="Arial"/>
          <w:sz w:val="23"/>
          <w:szCs w:val="23"/>
          <w:color w:val="auto"/>
          <w:vertAlign w:val="superscript"/>
        </w:rPr>
        <w:t>(3)</w:t>
      </w:r>
      <w:r>
        <w:rPr>
          <w:rFonts w:ascii="Arial" w:cs="Arial" w:eastAsia="Arial" w:hAnsi="Arial"/>
          <w:sz w:val="17"/>
          <w:szCs w:val="17"/>
          <w:color w:val="auto"/>
        </w:rPr>
        <w:t xml:space="preserve"> Annualized. </w:t>
      </w:r>
      <w:r>
        <w:rPr>
          <w:rFonts w:ascii="Arial" w:cs="Arial" w:eastAsia="Arial" w:hAnsi="Arial"/>
          <w:sz w:val="23"/>
          <w:szCs w:val="23"/>
          <w:color w:val="auto"/>
          <w:vertAlign w:val="superscript"/>
        </w:rPr>
        <w:t>(4)</w:t>
      </w:r>
      <w:r>
        <w:rPr>
          <w:rFonts w:ascii="Arial" w:cs="Arial" w:eastAsia="Arial" w:hAnsi="Arial"/>
          <w:sz w:val="17"/>
          <w:szCs w:val="17"/>
          <w:color w:val="auto"/>
        </w:rPr>
        <w:t xml:space="preserve"> March 31, 2015 calculated under Basel III rules, which became effective January 1, 2015.</w:t>
      </w:r>
    </w:p>
    <w:p>
      <w:pPr>
        <w:sectPr>
          <w:pgSz w:w="11900" w:h="16838" w:orient="portrait"/>
          <w:cols w:equalWidth="0" w:num="1">
            <w:col w:w="11420"/>
          </w:cols>
          <w:pgMar w:left="240" w:top="1085" w:right="239" w:bottom="0" w:gutter="0" w:footer="0" w:header="0"/>
        </w:sectPr>
      </w:pPr>
    </w:p>
    <w:bookmarkStart w:id="40" w:name="page41"/>
    <w:bookmarkEnd w:id="40"/>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21590</wp:posOffset>
            </wp:positionV>
            <wp:extent cx="72536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Table 1 Continued - Non-GAAP Performance Measures Reconciliation</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Selected Financial Information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2015</w:t>
            </w: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gridSpan w:val="3"/>
          </w:tcPr>
          <w:p>
            <w:pPr>
              <w:jc w:val="right"/>
              <w:ind w:right="65"/>
              <w:spacing w:after="0"/>
              <w:rPr>
                <w:sz w:val="20"/>
                <w:szCs w:val="20"/>
                <w:color w:val="auto"/>
              </w:rPr>
            </w:pPr>
            <w:r>
              <w:rPr>
                <w:rFonts w:ascii="Arial" w:cs="Arial" w:eastAsia="Arial" w:hAnsi="Arial"/>
                <w:sz w:val="17"/>
                <w:szCs w:val="17"/>
                <w:b w:val="1"/>
                <w:bCs w:val="1"/>
                <w:color w:val="auto"/>
              </w:rPr>
              <w:t>2014</w:t>
            </w:r>
          </w:p>
        </w:tc>
        <w:tc>
          <w:tcPr>
            <w:tcW w:w="9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4"/>
        </w:trPr>
        <w:tc>
          <w:tcPr>
            <w:tcW w:w="3960" w:type="dxa"/>
            <w:vAlign w:val="bottom"/>
          </w:tcPr>
          <w:p>
            <w:pPr>
              <w:spacing w:after="0"/>
              <w:rPr>
                <w:sz w:val="20"/>
                <w:szCs w:val="20"/>
                <w:color w:val="auto"/>
              </w:rPr>
            </w:pPr>
            <w:r>
              <w:rPr>
                <w:rFonts w:ascii="Arial" w:cs="Arial" w:eastAsia="Arial" w:hAnsi="Arial"/>
                <w:sz w:val="17"/>
                <w:szCs w:val="17"/>
                <w:i w:val="1"/>
                <w:iCs w:val="1"/>
                <w:color w:val="auto"/>
              </w:rPr>
              <w:t>(in thousands, except per share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15"/>
              <w:spacing w:after="0"/>
              <w:rPr>
                <w:sz w:val="20"/>
                <w:szCs w:val="20"/>
                <w:color w:val="auto"/>
              </w:rPr>
            </w:pPr>
            <w:r>
              <w:rPr>
                <w:rFonts w:ascii="Arial" w:cs="Arial" w:eastAsia="Arial" w:hAnsi="Arial"/>
                <w:sz w:val="17"/>
                <w:szCs w:val="17"/>
                <w:b w:val="1"/>
                <w:bCs w:val="1"/>
                <w:color w:val="auto"/>
              </w:rPr>
              <w:t>First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6"/>
              </w:rPr>
              <w:t>Fourth</w:t>
            </w: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rPr>
              <w:t>Third</w:t>
            </w:r>
          </w:p>
        </w:tc>
        <w:tc>
          <w:tcPr>
            <w:tcW w:w="18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84"/>
              </w:rPr>
              <w:t>Second</w:t>
            </w:r>
          </w:p>
        </w:tc>
        <w:tc>
          <w:tcPr>
            <w:tcW w:w="180" w:type="dxa"/>
            <w:vAlign w:val="bottom"/>
          </w:tcPr>
          <w:p>
            <w:pPr>
              <w:spacing w:after="0"/>
              <w:rPr>
                <w:sz w:val="18"/>
                <w:szCs w:val="18"/>
                <w:color w:val="auto"/>
              </w:rPr>
            </w:pPr>
          </w:p>
        </w:tc>
        <w:tc>
          <w:tcPr>
            <w:tcW w:w="960" w:type="dxa"/>
            <w:vAlign w:val="bottom"/>
          </w:tcPr>
          <w:p>
            <w:pPr>
              <w:jc w:val="center"/>
              <w:ind w:right="95"/>
              <w:spacing w:after="0"/>
              <w:rPr>
                <w:sz w:val="20"/>
                <w:szCs w:val="20"/>
                <w:color w:val="auto"/>
              </w:rPr>
            </w:pPr>
            <w:r>
              <w:rPr>
                <w:rFonts w:ascii="Arial" w:cs="Arial" w:eastAsia="Arial" w:hAnsi="Arial"/>
                <w:sz w:val="17"/>
                <w:szCs w:val="17"/>
                <w:b w:val="1"/>
                <w:bCs w:val="1"/>
                <w:color w:val="auto"/>
                <w:w w:val="92"/>
              </w:rPr>
              <w:t>First</w:t>
            </w:r>
          </w:p>
        </w:tc>
        <w:tc>
          <w:tcPr>
            <w:tcW w:w="140" w:type="dxa"/>
            <w:vAlign w:val="bottom"/>
          </w:tcPr>
          <w:p>
            <w:pPr>
              <w:spacing w:after="0"/>
              <w:rPr>
                <w:sz w:val="18"/>
                <w:szCs w:val="18"/>
                <w:color w:val="auto"/>
              </w:rPr>
            </w:pPr>
          </w:p>
        </w:tc>
      </w:tr>
      <w:tr>
        <w:trPr>
          <w:trHeight w:val="227"/>
        </w:trPr>
        <w:tc>
          <w:tcPr>
            <w:tcW w:w="3960" w:type="dxa"/>
            <w:vAlign w:val="bottom"/>
          </w:tcPr>
          <w:p>
            <w:pPr>
              <w:spacing w:after="0"/>
              <w:rPr>
                <w:sz w:val="20"/>
                <w:szCs w:val="20"/>
                <w:color w:val="auto"/>
              </w:rPr>
            </w:pPr>
            <w:r>
              <w:rPr>
                <w:rFonts w:ascii="Arial" w:cs="Arial" w:eastAsia="Arial" w:hAnsi="Arial"/>
                <w:sz w:val="17"/>
                <w:szCs w:val="17"/>
                <w:i w:val="1"/>
                <w:iCs w:val="1"/>
                <w:color w:val="auto"/>
              </w:rPr>
              <w:t>data; taxable equivalent)</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Quarter</w:t>
            </w:r>
          </w:p>
        </w:tc>
        <w:tc>
          <w:tcPr>
            <w:tcW w:w="180" w:type="dxa"/>
            <w:vAlign w:val="bottom"/>
          </w:tcPr>
          <w:p>
            <w:pPr>
              <w:spacing w:after="0"/>
              <w:rPr>
                <w:sz w:val="19"/>
                <w:szCs w:val="19"/>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7"/>
              </w:rPr>
              <w:t>Quarter</w:t>
            </w:r>
          </w:p>
        </w:tc>
        <w:tc>
          <w:tcPr>
            <w:tcW w:w="160" w:type="dxa"/>
            <w:vAlign w:val="bottom"/>
          </w:tcPr>
          <w:p>
            <w:pPr>
              <w:spacing w:after="0"/>
              <w:rPr>
                <w:sz w:val="19"/>
                <w:szCs w:val="19"/>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7"/>
              </w:rPr>
              <w:t>Quarter</w:t>
            </w:r>
          </w:p>
        </w:tc>
        <w:tc>
          <w:tcPr>
            <w:tcW w:w="18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97"/>
              </w:rPr>
              <w:t>Quarter</w:t>
            </w:r>
          </w:p>
        </w:tc>
        <w:tc>
          <w:tcPr>
            <w:tcW w:w="18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7"/>
              </w:rPr>
              <w:t>Quarter</w:t>
            </w:r>
          </w:p>
        </w:tc>
      </w:tr>
      <w:tr>
        <w:trPr>
          <w:trHeight w:val="205"/>
        </w:trPr>
        <w:tc>
          <w:tcPr>
            <w:tcW w:w="39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45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75"/>
              <w:spacing w:after="0"/>
              <w:rPr>
                <w:sz w:val="20"/>
                <w:szCs w:val="20"/>
                <w:color w:val="auto"/>
              </w:rPr>
            </w:pPr>
            <w:r>
              <w:rPr>
                <w:rFonts w:ascii="Arial" w:cs="Arial" w:eastAsia="Arial" w:hAnsi="Arial"/>
                <w:sz w:val="17"/>
                <w:szCs w:val="17"/>
                <w:color w:val="auto"/>
                <w:w w:val="83"/>
              </w:rPr>
              <w:t>\</w:t>
            </w: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75"/>
              <w:spacing w:after="0"/>
              <w:rPr>
                <w:sz w:val="20"/>
                <w:szCs w:val="20"/>
                <w:color w:val="auto"/>
              </w:rPr>
            </w:pPr>
            <w:r>
              <w:rPr>
                <w:rFonts w:ascii="Arial" w:cs="Arial" w:eastAsia="Arial" w:hAnsi="Arial"/>
                <w:sz w:val="17"/>
                <w:szCs w:val="17"/>
                <w:color w:val="auto"/>
                <w:w w:val="83"/>
              </w:rPr>
              <w:t>\</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95"/>
              <w:spacing w:after="0"/>
              <w:rPr>
                <w:sz w:val="20"/>
                <w:szCs w:val="20"/>
                <w:color w:val="auto"/>
              </w:rPr>
            </w:pPr>
            <w:r>
              <w:rPr>
                <w:rFonts w:ascii="Arial" w:cs="Arial" w:eastAsia="Arial" w:hAnsi="Arial"/>
                <w:sz w:val="17"/>
                <w:szCs w:val="17"/>
                <w:color w:val="auto"/>
                <w:w w:val="83"/>
              </w:rPr>
              <w:t>\</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9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r>
      <w:tr>
        <w:trPr>
          <w:trHeight w:val="205"/>
        </w:trPr>
        <w:tc>
          <w:tcPr>
            <w:tcW w:w="3960" w:type="dxa"/>
            <w:vAlign w:val="bottom"/>
            <w:shd w:val="clear" w:color="auto" w:fill="F0FFFF"/>
          </w:tcPr>
          <w:p>
            <w:pPr>
              <w:spacing w:after="0"/>
              <w:rPr>
                <w:sz w:val="20"/>
                <w:szCs w:val="20"/>
                <w:color w:val="auto"/>
              </w:rPr>
            </w:pPr>
            <w:r>
              <w:rPr>
                <w:rFonts w:ascii="Arial" w:cs="Arial" w:eastAsia="Arial" w:hAnsi="Arial"/>
                <w:sz w:val="17"/>
                <w:szCs w:val="17"/>
                <w:b w:val="1"/>
                <w:bCs w:val="1"/>
                <w:color w:val="auto"/>
              </w:rPr>
              <w:t>Interest revenue reconciliation</w:t>
            </w:r>
          </w:p>
        </w:tc>
        <w:tc>
          <w:tcPr>
            <w:tcW w:w="6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4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3960" w:type="dxa"/>
            <w:vAlign w:val="bottom"/>
          </w:tcPr>
          <w:p>
            <w:pPr>
              <w:spacing w:after="0"/>
              <w:rPr>
                <w:sz w:val="20"/>
                <w:szCs w:val="20"/>
                <w:color w:val="auto"/>
              </w:rPr>
            </w:pPr>
            <w:r>
              <w:rPr>
                <w:rFonts w:ascii="Arial" w:cs="Arial" w:eastAsia="Arial" w:hAnsi="Arial"/>
                <w:sz w:val="17"/>
                <w:szCs w:val="17"/>
                <w:color w:val="auto"/>
              </w:rPr>
              <w:t>Interest revenue - taxable equivalent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62,909</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64,353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63,338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61,783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60,495</w:t>
            </w:r>
          </w:p>
        </w:tc>
      </w:tr>
      <w:tr>
        <w:trPr>
          <w:trHeight w:val="205"/>
        </w:trPr>
        <w:tc>
          <w:tcPr>
            <w:tcW w:w="3960" w:type="dxa"/>
            <w:vAlign w:val="bottom"/>
            <w:shd w:val="clear" w:color="auto" w:fill="F0FFFF"/>
          </w:tcPr>
          <w:p>
            <w:pPr>
              <w:spacing w:after="0"/>
              <w:rPr>
                <w:sz w:val="20"/>
                <w:szCs w:val="20"/>
                <w:color w:val="auto"/>
              </w:rPr>
            </w:pPr>
            <w:r>
              <w:rPr>
                <w:rFonts w:ascii="Arial" w:cs="Arial" w:eastAsia="Arial" w:hAnsi="Arial"/>
                <w:sz w:val="17"/>
                <w:szCs w:val="17"/>
                <w:color w:val="auto"/>
              </w:rPr>
              <w:t>Taxable equivalent adjustment</w:t>
            </w:r>
          </w:p>
        </w:tc>
        <w:tc>
          <w:tcPr>
            <w:tcW w:w="6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(375)</w:t>
            </w:r>
          </w:p>
        </w:tc>
        <w:tc>
          <w:tcPr>
            <w:tcW w:w="180" w:type="dxa"/>
            <w:vAlign w:val="bottom"/>
            <w:shd w:val="clear" w:color="auto" w:fill="F0FFFF"/>
          </w:tcPr>
          <w:p>
            <w:pPr>
              <w:spacing w:after="0"/>
              <w:rPr>
                <w:sz w:val="17"/>
                <w:szCs w:val="17"/>
                <w:color w:val="auto"/>
              </w:rPr>
            </w:pPr>
          </w:p>
        </w:tc>
        <w:tc>
          <w:tcPr>
            <w:tcW w:w="122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(398)</w:t>
            </w:r>
          </w:p>
        </w:tc>
        <w:tc>
          <w:tcPr>
            <w:tcW w:w="160" w:type="dxa"/>
            <w:vAlign w:val="bottom"/>
            <w:shd w:val="clear" w:color="auto" w:fill="F0FFFF"/>
          </w:tcPr>
          <w:p>
            <w:pPr>
              <w:spacing w:after="0"/>
              <w:rPr>
                <w:sz w:val="17"/>
                <w:szCs w:val="17"/>
                <w:color w:val="auto"/>
              </w:rPr>
            </w:pPr>
          </w:p>
        </w:tc>
        <w:tc>
          <w:tcPr>
            <w:tcW w:w="122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(405)</w:t>
            </w: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(377)</w:t>
            </w:r>
          </w:p>
        </w:tc>
        <w:tc>
          <w:tcPr>
            <w:tcW w:w="18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(357)</w:t>
            </w:r>
          </w:p>
        </w:tc>
      </w:tr>
      <w:tr>
        <w:trPr>
          <w:trHeight w:val="26"/>
        </w:trPr>
        <w:tc>
          <w:tcPr>
            <w:tcW w:w="3960" w:type="dxa"/>
            <w:vAlign w:val="bottom"/>
            <w:shd w:val="clear" w:color="auto" w:fill="F0FFFF"/>
          </w:tcPr>
          <w:p>
            <w:pPr>
              <w:spacing w:after="0"/>
              <w:rPr>
                <w:sz w:val="2"/>
                <w:szCs w:val="2"/>
                <w:color w:val="auto"/>
              </w:rPr>
            </w:pPr>
          </w:p>
        </w:tc>
        <w:tc>
          <w:tcPr>
            <w:tcW w:w="64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r>
      <w:tr>
        <w:trPr>
          <w:trHeight w:val="205"/>
        </w:trPr>
        <w:tc>
          <w:tcPr>
            <w:tcW w:w="3960" w:type="dxa"/>
            <w:vAlign w:val="bottom"/>
          </w:tcPr>
          <w:p>
            <w:pPr>
              <w:ind w:left="180"/>
              <w:spacing w:after="0"/>
              <w:rPr>
                <w:sz w:val="20"/>
                <w:szCs w:val="20"/>
                <w:color w:val="auto"/>
              </w:rPr>
            </w:pPr>
            <w:r>
              <w:rPr>
                <w:rFonts w:ascii="Arial" w:cs="Arial" w:eastAsia="Arial" w:hAnsi="Arial"/>
                <w:sz w:val="17"/>
                <w:szCs w:val="17"/>
                <w:color w:val="auto"/>
              </w:rPr>
              <w:t>Interest revenue (GAAP)</w:t>
            </w:r>
          </w:p>
        </w:tc>
        <w:tc>
          <w:tcPr>
            <w:tcW w:w="6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62,534</w:t>
            </w:r>
          </w:p>
        </w:tc>
        <w:tc>
          <w:tcPr>
            <w:tcW w:w="2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63,955</w:t>
            </w:r>
          </w:p>
        </w:tc>
        <w:tc>
          <w:tcPr>
            <w:tcW w:w="26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62,933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61,406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60,138</w:t>
            </w:r>
          </w:p>
        </w:tc>
      </w:tr>
      <w:tr>
        <w:trPr>
          <w:trHeight w:val="20"/>
        </w:trPr>
        <w:tc>
          <w:tcPr>
            <w:tcW w:w="3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396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4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3960" w:type="dxa"/>
            <w:vAlign w:val="bottom"/>
          </w:tcPr>
          <w:p>
            <w:pPr>
              <w:spacing w:after="0"/>
              <w:rPr>
                <w:sz w:val="20"/>
                <w:szCs w:val="20"/>
                <w:color w:val="auto"/>
              </w:rPr>
            </w:pPr>
            <w:r>
              <w:rPr>
                <w:rFonts w:ascii="Arial" w:cs="Arial" w:eastAsia="Arial" w:hAnsi="Arial"/>
                <w:sz w:val="17"/>
                <w:szCs w:val="17"/>
                <w:b w:val="1"/>
                <w:bCs w:val="1"/>
                <w:color w:val="auto"/>
              </w:rPr>
              <w:t>Net interest revenue reconciliation</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3960" w:type="dxa"/>
            <w:vAlign w:val="bottom"/>
            <w:shd w:val="clear" w:color="auto" w:fill="F0FFFF"/>
          </w:tcPr>
          <w:p>
            <w:pPr>
              <w:spacing w:after="0"/>
              <w:rPr>
                <w:sz w:val="20"/>
                <w:szCs w:val="20"/>
                <w:color w:val="auto"/>
              </w:rPr>
            </w:pPr>
            <w:r>
              <w:rPr>
                <w:rFonts w:ascii="Arial" w:cs="Arial" w:eastAsia="Arial" w:hAnsi="Arial"/>
                <w:sz w:val="17"/>
                <w:szCs w:val="17"/>
                <w:color w:val="auto"/>
              </w:rPr>
              <w:t>Net interest revenue - taxable equivalent</w:t>
            </w:r>
          </w:p>
        </w:tc>
        <w:tc>
          <w:tcPr>
            <w:tcW w:w="82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57,617</w:t>
            </w:r>
          </w:p>
        </w:tc>
        <w:tc>
          <w:tcPr>
            <w:tcW w:w="18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58,332</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56,967</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54,950</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54,169</w:t>
            </w:r>
          </w:p>
        </w:tc>
      </w:tr>
      <w:tr>
        <w:trPr>
          <w:trHeight w:val="205"/>
        </w:trPr>
        <w:tc>
          <w:tcPr>
            <w:tcW w:w="3960" w:type="dxa"/>
            <w:vAlign w:val="bottom"/>
          </w:tcPr>
          <w:p>
            <w:pPr>
              <w:spacing w:after="0"/>
              <w:rPr>
                <w:sz w:val="20"/>
                <w:szCs w:val="20"/>
                <w:color w:val="auto"/>
              </w:rPr>
            </w:pPr>
            <w:r>
              <w:rPr>
                <w:rFonts w:ascii="Arial" w:cs="Arial" w:eastAsia="Arial" w:hAnsi="Arial"/>
                <w:sz w:val="17"/>
                <w:szCs w:val="17"/>
                <w:color w:val="auto"/>
              </w:rPr>
              <w:t>Taxable equivalent adjustment</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(375)</w:t>
            </w:r>
          </w:p>
        </w:tc>
        <w:tc>
          <w:tcPr>
            <w:tcW w:w="1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(398)</w:t>
            </w:r>
          </w:p>
        </w:tc>
        <w:tc>
          <w:tcPr>
            <w:tcW w:w="16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(405)</w:t>
            </w:r>
          </w:p>
        </w:tc>
        <w:tc>
          <w:tcPr>
            <w:tcW w:w="18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(377)</w:t>
            </w:r>
          </w:p>
        </w:tc>
        <w:tc>
          <w:tcPr>
            <w:tcW w:w="18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(357)</w:t>
            </w:r>
          </w:p>
        </w:tc>
      </w:tr>
      <w:tr>
        <w:trPr>
          <w:trHeight w:val="26"/>
        </w:trPr>
        <w:tc>
          <w:tcPr>
            <w:tcW w:w="3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45"/>
        </w:trPr>
        <w:tc>
          <w:tcPr>
            <w:tcW w:w="3960" w:type="dxa"/>
            <w:vAlign w:val="bottom"/>
            <w:shd w:val="clear" w:color="auto" w:fill="F0FFFF"/>
          </w:tcPr>
          <w:p>
            <w:pPr>
              <w:ind w:left="180"/>
              <w:spacing w:after="0"/>
              <w:rPr>
                <w:sz w:val="20"/>
                <w:szCs w:val="20"/>
                <w:color w:val="auto"/>
              </w:rPr>
            </w:pPr>
            <w:r>
              <w:rPr>
                <w:rFonts w:ascii="Arial" w:cs="Arial" w:eastAsia="Arial" w:hAnsi="Arial"/>
                <w:sz w:val="17"/>
                <w:szCs w:val="17"/>
                <w:color w:val="auto"/>
              </w:rPr>
              <w:t>Net interest revenue (GAAP)</w:t>
            </w:r>
          </w:p>
        </w:tc>
        <w:tc>
          <w:tcPr>
            <w:tcW w:w="640" w:type="dxa"/>
            <w:vAlign w:val="bottom"/>
            <w:shd w:val="clear" w:color="auto" w:fill="F0FFFF"/>
          </w:tcPr>
          <w:p>
            <w:pPr>
              <w:spacing w:after="0"/>
              <w:rPr>
                <w:sz w:val="21"/>
                <w:szCs w:val="21"/>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57,242</w:t>
            </w:r>
          </w:p>
        </w:tc>
        <w:tc>
          <w:tcPr>
            <w:tcW w:w="240" w:type="dxa"/>
            <w:vAlign w:val="bottom"/>
            <w:tcBorders>
              <w:right w:val="single" w:sz="8" w:color="F0FFFF"/>
            </w:tcBorders>
            <w:shd w:val="clear" w:color="auto" w:fill="F0FFFF"/>
          </w:tcPr>
          <w:p>
            <w:pPr>
              <w:spacing w:after="0"/>
              <w:rPr>
                <w:sz w:val="21"/>
                <w:szCs w:val="21"/>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57,934</w:t>
            </w:r>
          </w:p>
        </w:tc>
        <w:tc>
          <w:tcPr>
            <w:tcW w:w="260" w:type="dxa"/>
            <w:vAlign w:val="bottom"/>
            <w:tcBorders>
              <w:right w:val="single" w:sz="8" w:color="F0FFFF"/>
            </w:tcBorders>
            <w:shd w:val="clear" w:color="auto" w:fill="F0FFFF"/>
          </w:tcPr>
          <w:p>
            <w:pPr>
              <w:spacing w:after="0"/>
              <w:rPr>
                <w:sz w:val="21"/>
                <w:szCs w:val="21"/>
                <w:color w:val="auto"/>
              </w:rPr>
            </w:pP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56,562</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54,573</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53,812</w:t>
            </w:r>
          </w:p>
        </w:tc>
      </w:tr>
      <w:tr>
        <w:trPr>
          <w:trHeight w:val="196"/>
        </w:trPr>
        <w:tc>
          <w:tcPr>
            <w:tcW w:w="3960" w:type="dxa"/>
            <w:vAlign w:val="bottom"/>
            <w:tcBorders>
              <w:top w:val="single" w:sz="8" w:color="F0FFFF"/>
            </w:tcBorders>
          </w:tcPr>
          <w:p>
            <w:pPr>
              <w:spacing w:after="0"/>
              <w:rPr>
                <w:sz w:val="17"/>
                <w:szCs w:val="17"/>
                <w:color w:val="auto"/>
              </w:rPr>
            </w:pPr>
          </w:p>
        </w:tc>
        <w:tc>
          <w:tcPr>
            <w:tcW w:w="64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r>
      <w:tr>
        <w:trPr>
          <w:trHeight w:val="205"/>
        </w:trPr>
        <w:tc>
          <w:tcPr>
            <w:tcW w:w="3960" w:type="dxa"/>
            <w:vAlign w:val="bottom"/>
            <w:shd w:val="clear" w:color="auto" w:fill="F0FFFF"/>
          </w:tcPr>
          <w:p>
            <w:pPr>
              <w:spacing w:after="0"/>
              <w:rPr>
                <w:sz w:val="20"/>
                <w:szCs w:val="20"/>
                <w:color w:val="auto"/>
              </w:rPr>
            </w:pPr>
            <w:r>
              <w:rPr>
                <w:rFonts w:ascii="Arial" w:cs="Arial" w:eastAsia="Arial" w:hAnsi="Arial"/>
                <w:sz w:val="17"/>
                <w:szCs w:val="17"/>
                <w:b w:val="1"/>
                <w:bCs w:val="1"/>
                <w:color w:val="auto"/>
              </w:rPr>
              <w:t>Total revenue reconciliation</w:t>
            </w:r>
          </w:p>
        </w:tc>
        <w:tc>
          <w:tcPr>
            <w:tcW w:w="6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4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3960" w:type="dxa"/>
            <w:vAlign w:val="bottom"/>
          </w:tcPr>
          <w:p>
            <w:pPr>
              <w:spacing w:after="0"/>
              <w:rPr>
                <w:sz w:val="20"/>
                <w:szCs w:val="20"/>
                <w:color w:val="auto"/>
              </w:rPr>
            </w:pPr>
            <w:r>
              <w:rPr>
                <w:rFonts w:ascii="Arial" w:cs="Arial" w:eastAsia="Arial" w:hAnsi="Arial"/>
                <w:sz w:val="17"/>
                <w:szCs w:val="17"/>
                <w:color w:val="auto"/>
              </w:rPr>
              <w:t>Total operating revenue</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71,499</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71,355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69,379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66,893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63,845</w:t>
            </w:r>
          </w:p>
        </w:tc>
      </w:tr>
      <w:tr>
        <w:trPr>
          <w:trHeight w:val="205"/>
        </w:trPr>
        <w:tc>
          <w:tcPr>
            <w:tcW w:w="3960" w:type="dxa"/>
            <w:vAlign w:val="bottom"/>
            <w:shd w:val="clear" w:color="auto" w:fill="F0FFFF"/>
          </w:tcPr>
          <w:p>
            <w:pPr>
              <w:spacing w:after="0"/>
              <w:rPr>
                <w:sz w:val="20"/>
                <w:szCs w:val="20"/>
                <w:color w:val="auto"/>
              </w:rPr>
            </w:pPr>
            <w:r>
              <w:rPr>
                <w:rFonts w:ascii="Arial" w:cs="Arial" w:eastAsia="Arial" w:hAnsi="Arial"/>
                <w:sz w:val="17"/>
                <w:szCs w:val="17"/>
                <w:color w:val="auto"/>
              </w:rPr>
              <w:t>Taxable equivalent adjustment</w:t>
            </w:r>
          </w:p>
        </w:tc>
        <w:tc>
          <w:tcPr>
            <w:tcW w:w="6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(375)</w:t>
            </w:r>
          </w:p>
        </w:tc>
        <w:tc>
          <w:tcPr>
            <w:tcW w:w="180" w:type="dxa"/>
            <w:vAlign w:val="bottom"/>
            <w:shd w:val="clear" w:color="auto" w:fill="F0FFFF"/>
          </w:tcPr>
          <w:p>
            <w:pPr>
              <w:spacing w:after="0"/>
              <w:rPr>
                <w:sz w:val="17"/>
                <w:szCs w:val="17"/>
                <w:color w:val="auto"/>
              </w:rPr>
            </w:pPr>
          </w:p>
        </w:tc>
        <w:tc>
          <w:tcPr>
            <w:tcW w:w="122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(398)</w:t>
            </w:r>
          </w:p>
        </w:tc>
        <w:tc>
          <w:tcPr>
            <w:tcW w:w="160" w:type="dxa"/>
            <w:vAlign w:val="bottom"/>
            <w:shd w:val="clear" w:color="auto" w:fill="F0FFFF"/>
          </w:tcPr>
          <w:p>
            <w:pPr>
              <w:spacing w:after="0"/>
              <w:rPr>
                <w:sz w:val="17"/>
                <w:szCs w:val="17"/>
                <w:color w:val="auto"/>
              </w:rPr>
            </w:pPr>
          </w:p>
        </w:tc>
        <w:tc>
          <w:tcPr>
            <w:tcW w:w="122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(405)</w:t>
            </w: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(377)</w:t>
            </w:r>
          </w:p>
        </w:tc>
        <w:tc>
          <w:tcPr>
            <w:tcW w:w="18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(357)</w:t>
            </w:r>
          </w:p>
        </w:tc>
      </w:tr>
      <w:tr>
        <w:trPr>
          <w:trHeight w:val="26"/>
        </w:trPr>
        <w:tc>
          <w:tcPr>
            <w:tcW w:w="3960" w:type="dxa"/>
            <w:vAlign w:val="bottom"/>
            <w:shd w:val="clear" w:color="auto" w:fill="F0FFFF"/>
          </w:tcPr>
          <w:p>
            <w:pPr>
              <w:spacing w:after="0"/>
              <w:rPr>
                <w:sz w:val="2"/>
                <w:szCs w:val="2"/>
                <w:color w:val="auto"/>
              </w:rPr>
            </w:pPr>
          </w:p>
        </w:tc>
        <w:tc>
          <w:tcPr>
            <w:tcW w:w="64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r>
      <w:tr>
        <w:trPr>
          <w:trHeight w:val="205"/>
        </w:trPr>
        <w:tc>
          <w:tcPr>
            <w:tcW w:w="3960" w:type="dxa"/>
            <w:vAlign w:val="bottom"/>
          </w:tcPr>
          <w:p>
            <w:pPr>
              <w:ind w:left="180"/>
              <w:spacing w:after="0"/>
              <w:rPr>
                <w:sz w:val="20"/>
                <w:szCs w:val="20"/>
                <w:color w:val="auto"/>
              </w:rPr>
            </w:pPr>
            <w:r>
              <w:rPr>
                <w:rFonts w:ascii="Arial" w:cs="Arial" w:eastAsia="Arial" w:hAnsi="Arial"/>
                <w:sz w:val="17"/>
                <w:szCs w:val="17"/>
                <w:color w:val="auto"/>
              </w:rPr>
              <w:t>Total revenue (GAAP)</w:t>
            </w:r>
          </w:p>
        </w:tc>
        <w:tc>
          <w:tcPr>
            <w:tcW w:w="6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71,124</w:t>
            </w:r>
          </w:p>
        </w:tc>
        <w:tc>
          <w:tcPr>
            <w:tcW w:w="2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70,957</w:t>
            </w:r>
          </w:p>
        </w:tc>
        <w:tc>
          <w:tcPr>
            <w:tcW w:w="26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68,974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66,516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63,488</w:t>
            </w:r>
          </w:p>
        </w:tc>
      </w:tr>
      <w:tr>
        <w:trPr>
          <w:trHeight w:val="20"/>
        </w:trPr>
        <w:tc>
          <w:tcPr>
            <w:tcW w:w="3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396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4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3960" w:type="dxa"/>
            <w:vAlign w:val="bottom"/>
          </w:tcPr>
          <w:p>
            <w:pPr>
              <w:spacing w:after="0"/>
              <w:rPr>
                <w:sz w:val="20"/>
                <w:szCs w:val="20"/>
                <w:color w:val="auto"/>
              </w:rPr>
            </w:pPr>
            <w:r>
              <w:rPr>
                <w:rFonts w:ascii="Arial" w:cs="Arial" w:eastAsia="Arial" w:hAnsi="Arial"/>
                <w:sz w:val="17"/>
                <w:szCs w:val="17"/>
                <w:b w:val="1"/>
                <w:bCs w:val="1"/>
                <w:color w:val="auto"/>
              </w:rPr>
              <w:t>Income before taxes reconciliation</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3960" w:type="dxa"/>
            <w:vAlign w:val="bottom"/>
            <w:shd w:val="clear" w:color="auto" w:fill="F0FFFF"/>
          </w:tcPr>
          <w:p>
            <w:pPr>
              <w:spacing w:after="0"/>
              <w:rPr>
                <w:sz w:val="20"/>
                <w:szCs w:val="20"/>
                <w:color w:val="auto"/>
              </w:rPr>
            </w:pPr>
            <w:r>
              <w:rPr>
                <w:rFonts w:ascii="Arial" w:cs="Arial" w:eastAsia="Arial" w:hAnsi="Arial"/>
                <w:sz w:val="17"/>
                <w:szCs w:val="17"/>
                <w:color w:val="auto"/>
              </w:rPr>
              <w:t>Income before taxes</w:t>
            </w:r>
          </w:p>
        </w:tc>
        <w:tc>
          <w:tcPr>
            <w:tcW w:w="82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28,438</w:t>
            </w:r>
          </w:p>
        </w:tc>
        <w:tc>
          <w:tcPr>
            <w:tcW w:w="18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29,436</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28,015</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26,361</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24,795</w:t>
            </w:r>
          </w:p>
        </w:tc>
      </w:tr>
      <w:tr>
        <w:trPr>
          <w:trHeight w:val="205"/>
        </w:trPr>
        <w:tc>
          <w:tcPr>
            <w:tcW w:w="3960" w:type="dxa"/>
            <w:vAlign w:val="bottom"/>
          </w:tcPr>
          <w:p>
            <w:pPr>
              <w:spacing w:after="0"/>
              <w:rPr>
                <w:sz w:val="20"/>
                <w:szCs w:val="20"/>
                <w:color w:val="auto"/>
              </w:rPr>
            </w:pPr>
            <w:r>
              <w:rPr>
                <w:rFonts w:ascii="Arial" w:cs="Arial" w:eastAsia="Arial" w:hAnsi="Arial"/>
                <w:sz w:val="17"/>
                <w:szCs w:val="17"/>
                <w:color w:val="auto"/>
              </w:rPr>
              <w:t>Taxable equivalent adjustment</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(375)</w:t>
            </w:r>
          </w:p>
        </w:tc>
        <w:tc>
          <w:tcPr>
            <w:tcW w:w="1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(398)</w:t>
            </w:r>
          </w:p>
        </w:tc>
        <w:tc>
          <w:tcPr>
            <w:tcW w:w="16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(405)</w:t>
            </w:r>
          </w:p>
        </w:tc>
        <w:tc>
          <w:tcPr>
            <w:tcW w:w="18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(377)</w:t>
            </w:r>
          </w:p>
        </w:tc>
        <w:tc>
          <w:tcPr>
            <w:tcW w:w="18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(357)</w:t>
            </w:r>
          </w:p>
        </w:tc>
      </w:tr>
      <w:tr>
        <w:trPr>
          <w:trHeight w:val="26"/>
        </w:trPr>
        <w:tc>
          <w:tcPr>
            <w:tcW w:w="3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45"/>
        </w:trPr>
        <w:tc>
          <w:tcPr>
            <w:tcW w:w="3960" w:type="dxa"/>
            <w:vAlign w:val="bottom"/>
            <w:shd w:val="clear" w:color="auto" w:fill="F0FFFF"/>
          </w:tcPr>
          <w:p>
            <w:pPr>
              <w:ind w:left="180"/>
              <w:spacing w:after="0"/>
              <w:rPr>
                <w:sz w:val="20"/>
                <w:szCs w:val="20"/>
                <w:color w:val="auto"/>
              </w:rPr>
            </w:pPr>
            <w:r>
              <w:rPr>
                <w:rFonts w:ascii="Arial" w:cs="Arial" w:eastAsia="Arial" w:hAnsi="Arial"/>
                <w:sz w:val="17"/>
                <w:szCs w:val="17"/>
                <w:color w:val="auto"/>
              </w:rPr>
              <w:t>Income before taxes (GAAP)</w:t>
            </w:r>
          </w:p>
        </w:tc>
        <w:tc>
          <w:tcPr>
            <w:tcW w:w="640" w:type="dxa"/>
            <w:vAlign w:val="bottom"/>
            <w:shd w:val="clear" w:color="auto" w:fill="F0FFFF"/>
          </w:tcPr>
          <w:p>
            <w:pPr>
              <w:spacing w:after="0"/>
              <w:rPr>
                <w:sz w:val="21"/>
                <w:szCs w:val="21"/>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28,063</w:t>
            </w:r>
          </w:p>
        </w:tc>
        <w:tc>
          <w:tcPr>
            <w:tcW w:w="240" w:type="dxa"/>
            <w:vAlign w:val="bottom"/>
            <w:tcBorders>
              <w:right w:val="single" w:sz="8" w:color="F0FFFF"/>
            </w:tcBorders>
            <w:shd w:val="clear" w:color="auto" w:fill="F0FFFF"/>
          </w:tcPr>
          <w:p>
            <w:pPr>
              <w:spacing w:after="0"/>
              <w:rPr>
                <w:sz w:val="21"/>
                <w:szCs w:val="21"/>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29,038</w:t>
            </w:r>
          </w:p>
        </w:tc>
        <w:tc>
          <w:tcPr>
            <w:tcW w:w="260" w:type="dxa"/>
            <w:vAlign w:val="bottom"/>
            <w:tcBorders>
              <w:right w:val="single" w:sz="8" w:color="F0FFFF"/>
            </w:tcBorders>
            <w:shd w:val="clear" w:color="auto" w:fill="F0FFFF"/>
          </w:tcPr>
          <w:p>
            <w:pPr>
              <w:spacing w:after="0"/>
              <w:rPr>
                <w:sz w:val="21"/>
                <w:szCs w:val="21"/>
                <w:color w:val="auto"/>
              </w:rPr>
            </w:pP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27,610</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25,984</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24,438</w:t>
            </w:r>
          </w:p>
        </w:tc>
      </w:tr>
      <w:tr>
        <w:trPr>
          <w:trHeight w:val="196"/>
        </w:trPr>
        <w:tc>
          <w:tcPr>
            <w:tcW w:w="3960" w:type="dxa"/>
            <w:vAlign w:val="bottom"/>
            <w:tcBorders>
              <w:top w:val="single" w:sz="8" w:color="F0FFFF"/>
            </w:tcBorders>
          </w:tcPr>
          <w:p>
            <w:pPr>
              <w:spacing w:after="0"/>
              <w:rPr>
                <w:sz w:val="17"/>
                <w:szCs w:val="17"/>
                <w:color w:val="auto"/>
              </w:rPr>
            </w:pPr>
          </w:p>
        </w:tc>
        <w:tc>
          <w:tcPr>
            <w:tcW w:w="64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r>
      <w:tr>
        <w:trPr>
          <w:trHeight w:val="205"/>
        </w:trPr>
        <w:tc>
          <w:tcPr>
            <w:tcW w:w="3960" w:type="dxa"/>
            <w:vAlign w:val="bottom"/>
            <w:shd w:val="clear" w:color="auto" w:fill="F0FFFF"/>
          </w:tcPr>
          <w:p>
            <w:pPr>
              <w:spacing w:after="0"/>
              <w:rPr>
                <w:sz w:val="20"/>
                <w:szCs w:val="20"/>
                <w:color w:val="auto"/>
              </w:rPr>
            </w:pPr>
            <w:r>
              <w:rPr>
                <w:rFonts w:ascii="Arial" w:cs="Arial" w:eastAsia="Arial" w:hAnsi="Arial"/>
                <w:sz w:val="17"/>
                <w:szCs w:val="17"/>
                <w:b w:val="1"/>
                <w:bCs w:val="1"/>
                <w:color w:val="auto"/>
              </w:rPr>
              <w:t>Income tax expense (benefit) reconciliation</w:t>
            </w:r>
          </w:p>
        </w:tc>
        <w:tc>
          <w:tcPr>
            <w:tcW w:w="6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4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3960" w:type="dxa"/>
            <w:vAlign w:val="bottom"/>
          </w:tcPr>
          <w:p>
            <w:pPr>
              <w:spacing w:after="0"/>
              <w:rPr>
                <w:sz w:val="20"/>
                <w:szCs w:val="20"/>
                <w:color w:val="auto"/>
              </w:rPr>
            </w:pPr>
            <w:r>
              <w:rPr>
                <w:rFonts w:ascii="Arial" w:cs="Arial" w:eastAsia="Arial" w:hAnsi="Arial"/>
                <w:sz w:val="17"/>
                <w:szCs w:val="17"/>
                <w:color w:val="auto"/>
              </w:rPr>
              <w:t>Income tax expense (benefit)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10,768</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11,189</w:t>
            </w:r>
          </w:p>
        </w:tc>
        <w:tc>
          <w:tcPr>
            <w:tcW w:w="26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10,399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10,004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9,395</w:t>
            </w:r>
          </w:p>
        </w:tc>
      </w:tr>
      <w:tr>
        <w:trPr>
          <w:trHeight w:val="205"/>
        </w:trPr>
        <w:tc>
          <w:tcPr>
            <w:tcW w:w="3960" w:type="dxa"/>
            <w:vAlign w:val="bottom"/>
            <w:shd w:val="clear" w:color="auto" w:fill="F0FFFF"/>
          </w:tcPr>
          <w:p>
            <w:pPr>
              <w:spacing w:after="0"/>
              <w:rPr>
                <w:sz w:val="20"/>
                <w:szCs w:val="20"/>
                <w:color w:val="auto"/>
              </w:rPr>
            </w:pPr>
            <w:r>
              <w:rPr>
                <w:rFonts w:ascii="Arial" w:cs="Arial" w:eastAsia="Arial" w:hAnsi="Arial"/>
                <w:sz w:val="17"/>
                <w:szCs w:val="17"/>
                <w:color w:val="auto"/>
              </w:rPr>
              <w:t>Taxable equivalent adjustment</w:t>
            </w:r>
          </w:p>
        </w:tc>
        <w:tc>
          <w:tcPr>
            <w:tcW w:w="6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(375)</w:t>
            </w:r>
          </w:p>
        </w:tc>
        <w:tc>
          <w:tcPr>
            <w:tcW w:w="180" w:type="dxa"/>
            <w:vAlign w:val="bottom"/>
            <w:shd w:val="clear" w:color="auto" w:fill="F0FFFF"/>
          </w:tcPr>
          <w:p>
            <w:pPr>
              <w:spacing w:after="0"/>
              <w:rPr>
                <w:sz w:val="17"/>
                <w:szCs w:val="17"/>
                <w:color w:val="auto"/>
              </w:rPr>
            </w:pPr>
          </w:p>
        </w:tc>
        <w:tc>
          <w:tcPr>
            <w:tcW w:w="122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(398)</w:t>
            </w:r>
          </w:p>
        </w:tc>
        <w:tc>
          <w:tcPr>
            <w:tcW w:w="160" w:type="dxa"/>
            <w:vAlign w:val="bottom"/>
            <w:shd w:val="clear" w:color="auto" w:fill="F0FFFF"/>
          </w:tcPr>
          <w:p>
            <w:pPr>
              <w:spacing w:after="0"/>
              <w:rPr>
                <w:sz w:val="17"/>
                <w:szCs w:val="17"/>
                <w:color w:val="auto"/>
              </w:rPr>
            </w:pPr>
          </w:p>
        </w:tc>
        <w:tc>
          <w:tcPr>
            <w:tcW w:w="122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(405)</w:t>
            </w: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(377)</w:t>
            </w:r>
          </w:p>
        </w:tc>
        <w:tc>
          <w:tcPr>
            <w:tcW w:w="18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(357)</w:t>
            </w:r>
          </w:p>
        </w:tc>
      </w:tr>
      <w:tr>
        <w:trPr>
          <w:trHeight w:val="26"/>
        </w:trPr>
        <w:tc>
          <w:tcPr>
            <w:tcW w:w="3960" w:type="dxa"/>
            <w:vAlign w:val="bottom"/>
            <w:shd w:val="clear" w:color="auto" w:fill="F0FFFF"/>
          </w:tcPr>
          <w:p>
            <w:pPr>
              <w:spacing w:after="0"/>
              <w:rPr>
                <w:sz w:val="2"/>
                <w:szCs w:val="2"/>
                <w:color w:val="auto"/>
              </w:rPr>
            </w:pPr>
          </w:p>
        </w:tc>
        <w:tc>
          <w:tcPr>
            <w:tcW w:w="64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r>
      <w:tr>
        <w:trPr>
          <w:trHeight w:val="205"/>
        </w:trPr>
        <w:tc>
          <w:tcPr>
            <w:tcW w:w="3960" w:type="dxa"/>
            <w:vAlign w:val="bottom"/>
          </w:tcPr>
          <w:p>
            <w:pPr>
              <w:ind w:left="180"/>
              <w:spacing w:after="0"/>
              <w:rPr>
                <w:sz w:val="20"/>
                <w:szCs w:val="20"/>
                <w:color w:val="auto"/>
              </w:rPr>
            </w:pPr>
            <w:r>
              <w:rPr>
                <w:rFonts w:ascii="Arial" w:cs="Arial" w:eastAsia="Arial" w:hAnsi="Arial"/>
                <w:sz w:val="17"/>
                <w:szCs w:val="17"/>
                <w:color w:val="auto"/>
              </w:rPr>
              <w:t>Income tax expense (benefit) (GAAP)</w:t>
            </w:r>
          </w:p>
        </w:tc>
        <w:tc>
          <w:tcPr>
            <w:tcW w:w="6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10,393</w:t>
            </w:r>
          </w:p>
        </w:tc>
        <w:tc>
          <w:tcPr>
            <w:tcW w:w="2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10,791</w:t>
            </w:r>
          </w:p>
        </w:tc>
        <w:tc>
          <w:tcPr>
            <w:tcW w:w="26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9,994</w:t>
            </w:r>
          </w:p>
        </w:tc>
        <w:tc>
          <w:tcPr>
            <w:tcW w:w="26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9,627</w:t>
            </w:r>
          </w:p>
        </w:tc>
        <w:tc>
          <w:tcPr>
            <w:tcW w:w="26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9,038</w:t>
            </w:r>
          </w:p>
        </w:tc>
      </w:tr>
      <w:tr>
        <w:trPr>
          <w:trHeight w:val="20"/>
        </w:trPr>
        <w:tc>
          <w:tcPr>
            <w:tcW w:w="3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3960" w:type="dxa"/>
            <w:vAlign w:val="bottom"/>
            <w:shd w:val="clear" w:color="auto" w:fill="F0FFFF"/>
          </w:tcPr>
          <w:p>
            <w:pPr>
              <w:spacing w:after="0"/>
              <w:rPr>
                <w:sz w:val="17"/>
                <w:szCs w:val="17"/>
                <w:color w:val="auto"/>
              </w:rPr>
            </w:pPr>
          </w:p>
        </w:tc>
        <w:tc>
          <w:tcPr>
            <w:tcW w:w="6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4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3960" w:type="dxa"/>
            <w:vAlign w:val="bottom"/>
          </w:tcPr>
          <w:p>
            <w:pPr>
              <w:spacing w:after="0"/>
              <w:rPr>
                <w:sz w:val="20"/>
                <w:szCs w:val="20"/>
                <w:color w:val="auto"/>
              </w:rPr>
            </w:pPr>
            <w:r>
              <w:rPr>
                <w:rFonts w:ascii="Arial" w:cs="Arial" w:eastAsia="Arial" w:hAnsi="Arial"/>
                <w:sz w:val="17"/>
                <w:szCs w:val="17"/>
                <w:b w:val="1"/>
                <w:bCs w:val="1"/>
                <w:color w:val="auto"/>
              </w:rPr>
              <w:t>Book value per common share reconciliation</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3960" w:type="dxa"/>
            <w:vAlign w:val="bottom"/>
            <w:shd w:val="clear" w:color="auto" w:fill="F0FFFF"/>
          </w:tcPr>
          <w:p>
            <w:pPr>
              <w:spacing w:after="0"/>
              <w:rPr>
                <w:sz w:val="20"/>
                <w:szCs w:val="20"/>
                <w:color w:val="auto"/>
              </w:rPr>
            </w:pPr>
            <w:r>
              <w:rPr>
                <w:rFonts w:ascii="Arial" w:cs="Arial" w:eastAsia="Arial" w:hAnsi="Arial"/>
                <w:sz w:val="17"/>
                <w:szCs w:val="17"/>
                <w:color w:val="auto"/>
              </w:rPr>
              <w:t>Tangible book value per common share</w:t>
            </w:r>
          </w:p>
        </w:tc>
        <w:tc>
          <w:tcPr>
            <w:tcW w:w="82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12.53</w:t>
            </w:r>
          </w:p>
        </w:tc>
        <w:tc>
          <w:tcPr>
            <w:tcW w:w="24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12.15</w:t>
            </w:r>
          </w:p>
        </w:tc>
        <w:tc>
          <w:tcPr>
            <w:tcW w:w="260" w:type="dxa"/>
            <w:vAlign w:val="bottom"/>
            <w:tcBorders>
              <w:right w:val="single" w:sz="8" w:color="F0FFFF"/>
            </w:tcBorders>
            <w:shd w:val="clear" w:color="auto" w:fill="F0FFFF"/>
          </w:tcPr>
          <w:p>
            <w:pPr>
              <w:spacing w:after="0"/>
              <w:rPr>
                <w:sz w:val="17"/>
                <w:szCs w:val="17"/>
                <w:color w:val="auto"/>
              </w:rPr>
            </w:pP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12.10</w:t>
            </w:r>
          </w:p>
        </w:tc>
        <w:tc>
          <w:tcPr>
            <w:tcW w:w="26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11.91</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11.63</w:t>
            </w:r>
          </w:p>
        </w:tc>
      </w:tr>
      <w:tr>
        <w:trPr>
          <w:trHeight w:val="211"/>
        </w:trPr>
        <w:tc>
          <w:tcPr>
            <w:tcW w:w="3960" w:type="dxa"/>
            <w:vAlign w:val="bottom"/>
          </w:tcPr>
          <w:p>
            <w:pPr>
              <w:spacing w:after="0"/>
              <w:rPr>
                <w:sz w:val="20"/>
                <w:szCs w:val="20"/>
                <w:color w:val="auto"/>
              </w:rPr>
            </w:pPr>
            <w:r>
              <w:rPr>
                <w:rFonts w:ascii="Arial" w:cs="Arial" w:eastAsia="Arial" w:hAnsi="Arial"/>
                <w:sz w:val="17"/>
                <w:szCs w:val="17"/>
                <w:color w:val="auto"/>
              </w:rPr>
              <w:t>Effect of goodwill and other intangibles</w:t>
            </w:r>
          </w:p>
        </w:tc>
        <w:tc>
          <w:tcPr>
            <w:tcW w:w="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140" w:type="dxa"/>
            <w:vAlign w:val="bottom"/>
          </w:tcPr>
          <w:p>
            <w:pPr>
              <w:spacing w:after="0"/>
              <w:rPr>
                <w:sz w:val="18"/>
                <w:szCs w:val="18"/>
                <w:color w:val="auto"/>
              </w:rPr>
            </w:pPr>
          </w:p>
        </w:tc>
      </w:tr>
      <w:tr>
        <w:trPr>
          <w:trHeight w:val="245"/>
        </w:trPr>
        <w:tc>
          <w:tcPr>
            <w:tcW w:w="3960" w:type="dxa"/>
            <w:vAlign w:val="bottom"/>
            <w:shd w:val="clear" w:color="auto" w:fill="F0FFFF"/>
          </w:tcPr>
          <w:p>
            <w:pPr>
              <w:ind w:left="140"/>
              <w:spacing w:after="0"/>
              <w:rPr>
                <w:sz w:val="20"/>
                <w:szCs w:val="20"/>
                <w:color w:val="auto"/>
              </w:rPr>
            </w:pPr>
            <w:r>
              <w:rPr>
                <w:rFonts w:ascii="Arial" w:cs="Arial" w:eastAsia="Arial" w:hAnsi="Arial"/>
                <w:sz w:val="17"/>
                <w:szCs w:val="17"/>
                <w:color w:val="auto"/>
              </w:rPr>
              <w:t>Book value per common share (GAAP)</w:t>
            </w:r>
          </w:p>
        </w:tc>
        <w:tc>
          <w:tcPr>
            <w:tcW w:w="82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12.58</w:t>
            </w:r>
          </w:p>
        </w:tc>
        <w:tc>
          <w:tcPr>
            <w:tcW w:w="240" w:type="dxa"/>
            <w:vAlign w:val="bottom"/>
            <w:tcBorders>
              <w:right w:val="single" w:sz="8" w:color="F0FFFF"/>
            </w:tcBorders>
            <w:shd w:val="clear" w:color="auto" w:fill="F0FFFF"/>
          </w:tcPr>
          <w:p>
            <w:pPr>
              <w:spacing w:after="0"/>
              <w:rPr>
                <w:sz w:val="21"/>
                <w:szCs w:val="21"/>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12.20</w:t>
            </w:r>
          </w:p>
        </w:tc>
        <w:tc>
          <w:tcPr>
            <w:tcW w:w="260" w:type="dxa"/>
            <w:vAlign w:val="bottom"/>
            <w:tcBorders>
              <w:right w:val="single" w:sz="8" w:color="F0FFFF"/>
            </w:tcBorders>
            <w:shd w:val="clear" w:color="auto" w:fill="F0FFFF"/>
          </w:tcPr>
          <w:p>
            <w:pPr>
              <w:spacing w:after="0"/>
              <w:rPr>
                <w:sz w:val="21"/>
                <w:szCs w:val="21"/>
                <w:color w:val="auto"/>
              </w:rPr>
            </w:pP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12.15</w:t>
            </w:r>
          </w:p>
        </w:tc>
        <w:tc>
          <w:tcPr>
            <w:tcW w:w="260" w:type="dxa"/>
            <w:vAlign w:val="bottom"/>
            <w:tcBorders>
              <w:right w:val="single" w:sz="8" w:color="F0FFFF"/>
            </w:tcBorders>
            <w:shd w:val="clear" w:color="auto" w:fill="F0FFFF"/>
          </w:tcPr>
          <w:p>
            <w:pPr>
              <w:spacing w:after="0"/>
              <w:rPr>
                <w:sz w:val="21"/>
                <w:szCs w:val="21"/>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11.94</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11.66</w:t>
            </w:r>
          </w:p>
        </w:tc>
      </w:tr>
      <w:tr>
        <w:trPr>
          <w:trHeight w:val="196"/>
        </w:trPr>
        <w:tc>
          <w:tcPr>
            <w:tcW w:w="3960" w:type="dxa"/>
            <w:vAlign w:val="bottom"/>
            <w:tcBorders>
              <w:top w:val="single" w:sz="8" w:color="F0FFFF"/>
            </w:tcBorders>
          </w:tcPr>
          <w:p>
            <w:pPr>
              <w:spacing w:after="0"/>
              <w:rPr>
                <w:sz w:val="17"/>
                <w:szCs w:val="17"/>
                <w:color w:val="auto"/>
              </w:rPr>
            </w:pPr>
          </w:p>
        </w:tc>
        <w:tc>
          <w:tcPr>
            <w:tcW w:w="64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r>
      <w:tr>
        <w:trPr>
          <w:trHeight w:val="205"/>
        </w:trPr>
        <w:tc>
          <w:tcPr>
            <w:tcW w:w="3960" w:type="dxa"/>
            <w:vAlign w:val="bottom"/>
            <w:shd w:val="clear" w:color="auto" w:fill="F0FFFF"/>
          </w:tcPr>
          <w:p>
            <w:pPr>
              <w:spacing w:after="0"/>
              <w:rPr>
                <w:sz w:val="20"/>
                <w:szCs w:val="20"/>
                <w:color w:val="auto"/>
              </w:rPr>
            </w:pPr>
            <w:r>
              <w:rPr>
                <w:rFonts w:ascii="Arial" w:cs="Arial" w:eastAsia="Arial" w:hAnsi="Arial"/>
                <w:sz w:val="17"/>
                <w:szCs w:val="17"/>
                <w:b w:val="1"/>
                <w:bCs w:val="1"/>
                <w:color w:val="auto"/>
              </w:rPr>
              <w:t>Average equity to assets reconciliation</w:t>
            </w:r>
          </w:p>
        </w:tc>
        <w:tc>
          <w:tcPr>
            <w:tcW w:w="6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4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3960" w:type="dxa"/>
            <w:vAlign w:val="bottom"/>
          </w:tcPr>
          <w:p>
            <w:pPr>
              <w:spacing w:after="0"/>
              <w:rPr>
                <w:sz w:val="20"/>
                <w:szCs w:val="20"/>
                <w:color w:val="auto"/>
              </w:rPr>
            </w:pPr>
            <w:r>
              <w:rPr>
                <w:rFonts w:ascii="Arial" w:cs="Arial" w:eastAsia="Arial" w:hAnsi="Arial"/>
                <w:sz w:val="17"/>
                <w:szCs w:val="17"/>
                <w:color w:val="auto"/>
              </w:rPr>
              <w:t>Tangible common equity to assets</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9.82%</w:t>
            </w:r>
          </w:p>
        </w:tc>
        <w:tc>
          <w:tcPr>
            <w:tcW w:w="18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9.72%</w:t>
            </w:r>
          </w:p>
        </w:tc>
        <w:tc>
          <w:tcPr>
            <w:tcW w:w="16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9.83%</w:t>
            </w:r>
          </w:p>
        </w:tc>
        <w:tc>
          <w:tcPr>
            <w:tcW w:w="18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9.58%</w:t>
            </w:r>
          </w:p>
        </w:tc>
        <w:tc>
          <w:tcPr>
            <w:tcW w:w="1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9.22%</w:t>
            </w:r>
          </w:p>
        </w:tc>
      </w:tr>
      <w:tr>
        <w:trPr>
          <w:trHeight w:val="211"/>
        </w:trPr>
        <w:tc>
          <w:tcPr>
            <w:tcW w:w="39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7"/>
                <w:szCs w:val="17"/>
                <w:color w:val="auto"/>
              </w:rPr>
              <w:t>Effect of preferred equity</w:t>
            </w:r>
          </w:p>
        </w:tc>
        <w:tc>
          <w:tcPr>
            <w:tcW w:w="640" w:type="dxa"/>
            <w:vAlign w:val="bottom"/>
            <w:tcBorders>
              <w:bottom w:val="single" w:sz="8" w:color="F0FFFF"/>
            </w:tcBorders>
            <w:shd w:val="clear" w:color="auto" w:fill="F0FFFF"/>
          </w:tcPr>
          <w:p>
            <w:pPr>
              <w:spacing w:after="0"/>
              <w:rPr>
                <w:sz w:val="18"/>
                <w:szCs w:val="18"/>
                <w:color w:val="auto"/>
              </w:rPr>
            </w:pPr>
          </w:p>
        </w:tc>
        <w:tc>
          <w:tcPr>
            <w:tcW w:w="180" w:type="dxa"/>
            <w:vAlign w:val="bottom"/>
            <w:tcBorders>
              <w:bottom w:val="single" w:sz="8" w:color="auto"/>
            </w:tcBorders>
            <w:shd w:val="clear" w:color="auto" w:fill="F0FFFF"/>
          </w:tcPr>
          <w:p>
            <w:pPr>
              <w:spacing w:after="0"/>
              <w:rPr>
                <w:sz w:val="18"/>
                <w:szCs w:val="18"/>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F0FFFF"/>
              <w:right w:val="single" w:sz="8" w:color="F0FFFF"/>
            </w:tcBorders>
            <w:shd w:val="clear" w:color="auto" w:fill="F0FFFF"/>
          </w:tcPr>
          <w:p>
            <w:pPr>
              <w:spacing w:after="0"/>
              <w:rPr>
                <w:sz w:val="18"/>
                <w:szCs w:val="18"/>
                <w:color w:val="auto"/>
              </w:rPr>
            </w:pPr>
          </w:p>
        </w:tc>
        <w:tc>
          <w:tcPr>
            <w:tcW w:w="180" w:type="dxa"/>
            <w:vAlign w:val="bottom"/>
            <w:tcBorders>
              <w:bottom w:val="single" w:sz="8" w:color="auto"/>
            </w:tcBorders>
            <w:shd w:val="clear" w:color="auto" w:fill="F0FFFF"/>
          </w:tcPr>
          <w:p>
            <w:pPr>
              <w:spacing w:after="0"/>
              <w:rPr>
                <w:sz w:val="18"/>
                <w:szCs w:val="18"/>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F0FFFF"/>
              <w:right w:val="single" w:sz="8" w:color="F0FFFF"/>
            </w:tcBorders>
            <w:shd w:val="clear" w:color="auto" w:fill="F0FFFF"/>
          </w:tcPr>
          <w:p>
            <w:pPr>
              <w:spacing w:after="0"/>
              <w:rPr>
                <w:sz w:val="18"/>
                <w:szCs w:val="18"/>
                <w:color w:val="auto"/>
              </w:rPr>
            </w:pPr>
          </w:p>
        </w:tc>
        <w:tc>
          <w:tcPr>
            <w:tcW w:w="160" w:type="dxa"/>
            <w:vAlign w:val="bottom"/>
            <w:tcBorders>
              <w:bottom w:val="single" w:sz="8" w:color="auto"/>
            </w:tcBorders>
            <w:shd w:val="clear" w:color="auto" w:fill="F0FFFF"/>
          </w:tcPr>
          <w:p>
            <w:pPr>
              <w:spacing w:after="0"/>
              <w:rPr>
                <w:sz w:val="18"/>
                <w:szCs w:val="18"/>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F0FFFF"/>
              <w:right w:val="single" w:sz="8" w:color="F0FFFF"/>
            </w:tcBorders>
            <w:shd w:val="clear" w:color="auto" w:fill="F0FFFF"/>
          </w:tcPr>
          <w:p>
            <w:pPr>
              <w:spacing w:after="0"/>
              <w:rPr>
                <w:sz w:val="18"/>
                <w:szCs w:val="18"/>
                <w:color w:val="auto"/>
              </w:rPr>
            </w:pPr>
          </w:p>
        </w:tc>
        <w:tc>
          <w:tcPr>
            <w:tcW w:w="180" w:type="dxa"/>
            <w:vAlign w:val="bottom"/>
            <w:tcBorders>
              <w:bottom w:val="single" w:sz="8" w:color="auto"/>
            </w:tcBorders>
            <w:shd w:val="clear" w:color="auto" w:fill="F0FFFF"/>
          </w:tcPr>
          <w:p>
            <w:pPr>
              <w:spacing w:after="0"/>
              <w:rPr>
                <w:sz w:val="18"/>
                <w:szCs w:val="18"/>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F0FFFF"/>
              <w:right w:val="single" w:sz="8" w:color="F0FFFF"/>
            </w:tcBorders>
            <w:shd w:val="clear" w:color="auto" w:fill="F0FFFF"/>
          </w:tcPr>
          <w:p>
            <w:pPr>
              <w:spacing w:after="0"/>
              <w:rPr>
                <w:sz w:val="18"/>
                <w:szCs w:val="18"/>
                <w:color w:val="auto"/>
              </w:rPr>
            </w:pPr>
          </w:p>
        </w:tc>
        <w:tc>
          <w:tcPr>
            <w:tcW w:w="180" w:type="dxa"/>
            <w:vAlign w:val="bottom"/>
            <w:tcBorders>
              <w:bottom w:val="single" w:sz="8" w:color="auto"/>
            </w:tcBorders>
            <w:shd w:val="clear" w:color="auto" w:fill="F0FFFF"/>
          </w:tcPr>
          <w:p>
            <w:pPr>
              <w:spacing w:after="0"/>
              <w:rPr>
                <w:sz w:val="18"/>
                <w:szCs w:val="18"/>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.28</w:t>
            </w:r>
          </w:p>
        </w:tc>
        <w:tc>
          <w:tcPr>
            <w:tcW w:w="140" w:type="dxa"/>
            <w:vAlign w:val="bottom"/>
            <w:tcBorders>
              <w:bottom w:val="single" w:sz="8" w:color="F0FFFF"/>
            </w:tcBorders>
            <w:shd w:val="clear" w:color="auto" w:fill="F0FFFF"/>
          </w:tcPr>
          <w:p>
            <w:pPr>
              <w:spacing w:after="0"/>
              <w:rPr>
                <w:sz w:val="18"/>
                <w:szCs w:val="18"/>
                <w:color w:val="auto"/>
              </w:rPr>
            </w:pPr>
          </w:p>
        </w:tc>
      </w:tr>
      <w:tr>
        <w:trPr>
          <w:trHeight w:val="205"/>
        </w:trPr>
        <w:tc>
          <w:tcPr>
            <w:tcW w:w="3960" w:type="dxa"/>
            <w:vAlign w:val="bottom"/>
          </w:tcPr>
          <w:p>
            <w:pPr>
              <w:ind w:left="180"/>
              <w:spacing w:after="0"/>
              <w:rPr>
                <w:sz w:val="20"/>
                <w:szCs w:val="20"/>
                <w:color w:val="auto"/>
              </w:rPr>
            </w:pPr>
            <w:r>
              <w:rPr>
                <w:rFonts w:ascii="Arial" w:cs="Arial" w:eastAsia="Arial" w:hAnsi="Arial"/>
                <w:sz w:val="17"/>
                <w:szCs w:val="17"/>
                <w:color w:val="auto"/>
              </w:rPr>
              <w:t>Tangible equity to assets</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9.82</w:t>
            </w:r>
          </w:p>
        </w:tc>
        <w:tc>
          <w:tcPr>
            <w:tcW w:w="18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9.72</w:t>
            </w:r>
          </w:p>
        </w:tc>
        <w:tc>
          <w:tcPr>
            <w:tcW w:w="16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9.83</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9.58</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9.50</w:t>
            </w:r>
          </w:p>
        </w:tc>
      </w:tr>
      <w:tr>
        <w:trPr>
          <w:trHeight w:val="211"/>
        </w:trPr>
        <w:tc>
          <w:tcPr>
            <w:tcW w:w="39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7"/>
                <w:szCs w:val="17"/>
                <w:color w:val="auto"/>
              </w:rPr>
              <w:t>Effect of goodwill and other intangibles</w:t>
            </w:r>
          </w:p>
        </w:tc>
        <w:tc>
          <w:tcPr>
            <w:tcW w:w="640" w:type="dxa"/>
            <w:vAlign w:val="bottom"/>
            <w:tcBorders>
              <w:bottom w:val="single" w:sz="8" w:color="F0FFFF"/>
            </w:tcBorders>
            <w:shd w:val="clear" w:color="auto" w:fill="F0FFFF"/>
          </w:tcPr>
          <w:p>
            <w:pPr>
              <w:spacing w:after="0"/>
              <w:rPr>
                <w:sz w:val="18"/>
                <w:szCs w:val="18"/>
                <w:color w:val="auto"/>
              </w:rPr>
            </w:pPr>
          </w:p>
        </w:tc>
        <w:tc>
          <w:tcPr>
            <w:tcW w:w="180" w:type="dxa"/>
            <w:vAlign w:val="bottom"/>
            <w:tcBorders>
              <w:bottom w:val="single" w:sz="8" w:color="auto"/>
            </w:tcBorders>
            <w:shd w:val="clear" w:color="auto" w:fill="F0FFFF"/>
          </w:tcPr>
          <w:p>
            <w:pPr>
              <w:spacing w:after="0"/>
              <w:rPr>
                <w:sz w:val="18"/>
                <w:szCs w:val="18"/>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.04</w:t>
            </w:r>
          </w:p>
        </w:tc>
        <w:tc>
          <w:tcPr>
            <w:tcW w:w="240" w:type="dxa"/>
            <w:vAlign w:val="bottom"/>
            <w:tcBorders>
              <w:bottom w:val="single" w:sz="8" w:color="F0FFFF"/>
              <w:right w:val="single" w:sz="8" w:color="F0FFFF"/>
            </w:tcBorders>
            <w:shd w:val="clear" w:color="auto" w:fill="F0FFFF"/>
          </w:tcPr>
          <w:p>
            <w:pPr>
              <w:spacing w:after="0"/>
              <w:rPr>
                <w:sz w:val="18"/>
                <w:szCs w:val="18"/>
                <w:color w:val="auto"/>
              </w:rPr>
            </w:pPr>
          </w:p>
        </w:tc>
        <w:tc>
          <w:tcPr>
            <w:tcW w:w="180" w:type="dxa"/>
            <w:vAlign w:val="bottom"/>
            <w:tcBorders>
              <w:bottom w:val="single" w:sz="8" w:color="auto"/>
            </w:tcBorders>
            <w:shd w:val="clear" w:color="auto" w:fill="F0FFFF"/>
          </w:tcPr>
          <w:p>
            <w:pPr>
              <w:spacing w:after="0"/>
              <w:rPr>
                <w:sz w:val="18"/>
                <w:szCs w:val="18"/>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.04</w:t>
            </w:r>
          </w:p>
        </w:tc>
        <w:tc>
          <w:tcPr>
            <w:tcW w:w="260" w:type="dxa"/>
            <w:vAlign w:val="bottom"/>
            <w:tcBorders>
              <w:bottom w:val="single" w:sz="8" w:color="F0FFFF"/>
              <w:right w:val="single" w:sz="8" w:color="F0FFFF"/>
            </w:tcBorders>
            <w:shd w:val="clear" w:color="auto" w:fill="F0FFFF"/>
          </w:tcPr>
          <w:p>
            <w:pPr>
              <w:spacing w:after="0"/>
              <w:rPr>
                <w:sz w:val="18"/>
                <w:szCs w:val="18"/>
                <w:color w:val="auto"/>
              </w:rPr>
            </w:pPr>
          </w:p>
        </w:tc>
        <w:tc>
          <w:tcPr>
            <w:tcW w:w="160" w:type="dxa"/>
            <w:vAlign w:val="bottom"/>
            <w:tcBorders>
              <w:bottom w:val="single" w:sz="8" w:color="auto"/>
            </w:tcBorders>
            <w:shd w:val="clear" w:color="auto" w:fill="F0FFFF"/>
          </w:tcPr>
          <w:p>
            <w:pPr>
              <w:spacing w:after="0"/>
              <w:rPr>
                <w:sz w:val="18"/>
                <w:szCs w:val="18"/>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.02</w:t>
            </w:r>
          </w:p>
        </w:tc>
        <w:tc>
          <w:tcPr>
            <w:tcW w:w="260" w:type="dxa"/>
            <w:vAlign w:val="bottom"/>
            <w:tcBorders>
              <w:bottom w:val="single" w:sz="8" w:color="F0FFFF"/>
              <w:right w:val="single" w:sz="8" w:color="F0FFFF"/>
            </w:tcBorders>
            <w:shd w:val="clear" w:color="auto" w:fill="F0FFFF"/>
          </w:tcPr>
          <w:p>
            <w:pPr>
              <w:spacing w:after="0"/>
              <w:rPr>
                <w:sz w:val="18"/>
                <w:szCs w:val="18"/>
                <w:color w:val="auto"/>
              </w:rPr>
            </w:pPr>
          </w:p>
        </w:tc>
        <w:tc>
          <w:tcPr>
            <w:tcW w:w="180" w:type="dxa"/>
            <w:vAlign w:val="bottom"/>
            <w:tcBorders>
              <w:bottom w:val="single" w:sz="8" w:color="auto"/>
            </w:tcBorders>
            <w:shd w:val="clear" w:color="auto" w:fill="F0FFFF"/>
          </w:tcPr>
          <w:p>
            <w:pPr>
              <w:spacing w:after="0"/>
              <w:rPr>
                <w:sz w:val="18"/>
                <w:szCs w:val="18"/>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.03</w:t>
            </w:r>
          </w:p>
        </w:tc>
        <w:tc>
          <w:tcPr>
            <w:tcW w:w="260" w:type="dxa"/>
            <w:vAlign w:val="bottom"/>
            <w:tcBorders>
              <w:bottom w:val="single" w:sz="8" w:color="F0FFFF"/>
              <w:right w:val="single" w:sz="8" w:color="F0FFFF"/>
            </w:tcBorders>
            <w:shd w:val="clear" w:color="auto" w:fill="F0FFFF"/>
          </w:tcPr>
          <w:p>
            <w:pPr>
              <w:spacing w:after="0"/>
              <w:rPr>
                <w:sz w:val="18"/>
                <w:szCs w:val="18"/>
                <w:color w:val="auto"/>
              </w:rPr>
            </w:pPr>
          </w:p>
        </w:tc>
        <w:tc>
          <w:tcPr>
            <w:tcW w:w="180" w:type="dxa"/>
            <w:vAlign w:val="bottom"/>
            <w:tcBorders>
              <w:bottom w:val="single" w:sz="8" w:color="auto"/>
            </w:tcBorders>
            <w:shd w:val="clear" w:color="auto" w:fill="F0FFFF"/>
          </w:tcPr>
          <w:p>
            <w:pPr>
              <w:spacing w:after="0"/>
              <w:rPr>
                <w:sz w:val="18"/>
                <w:szCs w:val="18"/>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.02</w:t>
            </w:r>
          </w:p>
        </w:tc>
        <w:tc>
          <w:tcPr>
            <w:tcW w:w="140" w:type="dxa"/>
            <w:vAlign w:val="bottom"/>
            <w:tcBorders>
              <w:bottom w:val="single" w:sz="8" w:color="F0FFFF"/>
            </w:tcBorders>
            <w:shd w:val="clear" w:color="auto" w:fill="F0FFFF"/>
          </w:tcPr>
          <w:p>
            <w:pPr>
              <w:spacing w:after="0"/>
              <w:rPr>
                <w:sz w:val="18"/>
                <w:szCs w:val="18"/>
                <w:color w:val="auto"/>
              </w:rPr>
            </w:pPr>
          </w:p>
        </w:tc>
      </w:tr>
      <w:tr>
        <w:trPr>
          <w:trHeight w:val="205"/>
        </w:trPr>
        <w:tc>
          <w:tcPr>
            <w:tcW w:w="3960" w:type="dxa"/>
            <w:vAlign w:val="bottom"/>
          </w:tcPr>
          <w:p>
            <w:pPr>
              <w:ind w:left="180"/>
              <w:spacing w:after="0"/>
              <w:rPr>
                <w:sz w:val="20"/>
                <w:szCs w:val="20"/>
                <w:color w:val="auto"/>
              </w:rPr>
            </w:pPr>
            <w:r>
              <w:rPr>
                <w:rFonts w:ascii="Arial" w:cs="Arial" w:eastAsia="Arial" w:hAnsi="Arial"/>
                <w:sz w:val="17"/>
                <w:szCs w:val="17"/>
                <w:color w:val="auto"/>
              </w:rPr>
              <w:t>Equity to assets (GAAP)</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9.86%</w:t>
            </w:r>
          </w:p>
        </w:tc>
        <w:tc>
          <w:tcPr>
            <w:tcW w:w="18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9.76%</w:t>
            </w:r>
          </w:p>
        </w:tc>
        <w:tc>
          <w:tcPr>
            <w:tcW w:w="16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9.85%</w:t>
            </w:r>
          </w:p>
        </w:tc>
        <w:tc>
          <w:tcPr>
            <w:tcW w:w="18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9.61%</w:t>
            </w:r>
          </w:p>
        </w:tc>
        <w:tc>
          <w:tcPr>
            <w:tcW w:w="1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9.52%</w:t>
            </w:r>
          </w:p>
        </w:tc>
      </w:tr>
      <w:tr>
        <w:trPr>
          <w:trHeight w:val="20"/>
        </w:trPr>
        <w:tc>
          <w:tcPr>
            <w:tcW w:w="3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4600" w:type="dxa"/>
            <w:vAlign w:val="bottom"/>
            <w:gridSpan w:val="2"/>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4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4780" w:type="dxa"/>
            <w:vAlign w:val="bottom"/>
            <w:gridSpan w:val="3"/>
          </w:tcPr>
          <w:p>
            <w:pPr>
              <w:spacing w:after="0"/>
              <w:rPr>
                <w:sz w:val="20"/>
                <w:szCs w:val="20"/>
                <w:color w:val="auto"/>
              </w:rPr>
            </w:pPr>
            <w:r>
              <w:rPr>
                <w:rFonts w:ascii="Arial" w:cs="Arial" w:eastAsia="Arial" w:hAnsi="Arial"/>
                <w:sz w:val="17"/>
                <w:szCs w:val="17"/>
                <w:b w:val="1"/>
                <w:bCs w:val="1"/>
                <w:color w:val="auto"/>
                <w:w w:val="90"/>
              </w:rPr>
              <w:t xml:space="preserve">Tangible common equity to risk-weighted assets reconciliation </w:t>
            </w:r>
            <w:r>
              <w:rPr>
                <w:rFonts w:ascii="Arial" w:cs="Arial" w:eastAsia="Arial" w:hAnsi="Arial"/>
                <w:sz w:val="17"/>
                <w:szCs w:val="17"/>
                <w:color w:val="auto"/>
                <w:w w:val="90"/>
                <w:vertAlign w:val="superscript"/>
              </w:rPr>
              <w:t>(1)</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3960" w:type="dxa"/>
            <w:vAlign w:val="bottom"/>
            <w:shd w:val="clear" w:color="auto" w:fill="F0FFFF"/>
          </w:tcPr>
          <w:p>
            <w:pPr>
              <w:spacing w:after="0"/>
              <w:rPr>
                <w:sz w:val="20"/>
                <w:szCs w:val="20"/>
                <w:color w:val="auto"/>
              </w:rPr>
            </w:pPr>
            <w:r>
              <w:rPr>
                <w:rFonts w:ascii="Arial" w:cs="Arial" w:eastAsia="Arial" w:hAnsi="Arial"/>
                <w:sz w:val="17"/>
                <w:szCs w:val="17"/>
                <w:color w:val="auto"/>
              </w:rPr>
              <w:t>Tangible common equity to risk-weighted assets</w:t>
            </w:r>
          </w:p>
        </w:tc>
        <w:tc>
          <w:tcPr>
            <w:tcW w:w="6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13.53%</w:t>
            </w:r>
          </w:p>
        </w:tc>
        <w:tc>
          <w:tcPr>
            <w:tcW w:w="180" w:type="dxa"/>
            <w:vAlign w:val="bottom"/>
            <w:shd w:val="clear" w:color="auto" w:fill="F0FFFF"/>
          </w:tcPr>
          <w:p>
            <w:pPr>
              <w:spacing w:after="0"/>
              <w:rPr>
                <w:sz w:val="17"/>
                <w:szCs w:val="17"/>
                <w:color w:val="auto"/>
              </w:rPr>
            </w:pPr>
          </w:p>
        </w:tc>
        <w:tc>
          <w:tcPr>
            <w:tcW w:w="122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13.82%</w:t>
            </w:r>
          </w:p>
        </w:tc>
        <w:tc>
          <w:tcPr>
            <w:tcW w:w="160" w:type="dxa"/>
            <w:vAlign w:val="bottom"/>
            <w:shd w:val="clear" w:color="auto" w:fill="F0FFFF"/>
          </w:tcPr>
          <w:p>
            <w:pPr>
              <w:spacing w:after="0"/>
              <w:rPr>
                <w:sz w:val="17"/>
                <w:szCs w:val="17"/>
                <w:color w:val="auto"/>
              </w:rPr>
            </w:pPr>
          </w:p>
        </w:tc>
        <w:tc>
          <w:tcPr>
            <w:tcW w:w="122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14.10%</w:t>
            </w: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13.92%</w:t>
            </w:r>
          </w:p>
        </w:tc>
        <w:tc>
          <w:tcPr>
            <w:tcW w:w="18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13.63%</w:t>
            </w:r>
          </w:p>
        </w:tc>
      </w:tr>
      <w:tr>
        <w:trPr>
          <w:trHeight w:val="205"/>
        </w:trPr>
        <w:tc>
          <w:tcPr>
            <w:tcW w:w="3960" w:type="dxa"/>
            <w:vAlign w:val="bottom"/>
          </w:tcPr>
          <w:p>
            <w:pPr>
              <w:spacing w:after="0"/>
              <w:rPr>
                <w:sz w:val="20"/>
                <w:szCs w:val="20"/>
                <w:color w:val="auto"/>
              </w:rPr>
            </w:pPr>
            <w:r>
              <w:rPr>
                <w:rFonts w:ascii="Arial" w:cs="Arial" w:eastAsia="Arial" w:hAnsi="Arial"/>
                <w:sz w:val="17"/>
                <w:szCs w:val="17"/>
                <w:color w:val="auto"/>
              </w:rPr>
              <w:t>Effect of other comprehensive income</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.53</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.36</w:t>
            </w:r>
          </w:p>
        </w:tc>
      </w:tr>
      <w:tr>
        <w:trPr>
          <w:trHeight w:val="205"/>
        </w:trPr>
        <w:tc>
          <w:tcPr>
            <w:tcW w:w="3960" w:type="dxa"/>
            <w:vAlign w:val="bottom"/>
            <w:shd w:val="clear" w:color="auto" w:fill="F0FFFF"/>
          </w:tcPr>
          <w:p>
            <w:pPr>
              <w:spacing w:after="0"/>
              <w:rPr>
                <w:sz w:val="20"/>
                <w:szCs w:val="20"/>
                <w:color w:val="auto"/>
              </w:rPr>
            </w:pPr>
            <w:r>
              <w:rPr>
                <w:rFonts w:ascii="Arial" w:cs="Arial" w:eastAsia="Arial" w:hAnsi="Arial"/>
                <w:sz w:val="17"/>
                <w:szCs w:val="17"/>
                <w:color w:val="auto"/>
              </w:rPr>
              <w:t>Effect of deferred tax limitation</w:t>
            </w:r>
          </w:p>
        </w:tc>
        <w:tc>
          <w:tcPr>
            <w:tcW w:w="6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(2.86)</w:t>
            </w:r>
          </w:p>
        </w:tc>
        <w:tc>
          <w:tcPr>
            <w:tcW w:w="180" w:type="dxa"/>
            <w:vAlign w:val="bottom"/>
            <w:shd w:val="clear" w:color="auto" w:fill="F0FFFF"/>
          </w:tcPr>
          <w:p>
            <w:pPr>
              <w:spacing w:after="0"/>
              <w:rPr>
                <w:sz w:val="17"/>
                <w:szCs w:val="17"/>
                <w:color w:val="auto"/>
              </w:rPr>
            </w:pPr>
          </w:p>
        </w:tc>
        <w:tc>
          <w:tcPr>
            <w:tcW w:w="122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(3.11)</w:t>
            </w:r>
          </w:p>
        </w:tc>
        <w:tc>
          <w:tcPr>
            <w:tcW w:w="160" w:type="dxa"/>
            <w:vAlign w:val="bottom"/>
            <w:shd w:val="clear" w:color="auto" w:fill="F0FFFF"/>
          </w:tcPr>
          <w:p>
            <w:pPr>
              <w:spacing w:after="0"/>
              <w:rPr>
                <w:sz w:val="17"/>
                <w:szCs w:val="17"/>
                <w:color w:val="auto"/>
              </w:rPr>
            </w:pPr>
          </w:p>
        </w:tc>
        <w:tc>
          <w:tcPr>
            <w:tcW w:w="122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(3.39)</w:t>
            </w:r>
          </w:p>
        </w:tc>
        <w:tc>
          <w:tcPr>
            <w:tcW w:w="180" w:type="dxa"/>
            <w:vAlign w:val="bottom"/>
            <w:shd w:val="clear" w:color="auto" w:fill="F0FFFF"/>
          </w:tcPr>
          <w:p>
            <w:pPr>
              <w:spacing w:after="0"/>
              <w:rPr>
                <w:sz w:val="17"/>
                <w:szCs w:val="17"/>
                <w:color w:val="auto"/>
              </w:rPr>
            </w:pPr>
          </w:p>
        </w:tc>
        <w:tc>
          <w:tcPr>
            <w:tcW w:w="120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(3.74)</w:t>
            </w:r>
          </w:p>
        </w:tc>
        <w:tc>
          <w:tcPr>
            <w:tcW w:w="18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(3.92)</w:t>
            </w:r>
          </w:p>
        </w:tc>
      </w:tr>
      <w:tr>
        <w:trPr>
          <w:trHeight w:val="205"/>
        </w:trPr>
        <w:tc>
          <w:tcPr>
            <w:tcW w:w="3960" w:type="dxa"/>
            <w:vAlign w:val="bottom"/>
          </w:tcPr>
          <w:p>
            <w:pPr>
              <w:spacing w:after="0"/>
              <w:rPr>
                <w:sz w:val="20"/>
                <w:szCs w:val="20"/>
                <w:color w:val="auto"/>
              </w:rPr>
            </w:pPr>
            <w:r>
              <w:rPr>
                <w:rFonts w:ascii="Arial" w:cs="Arial" w:eastAsia="Arial" w:hAnsi="Arial"/>
                <w:sz w:val="17"/>
                <w:szCs w:val="17"/>
                <w:color w:val="auto"/>
              </w:rPr>
              <w:t>Effect of trust preferred</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1.02</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1.04</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1.03</w:t>
            </w:r>
          </w:p>
        </w:tc>
      </w:tr>
      <w:tr>
        <w:trPr>
          <w:trHeight w:val="26"/>
        </w:trPr>
        <w:tc>
          <w:tcPr>
            <w:tcW w:w="3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5"/>
        </w:trPr>
        <w:tc>
          <w:tcPr>
            <w:tcW w:w="3960" w:type="dxa"/>
            <w:vAlign w:val="bottom"/>
            <w:shd w:val="clear" w:color="auto" w:fill="F0FFFF"/>
          </w:tcPr>
          <w:p>
            <w:pPr>
              <w:ind w:left="180"/>
              <w:spacing w:after="0"/>
              <w:rPr>
                <w:sz w:val="20"/>
                <w:szCs w:val="20"/>
                <w:color w:val="auto"/>
              </w:rPr>
            </w:pPr>
            <w:r>
              <w:rPr>
                <w:rFonts w:ascii="Arial" w:cs="Arial" w:eastAsia="Arial" w:hAnsi="Arial"/>
                <w:sz w:val="17"/>
                <w:szCs w:val="17"/>
                <w:color w:val="auto"/>
              </w:rPr>
              <w:t>Tier I capital ratio (Regulatory)</w:t>
            </w:r>
          </w:p>
        </w:tc>
        <w:tc>
          <w:tcPr>
            <w:tcW w:w="64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200" w:type="dxa"/>
            <w:vAlign w:val="bottom"/>
            <w:tcBorders>
              <w:right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11.53%</w:t>
            </w:r>
          </w:p>
        </w:tc>
        <w:tc>
          <w:tcPr>
            <w:tcW w:w="180" w:type="dxa"/>
            <w:vAlign w:val="bottom"/>
            <w:shd w:val="clear" w:color="auto" w:fill="F0FFFF"/>
          </w:tcPr>
          <w:p>
            <w:pPr>
              <w:spacing w:after="0"/>
              <w:rPr>
                <w:sz w:val="19"/>
                <w:szCs w:val="19"/>
                <w:color w:val="auto"/>
              </w:rPr>
            </w:pPr>
          </w:p>
        </w:tc>
        <w:tc>
          <w:tcPr>
            <w:tcW w:w="122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12.06%</w:t>
            </w:r>
          </w:p>
        </w:tc>
        <w:tc>
          <w:tcPr>
            <w:tcW w:w="160" w:type="dxa"/>
            <w:vAlign w:val="bottom"/>
            <w:shd w:val="clear" w:color="auto" w:fill="F0FFFF"/>
          </w:tcPr>
          <w:p>
            <w:pPr>
              <w:spacing w:after="0"/>
              <w:rPr>
                <w:sz w:val="19"/>
                <w:szCs w:val="19"/>
                <w:color w:val="auto"/>
              </w:rPr>
            </w:pPr>
          </w:p>
        </w:tc>
        <w:tc>
          <w:tcPr>
            <w:tcW w:w="122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12.07%</w:t>
            </w:r>
          </w:p>
        </w:tc>
        <w:tc>
          <w:tcPr>
            <w:tcW w:w="180" w:type="dxa"/>
            <w:vAlign w:val="bottom"/>
            <w:shd w:val="clear" w:color="auto" w:fill="F0FFFF"/>
          </w:tcPr>
          <w:p>
            <w:pPr>
              <w:spacing w:after="0"/>
              <w:rPr>
                <w:sz w:val="19"/>
                <w:szCs w:val="19"/>
                <w:color w:val="auto"/>
              </w:rPr>
            </w:pPr>
          </w:p>
        </w:tc>
        <w:tc>
          <w:tcPr>
            <w:tcW w:w="120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11.75%</w:t>
            </w:r>
          </w:p>
        </w:tc>
        <w:tc>
          <w:tcPr>
            <w:tcW w:w="180" w:type="dxa"/>
            <w:vAlign w:val="bottom"/>
            <w:shd w:val="clear" w:color="auto" w:fill="F0FFFF"/>
          </w:tcPr>
          <w:p>
            <w:pPr>
              <w:spacing w:after="0"/>
              <w:rPr>
                <w:sz w:val="19"/>
                <w:szCs w:val="19"/>
                <w:color w:val="auto"/>
              </w:rPr>
            </w:pPr>
          </w:p>
        </w:tc>
        <w:tc>
          <w:tcPr>
            <w:tcW w:w="110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11.10%</w:t>
            </w:r>
          </w:p>
        </w:tc>
      </w:tr>
      <w:tr>
        <w:trPr>
          <w:trHeight w:val="20"/>
        </w:trPr>
        <w:tc>
          <w:tcPr>
            <w:tcW w:w="3960" w:type="dxa"/>
            <w:vAlign w:val="bottom"/>
            <w:tcBorders>
              <w:top w:val="single" w:sz="8" w:color="F0FFFF"/>
            </w:tcBorders>
            <w:shd w:val="clear" w:color="auto" w:fill="F0FFFF"/>
          </w:tcPr>
          <w:p>
            <w:pPr>
              <w:spacing w:after="0" w:line="20" w:lineRule="exact"/>
              <w:rPr>
                <w:sz w:val="1"/>
                <w:szCs w:val="1"/>
                <w:color w:val="auto"/>
              </w:rPr>
            </w:pPr>
          </w:p>
        </w:tc>
        <w:tc>
          <w:tcPr>
            <w:tcW w:w="64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r>
    </w:tbl>
    <w:p>
      <w:pPr>
        <w:spacing w:after="0" w:line="218" w:lineRule="exact"/>
        <w:rPr>
          <w:sz w:val="20"/>
          <w:szCs w:val="20"/>
          <w:color w:val="auto"/>
        </w:rPr>
      </w:pPr>
    </w:p>
    <w:p>
      <w:pPr>
        <w:ind w:left="140" w:hanging="137"/>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6"/>
          <w:szCs w:val="16"/>
          <w:color w:val="auto"/>
        </w:rPr>
        <w:t>March 31, 2015 calculated under Basel III rules, which became effective January 1, 2015.</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Interest Revenue (Taxable Equivalent)</w:t>
      </w:r>
    </w:p>
    <w:p>
      <w:pPr>
        <w:spacing w:after="0" w:line="219"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Net interest revenue (the difference between the interest earned on assets and the interest paid on deposits and borrowed funds) is the single largest component of total revenue. United actively manages the balance sheet to provide optimal levels of revenue while balancing interest rate, credit and liquidity risks. Taxable equivalent net interest revenue for the first quarter of 2015 was $57.6 million, up $3.45 million from the first quarter of 2014. The combination of growth in the loan portfolio, a higher yield on the securities portfolio and lower interest costs on deposits and borrowed funds were responsible for the increase in net interest revenue. United continues to focus on loan and deposit pricing in an effort to maintain a steady level of net interest revenue.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80" w:right="2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7"/>
          <w:szCs w:val="17"/>
          <w:color w:val="auto"/>
        </w:rPr>
        <w:t>While average loans increased $370 million, or 8%, from the first quarter of last year, the yield on loans decreased 18 basis points, reflecting the continuing effect of the low interest rate environment and pricing competition for a limited number of quality lending opportunities.</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Average interest-earning assets for the first quarter of 2015 increased $243 million, or 4%, from the first quarter of 2014, which was due primarily to the increase in loans offset by a decrease in the securities portfolio. Average investment securities for the first quarter of 2015 decreased $117 million from a year ago as United’s earning asset mix shifted to loans. The average yield on the investment portfolio increased 19 basis points from a year ago, mostly due to changes in the asset mix resulting from portfolio restructuring activities executed in the second quarter of 2014.</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During the second quarter of 2014, United sold approximately $237 million in securities which were mostly low-yielding variable-rate collateralized mortgage obligations (“CMOs”) and fixed rate corporate bonds that had been swapped to a floating rate. Improvement in the credit spreads on corporate bonds allowed United to sell the securities at an attractive gain that was used to repay $44 million in structured repurchase agreements that were paying a 4% interest rate. About $120 million of the proceeds from the sales of securities were reinvested in fixed rate mortgage-backed securities and higher yielding floating rate collateralized loan obligations to offset the impact of the decrease in interest revenue on the sold securities. These actions in the second quarter of 2014, along with strong loan growth in the three quarters that followed, were primarily responsible for increasing net interest revenue and improving the net interest margin which has held steady in the low 3.30% range since the time of the restructuring.</w:t>
      </w:r>
    </w:p>
    <w:p>
      <w:pPr>
        <w:spacing w:after="0" w:line="20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Also in the second quarter of 2014, as a result of improvement in the interest sensitivity position, United effectively terminated $300 million notional in pay fixed forward starting swaps that were serving as cash flow hedges of LIBOR based wholesale borrowings and indexed money market deposits. The swaps were entered into in 2012 in anticipation of rising interest rates and had forward start dates that took effect in the first and second quarters of 2014. Changes in United’s balance sheet since that time made the hedges no longer necessary to achieve a neutral interest sensitivity position. The termination of the cash flow hedges in the second quarter of 2014 lowered United’s deposit and wholesale borrowings costs and also contributed to the increase in net interest revenue and improvement in the net interest margin. In the fourth quarter of 2014 and first quarter of 2015, United terminated the remaining $100 million and $175 million notional, respectively, in pay fixed cash flow hedges that were serving as cash flow hedges of LIBOR based money market deposits.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above noted securities transactions increased the overall yield in the investment portfolio. The higher investment securities yields and the shift in composition of interest earning assets resulting from loan growth, led to a 2 basis point increase in the overall yield on interest-earning assets for the first quarter of 2015 compared with the first quarter of 2014. The yield on other interest-earning assets increased 11 basis points although the average balance declined slightly from the first quarter of 2014. United utilizes reverse repurchase agreements, including collateral swap transactions, where the company enters into a repurchase agreement and reverse repurchase agreement simultaneously with the same counterparty subject to a master netting agreement. In these transactions, the offsetting balances are netted on the balance sheet.</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Average interest-bearing liabilities of $5.15 billion for the first quarter of 2015 decreased $12.8 million from the first quarter of 2014. Average noninterest bearing deposits increased $220 million from the first quarter of 2014 to $1.62 billion for the first quarter of 2015. The average cost of interest-bearing liabilities for the first quarter of 2015 was .42% compared to .50% for the same period of 2014, reflecting United’s concerted efforts to reduce its cost of funds. During the second quarter of 2014, in conjunction with balance sheet restructuring activities, United prepaid approximately $44 million in other borrowings that were costing approximately 4%. In the first quarter of 2015, United repaid the remaining balance of $6 million. Late in the first quarter of 2015, United redeemed $15 million in trust preferred securities with an average rate exceeding 11%. Also contributing to the overall lower rate on interest-bearing liabilities was a shift in the mix of deposits away from more expensive time deposits toward lower-rate transaction deposits.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customers’ non-interest-bearing deposits and stockholders’ equity.</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For the first quarters of 2015 and 2014, the net interest spread was 3.18% and 3.08%, respectively, while the net interest margin was 3.31% and 3.21%, respectively. The increase in both ratios reflects the impact of the second quarter 2014 balance sheet management activities described above as well as growth in the loan portfolio.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83" w:right="239" w:bottom="1440" w:gutter="0" w:footer="0" w:header="0"/>
        </w:sectPr>
      </w:pPr>
    </w:p>
    <w:bookmarkStart w:id="43" w:name="page44"/>
    <w:bookmarkEnd w:id="43"/>
    <w:p>
      <w:pPr>
        <w:spacing w:after="0" w:line="277" w:lineRule="auto"/>
        <w:rPr>
          <w:sz w:val="20"/>
          <w:szCs w:val="20"/>
          <w:color w:val="auto"/>
        </w:rPr>
      </w:pPr>
      <w:r>
        <w:rPr>
          <w:rFonts w:ascii="Arial" w:cs="Arial" w:eastAsia="Arial" w:hAnsi="Arial"/>
          <w:sz w:val="17"/>
          <w:szCs w:val="17"/>
          <w:color w:val="auto"/>
        </w:rPr>
        <w:t>The following table shows the relationship between interest revenue and expense, and the average amounts of interest-earning assets and interest-bearing liabilities for the three months ended March 31, 2015 and 2014.</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2 - Average Consolidated Balance Sheets and Net Interest Analysis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2015</w:t>
            </w: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2014</w:t>
            </w:r>
          </w:p>
        </w:tc>
        <w:tc>
          <w:tcPr>
            <w:tcW w:w="2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89"/>
        </w:trPr>
        <w:tc>
          <w:tcPr>
            <w:tcW w:w="3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420"/>
              <w:spacing w:after="0" w:line="189" w:lineRule="exact"/>
              <w:rPr>
                <w:sz w:val="20"/>
                <w:szCs w:val="20"/>
                <w:color w:val="auto"/>
              </w:rPr>
            </w:pPr>
            <w:r>
              <w:rPr>
                <w:rFonts w:ascii="Arial" w:cs="Arial" w:eastAsia="Arial" w:hAnsi="Arial"/>
                <w:sz w:val="17"/>
                <w:szCs w:val="17"/>
                <w:b w:val="1"/>
                <w:bCs w:val="1"/>
                <w:color w:val="auto"/>
              </w:rPr>
              <w:t>Average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315"/>
              <w:spacing w:after="0" w:line="189" w:lineRule="exact"/>
              <w:rPr>
                <w:sz w:val="20"/>
                <w:szCs w:val="20"/>
                <w:color w:val="auto"/>
              </w:rPr>
            </w:pPr>
            <w:r>
              <w:rPr>
                <w:rFonts w:ascii="Arial" w:cs="Arial" w:eastAsia="Arial" w:hAnsi="Arial"/>
                <w:sz w:val="17"/>
                <w:szCs w:val="17"/>
                <w:b w:val="1"/>
                <w:bCs w:val="1"/>
                <w:color w:val="auto"/>
              </w:rPr>
              <w:t>Avg.</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400"/>
              <w:spacing w:after="0" w:line="189" w:lineRule="exact"/>
              <w:rPr>
                <w:sz w:val="20"/>
                <w:szCs w:val="20"/>
                <w:color w:val="auto"/>
              </w:rPr>
            </w:pPr>
            <w:r>
              <w:rPr>
                <w:rFonts w:ascii="Arial" w:cs="Arial" w:eastAsia="Arial" w:hAnsi="Arial"/>
                <w:sz w:val="17"/>
                <w:szCs w:val="17"/>
                <w:b w:val="1"/>
                <w:bCs w:val="1"/>
                <w:color w:val="auto"/>
                <w:w w:val="98"/>
              </w:rPr>
              <w:t>Average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335"/>
              <w:spacing w:after="0" w:line="189" w:lineRule="exact"/>
              <w:rPr>
                <w:sz w:val="20"/>
                <w:szCs w:val="20"/>
                <w:color w:val="auto"/>
              </w:rPr>
            </w:pPr>
            <w:r>
              <w:rPr>
                <w:rFonts w:ascii="Arial" w:cs="Arial" w:eastAsia="Arial" w:hAnsi="Arial"/>
                <w:sz w:val="17"/>
                <w:szCs w:val="17"/>
                <w:b w:val="1"/>
                <w:bCs w:val="1"/>
                <w:color w:val="auto"/>
              </w:rPr>
              <w:t>Avg.</w:t>
            </w:r>
          </w:p>
        </w:tc>
        <w:tc>
          <w:tcPr>
            <w:tcW w:w="140" w:type="dxa"/>
            <w:vAlign w:val="bottom"/>
          </w:tcPr>
          <w:p>
            <w:pPr>
              <w:spacing w:after="0"/>
              <w:rPr>
                <w:sz w:val="16"/>
                <w:szCs w:val="16"/>
                <w:color w:val="auto"/>
              </w:rPr>
            </w:pPr>
          </w:p>
        </w:tc>
      </w:tr>
      <w:tr>
        <w:trPr>
          <w:trHeight w:val="227"/>
        </w:trPr>
        <w:tc>
          <w:tcPr>
            <w:tcW w:w="3240" w:type="dxa"/>
            <w:vAlign w:val="bottom"/>
          </w:tcPr>
          <w:p>
            <w:pPr>
              <w:spacing w:after="0"/>
              <w:rPr>
                <w:sz w:val="20"/>
                <w:szCs w:val="20"/>
                <w:color w:val="auto"/>
              </w:rPr>
            </w:pPr>
            <w:r>
              <w:rPr>
                <w:rFonts w:ascii="Arial" w:cs="Arial" w:eastAsia="Arial" w:hAnsi="Arial"/>
                <w:sz w:val="17"/>
                <w:szCs w:val="17"/>
                <w:i w:val="1"/>
                <w:iCs w:val="1"/>
                <w:color w:val="auto"/>
              </w:rPr>
              <w:t>(dollars in thousands, taxable equivalent)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Balance</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rPr>
              <w:t>Interest</w:t>
            </w:r>
          </w:p>
        </w:tc>
        <w:tc>
          <w:tcPr>
            <w:tcW w:w="1380" w:type="dxa"/>
            <w:vAlign w:val="bottom"/>
            <w:gridSpan w:val="2"/>
          </w:tcPr>
          <w:p>
            <w:pPr>
              <w:jc w:val="right"/>
              <w:ind w:right="660"/>
              <w:spacing w:after="0"/>
              <w:rPr>
                <w:sz w:val="20"/>
                <w:szCs w:val="20"/>
                <w:color w:val="auto"/>
              </w:rPr>
            </w:pPr>
            <w:r>
              <w:rPr>
                <w:rFonts w:ascii="Arial" w:cs="Arial" w:eastAsia="Arial" w:hAnsi="Arial"/>
                <w:sz w:val="17"/>
                <w:szCs w:val="17"/>
                <w:b w:val="1"/>
                <w:bCs w:val="1"/>
                <w:color w:val="auto"/>
              </w:rPr>
              <w:t>Rate</w:t>
            </w:r>
          </w:p>
        </w:tc>
        <w:tc>
          <w:tcPr>
            <w:tcW w:w="18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Balance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Interest</w:t>
            </w:r>
          </w:p>
        </w:tc>
        <w:tc>
          <w:tcPr>
            <w:tcW w:w="128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rPr>
              <w:t>Rate</w:t>
            </w:r>
          </w:p>
        </w:tc>
      </w:tr>
      <w:tr>
        <w:trPr>
          <w:trHeight w:val="205"/>
        </w:trPr>
        <w:tc>
          <w:tcPr>
            <w:tcW w:w="324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7"/>
                <w:szCs w:val="17"/>
                <w:b w:val="1"/>
                <w:bCs w:val="1"/>
                <w:color w:val="auto"/>
              </w:rPr>
              <w:t>Assets:</w:t>
            </w:r>
          </w:p>
        </w:tc>
        <w:tc>
          <w:tcPr>
            <w:tcW w:w="80" w:type="dxa"/>
            <w:vAlign w:val="bottom"/>
            <w:tcBorders>
              <w:top w:val="single" w:sz="8" w:color="auto"/>
            </w:tcBorders>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980" w:type="dxa"/>
            <w:vAlign w:val="bottom"/>
            <w:tcBorders>
              <w:top w:val="single" w:sz="8" w:color="auto"/>
            </w:tcBorders>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80" w:type="dxa"/>
            <w:vAlign w:val="bottom"/>
            <w:tcBorders>
              <w:top w:val="single" w:sz="8" w:color="auto"/>
            </w:tcBorders>
            <w:shd w:val="clear" w:color="auto" w:fill="F0FFFF"/>
          </w:tcPr>
          <w:p>
            <w:pPr>
              <w:spacing w:after="0"/>
              <w:rPr>
                <w:sz w:val="17"/>
                <w:szCs w:val="17"/>
                <w:color w:val="auto"/>
              </w:rPr>
            </w:pPr>
          </w:p>
        </w:tc>
        <w:tc>
          <w:tcPr>
            <w:tcW w:w="200" w:type="dxa"/>
            <w:vAlign w:val="bottom"/>
            <w:tcBorders>
              <w:top w:val="single" w:sz="8" w:color="auto"/>
            </w:tcBorders>
            <w:shd w:val="clear" w:color="auto" w:fill="F0FFFF"/>
          </w:tcPr>
          <w:p>
            <w:pPr>
              <w:spacing w:after="0"/>
              <w:rPr>
                <w:sz w:val="17"/>
                <w:szCs w:val="17"/>
                <w:color w:val="auto"/>
              </w:rPr>
            </w:pPr>
          </w:p>
        </w:tc>
        <w:tc>
          <w:tcPr>
            <w:tcW w:w="960" w:type="dxa"/>
            <w:vAlign w:val="bottom"/>
            <w:tcBorders>
              <w:top w:val="single" w:sz="8" w:color="auto"/>
            </w:tcBorders>
            <w:shd w:val="clear" w:color="auto" w:fill="F0FFFF"/>
          </w:tcPr>
          <w:p>
            <w:pPr>
              <w:spacing w:after="0"/>
              <w:rPr>
                <w:sz w:val="17"/>
                <w:szCs w:val="17"/>
                <w:color w:val="auto"/>
              </w:rPr>
            </w:pPr>
          </w:p>
        </w:tc>
        <w:tc>
          <w:tcPr>
            <w:tcW w:w="240" w:type="dxa"/>
            <w:vAlign w:val="bottom"/>
            <w:tcBorders>
              <w:top w:val="single" w:sz="8" w:color="auto"/>
            </w:tcBorders>
            <w:shd w:val="clear" w:color="auto" w:fill="F0FFFF"/>
          </w:tcPr>
          <w:p>
            <w:pPr>
              <w:spacing w:after="0"/>
              <w:rPr>
                <w:sz w:val="17"/>
                <w:szCs w:val="17"/>
                <w:color w:val="auto"/>
              </w:rPr>
            </w:pPr>
          </w:p>
        </w:tc>
        <w:tc>
          <w:tcPr>
            <w:tcW w:w="1120" w:type="dxa"/>
            <w:vAlign w:val="bottom"/>
            <w:tcBorders>
              <w:top w:val="single" w:sz="8" w:color="auto"/>
            </w:tcBorders>
            <w:shd w:val="clear" w:color="auto" w:fill="F0FFFF"/>
          </w:tcPr>
          <w:p>
            <w:pPr>
              <w:spacing w:after="0"/>
              <w:rPr>
                <w:sz w:val="17"/>
                <w:szCs w:val="17"/>
                <w:color w:val="auto"/>
              </w:rPr>
            </w:pPr>
          </w:p>
        </w:tc>
        <w:tc>
          <w:tcPr>
            <w:tcW w:w="260" w:type="dxa"/>
            <w:vAlign w:val="bottom"/>
            <w:tcBorders>
              <w:top w:val="single" w:sz="8" w:color="auto"/>
            </w:tcBorders>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940" w:type="dxa"/>
            <w:vAlign w:val="bottom"/>
            <w:tcBorders>
              <w:top w:val="single" w:sz="8" w:color="auto"/>
            </w:tcBorders>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80" w:type="dxa"/>
            <w:vAlign w:val="bottom"/>
            <w:tcBorders>
              <w:top w:val="single" w:sz="8" w:color="auto"/>
            </w:tcBorders>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940" w:type="dxa"/>
            <w:vAlign w:val="bottom"/>
            <w:tcBorders>
              <w:top w:val="single" w:sz="8" w:color="auto"/>
            </w:tcBorders>
            <w:shd w:val="clear" w:color="auto" w:fill="F0FFFF"/>
          </w:tcPr>
          <w:p>
            <w:pPr>
              <w:spacing w:after="0"/>
              <w:rPr>
                <w:sz w:val="17"/>
                <w:szCs w:val="17"/>
                <w:color w:val="auto"/>
              </w:rPr>
            </w:pPr>
          </w:p>
        </w:tc>
        <w:tc>
          <w:tcPr>
            <w:tcW w:w="200" w:type="dxa"/>
            <w:vAlign w:val="bottom"/>
            <w:tcBorders>
              <w:top w:val="single" w:sz="8" w:color="auto"/>
            </w:tcBorders>
            <w:shd w:val="clear" w:color="auto" w:fill="F0FFFF"/>
          </w:tcPr>
          <w:p>
            <w:pPr>
              <w:spacing w:after="0"/>
              <w:rPr>
                <w:sz w:val="17"/>
                <w:szCs w:val="17"/>
                <w:color w:val="auto"/>
              </w:rPr>
            </w:pPr>
          </w:p>
        </w:tc>
        <w:tc>
          <w:tcPr>
            <w:tcW w:w="114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3240" w:type="dxa"/>
            <w:vAlign w:val="bottom"/>
          </w:tcPr>
          <w:p>
            <w:pPr>
              <w:spacing w:after="0"/>
              <w:rPr>
                <w:sz w:val="20"/>
                <w:szCs w:val="20"/>
                <w:color w:val="auto"/>
              </w:rPr>
            </w:pPr>
            <w:r>
              <w:rPr>
                <w:rFonts w:ascii="Arial" w:cs="Arial" w:eastAsia="Arial" w:hAnsi="Arial"/>
                <w:sz w:val="17"/>
                <w:szCs w:val="17"/>
                <w:color w:val="auto"/>
              </w:rPr>
              <w:t>Interest-earning assets: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3240" w:type="dxa"/>
            <w:vAlign w:val="bottom"/>
            <w:shd w:val="clear" w:color="auto" w:fill="F0FFFF"/>
          </w:tcPr>
          <w:p>
            <w:pPr>
              <w:ind w:left="80"/>
              <w:spacing w:after="0"/>
              <w:rPr>
                <w:sz w:val="20"/>
                <w:szCs w:val="20"/>
                <w:color w:val="auto"/>
              </w:rPr>
            </w:pPr>
            <w:r>
              <w:rPr>
                <w:rFonts w:ascii="Arial" w:cs="Arial" w:eastAsia="Arial" w:hAnsi="Arial"/>
                <w:sz w:val="17"/>
                <w:szCs w:val="17"/>
                <w:color w:val="auto"/>
              </w:rPr>
              <w:t xml:space="preserve">Loans, net of unearned income </w:t>
            </w:r>
            <w:r>
              <w:rPr>
                <w:rFonts w:ascii="Arial" w:cs="Arial" w:eastAsia="Arial" w:hAnsi="Arial"/>
                <w:sz w:val="17"/>
                <w:szCs w:val="17"/>
                <w:color w:val="auto"/>
                <w:vertAlign w:val="superscript"/>
              </w:rPr>
              <w:t>(1)(2)</w:t>
            </w:r>
          </w:p>
        </w:tc>
        <w:tc>
          <w:tcPr>
            <w:tcW w:w="260" w:type="dxa"/>
            <w:vAlign w:val="bottom"/>
            <w:gridSpan w:val="2"/>
            <w:shd w:val="clear" w:color="auto" w:fill="F0FFFF"/>
          </w:tcPr>
          <w:p>
            <w:pPr>
              <w:jc w:val="right"/>
              <w:ind w:right="25"/>
              <w:spacing w:after="0"/>
              <w:rPr>
                <w:sz w:val="20"/>
                <w:szCs w:val="20"/>
                <w:color w:val="auto"/>
              </w:rPr>
            </w:pPr>
            <w:r>
              <w:rPr>
                <w:rFonts w:ascii="Arial" w:cs="Arial" w:eastAsia="Arial" w:hAnsi="Arial"/>
                <w:sz w:val="17"/>
                <w:szCs w:val="17"/>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4,725,304</w:t>
            </w:r>
          </w:p>
        </w:tc>
        <w:tc>
          <w:tcPr>
            <w:tcW w:w="140" w:type="dxa"/>
            <w:vAlign w:val="bottom"/>
            <w:shd w:val="clear" w:color="auto" w:fill="F0FFFF"/>
          </w:tcPr>
          <w:p>
            <w:pPr>
              <w:spacing w:after="0"/>
              <w:rPr>
                <w:sz w:val="17"/>
                <w:szCs w:val="17"/>
                <w:color w:val="auto"/>
              </w:rPr>
            </w:pP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49,865</w:t>
            </w:r>
          </w:p>
        </w:tc>
        <w:tc>
          <w:tcPr>
            <w:tcW w:w="138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4.28%</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4,355,572</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47,868</w:t>
            </w:r>
          </w:p>
        </w:tc>
        <w:tc>
          <w:tcPr>
            <w:tcW w:w="128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4.46%</w:t>
            </w:r>
          </w:p>
        </w:tc>
      </w:tr>
      <w:tr>
        <w:trPr>
          <w:trHeight w:val="205"/>
        </w:trPr>
        <w:tc>
          <w:tcPr>
            <w:tcW w:w="3240" w:type="dxa"/>
            <w:vAlign w:val="bottom"/>
          </w:tcPr>
          <w:p>
            <w:pPr>
              <w:ind w:left="80"/>
              <w:spacing w:after="0"/>
              <w:rPr>
                <w:sz w:val="20"/>
                <w:szCs w:val="20"/>
                <w:color w:val="auto"/>
              </w:rPr>
            </w:pPr>
            <w:r>
              <w:rPr>
                <w:rFonts w:ascii="Arial" w:cs="Arial" w:eastAsia="Arial" w:hAnsi="Arial"/>
                <w:sz w:val="17"/>
                <w:szCs w:val="17"/>
                <w:color w:val="auto"/>
              </w:rPr>
              <w:t xml:space="preserve">Taxable securities </w:t>
            </w:r>
            <w:r>
              <w:rPr>
                <w:rFonts w:ascii="Arial" w:cs="Arial" w:eastAsia="Arial" w:hAnsi="Arial"/>
                <w:sz w:val="17"/>
                <w:szCs w:val="17"/>
                <w:color w:val="auto"/>
                <w:vertAlign w:val="superscript"/>
              </w:rPr>
              <w:t>(3)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2,186,756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11,900</w:t>
            </w:r>
          </w:p>
        </w:tc>
        <w:tc>
          <w:tcPr>
            <w:tcW w:w="24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2.18</w:t>
            </w: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2,300,316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11,419</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1.99</w:t>
            </w:r>
          </w:p>
        </w:tc>
      </w:tr>
      <w:tr>
        <w:trPr>
          <w:trHeight w:val="205"/>
        </w:trPr>
        <w:tc>
          <w:tcPr>
            <w:tcW w:w="3240" w:type="dxa"/>
            <w:vAlign w:val="bottom"/>
            <w:shd w:val="clear" w:color="auto" w:fill="F0FFFF"/>
          </w:tcPr>
          <w:p>
            <w:pPr>
              <w:ind w:left="80"/>
              <w:spacing w:after="0"/>
              <w:rPr>
                <w:sz w:val="20"/>
                <w:szCs w:val="20"/>
                <w:color w:val="auto"/>
              </w:rPr>
            </w:pPr>
            <w:r>
              <w:rPr>
                <w:rFonts w:ascii="Arial" w:cs="Arial" w:eastAsia="Arial" w:hAnsi="Arial"/>
                <w:sz w:val="17"/>
                <w:szCs w:val="17"/>
                <w:color w:val="auto"/>
              </w:rPr>
              <w:t xml:space="preserve">Tax-exempt securities </w:t>
            </w:r>
            <w:r>
              <w:rPr>
                <w:rFonts w:ascii="Arial" w:cs="Arial" w:eastAsia="Arial" w:hAnsi="Arial"/>
                <w:sz w:val="17"/>
                <w:szCs w:val="17"/>
                <w:color w:val="auto"/>
                <w:vertAlign w:val="superscript"/>
              </w:rPr>
              <w:t>(1)(3)</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16,236</w:t>
            </w: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259</w:t>
            </w:r>
          </w:p>
        </w:tc>
        <w:tc>
          <w:tcPr>
            <w:tcW w:w="138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6.38</w:t>
            </w:r>
          </w:p>
        </w:tc>
        <w:tc>
          <w:tcPr>
            <w:tcW w:w="18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20,173</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308</w:t>
            </w: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6.11</w:t>
            </w:r>
          </w:p>
        </w:tc>
      </w:tr>
      <w:tr>
        <w:trPr>
          <w:trHeight w:val="193"/>
        </w:trPr>
        <w:tc>
          <w:tcPr>
            <w:tcW w:w="3240" w:type="dxa"/>
            <w:vAlign w:val="bottom"/>
          </w:tcPr>
          <w:p>
            <w:pPr>
              <w:ind w:left="80"/>
              <w:spacing w:after="0" w:line="193" w:lineRule="exact"/>
              <w:rPr>
                <w:sz w:val="20"/>
                <w:szCs w:val="20"/>
                <w:color w:val="auto"/>
              </w:rPr>
            </w:pPr>
            <w:r>
              <w:rPr>
                <w:rFonts w:ascii="Arial" w:cs="Arial" w:eastAsia="Arial" w:hAnsi="Arial"/>
                <w:sz w:val="17"/>
                <w:szCs w:val="17"/>
                <w:color w:val="auto"/>
                <w:w w:val="92"/>
              </w:rPr>
              <w:t>Federal funds sold and other interest-earning</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3"/>
        </w:trPr>
        <w:tc>
          <w:tcPr>
            <w:tcW w:w="3240" w:type="dxa"/>
            <w:vAlign w:val="bottom"/>
          </w:tcPr>
          <w:p>
            <w:pPr>
              <w:ind w:left="320"/>
              <w:spacing w:after="0"/>
              <w:rPr>
                <w:sz w:val="20"/>
                <w:szCs w:val="20"/>
                <w:color w:val="auto"/>
              </w:rPr>
            </w:pPr>
            <w:r>
              <w:rPr>
                <w:rFonts w:ascii="Arial" w:cs="Arial" w:eastAsia="Arial" w:hAnsi="Arial"/>
                <w:sz w:val="17"/>
                <w:szCs w:val="17"/>
                <w:color w:val="auto"/>
              </w:rPr>
              <w:t>assets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141,414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885</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2.50</w:t>
            </w: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150,841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900</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2.39</w:t>
            </w:r>
          </w:p>
        </w:tc>
      </w:tr>
      <w:tr>
        <w:trPr>
          <w:trHeight w:val="205"/>
        </w:trPr>
        <w:tc>
          <w:tcPr>
            <w:tcW w:w="32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98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tcBorders>
              <w:top w:val="single" w:sz="8" w:color="auto"/>
            </w:tcBorders>
            <w:shd w:val="clear" w:color="auto" w:fill="F0FFFF"/>
          </w:tcPr>
          <w:p>
            <w:pPr>
              <w:spacing w:after="0"/>
              <w:rPr>
                <w:sz w:val="17"/>
                <w:szCs w:val="17"/>
                <w:color w:val="auto"/>
              </w:rPr>
            </w:pPr>
          </w:p>
        </w:tc>
        <w:tc>
          <w:tcPr>
            <w:tcW w:w="960" w:type="dxa"/>
            <w:vAlign w:val="bottom"/>
            <w:tcBorders>
              <w:top w:val="single" w:sz="8" w:color="auto"/>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94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940" w:type="dxa"/>
            <w:vAlign w:val="bottom"/>
            <w:tcBorders>
              <w:top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11"/>
        </w:trPr>
        <w:tc>
          <w:tcPr>
            <w:tcW w:w="3240" w:type="dxa"/>
            <w:vAlign w:val="bottom"/>
          </w:tcPr>
          <w:p>
            <w:pPr>
              <w:ind w:left="220"/>
              <w:spacing w:after="0"/>
              <w:rPr>
                <w:sz w:val="20"/>
                <w:szCs w:val="20"/>
                <w:color w:val="auto"/>
              </w:rPr>
            </w:pPr>
            <w:r>
              <w:rPr>
                <w:rFonts w:ascii="Arial" w:cs="Arial" w:eastAsia="Arial" w:hAnsi="Arial"/>
                <w:sz w:val="17"/>
                <w:szCs w:val="17"/>
                <w:b w:val="1"/>
                <w:bCs w:val="1"/>
                <w:color w:val="auto"/>
              </w:rPr>
              <w:t>Total interest-earning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7,069,710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62,909</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3.60</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6,826,902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60,495</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3.58</w:t>
            </w:r>
          </w:p>
        </w:tc>
      </w:tr>
      <w:tr>
        <w:trPr>
          <w:trHeight w:val="205"/>
        </w:trPr>
        <w:tc>
          <w:tcPr>
            <w:tcW w:w="3240" w:type="dxa"/>
            <w:vAlign w:val="bottom"/>
            <w:shd w:val="clear" w:color="auto" w:fill="F0FFFF"/>
          </w:tcPr>
          <w:p>
            <w:pPr>
              <w:spacing w:after="0"/>
              <w:rPr>
                <w:sz w:val="20"/>
                <w:szCs w:val="20"/>
                <w:color w:val="auto"/>
              </w:rPr>
            </w:pPr>
            <w:r>
              <w:rPr>
                <w:rFonts w:ascii="Arial" w:cs="Arial" w:eastAsia="Arial" w:hAnsi="Arial"/>
                <w:sz w:val="17"/>
                <w:szCs w:val="17"/>
                <w:color w:val="auto"/>
              </w:rPr>
              <w:t>Non-interest-earning assets:</w:t>
            </w:r>
          </w:p>
        </w:tc>
        <w:tc>
          <w:tcPr>
            <w:tcW w:w="80" w:type="dxa"/>
            <w:vAlign w:val="bottom"/>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98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tcBorders>
              <w:top w:val="single" w:sz="8" w:color="auto"/>
            </w:tcBorders>
            <w:shd w:val="clear" w:color="auto" w:fill="F0FFFF"/>
          </w:tcPr>
          <w:p>
            <w:pPr>
              <w:spacing w:after="0"/>
              <w:rPr>
                <w:sz w:val="17"/>
                <w:szCs w:val="17"/>
                <w:color w:val="auto"/>
              </w:rPr>
            </w:pPr>
          </w:p>
        </w:tc>
        <w:tc>
          <w:tcPr>
            <w:tcW w:w="960" w:type="dxa"/>
            <w:vAlign w:val="bottom"/>
            <w:tcBorders>
              <w:top w:val="single" w:sz="8" w:color="auto"/>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94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940" w:type="dxa"/>
            <w:vAlign w:val="bottom"/>
            <w:tcBorders>
              <w:top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3240" w:type="dxa"/>
            <w:vAlign w:val="bottom"/>
          </w:tcPr>
          <w:p>
            <w:pPr>
              <w:ind w:left="80"/>
              <w:spacing w:after="0"/>
              <w:rPr>
                <w:sz w:val="20"/>
                <w:szCs w:val="20"/>
                <w:color w:val="auto"/>
              </w:rPr>
            </w:pPr>
            <w:r>
              <w:rPr>
                <w:rFonts w:ascii="Arial" w:cs="Arial" w:eastAsia="Arial" w:hAnsi="Arial"/>
                <w:sz w:val="17"/>
                <w:szCs w:val="17"/>
                <w:color w:val="auto"/>
              </w:rPr>
              <w:t>Allowance for loan losses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(72,192)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(77,491)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3240" w:type="dxa"/>
            <w:vAlign w:val="bottom"/>
            <w:shd w:val="clear" w:color="auto" w:fill="F0FFFF"/>
          </w:tcPr>
          <w:p>
            <w:pPr>
              <w:ind w:left="80"/>
              <w:spacing w:after="0"/>
              <w:rPr>
                <w:sz w:val="20"/>
                <w:szCs w:val="20"/>
                <w:color w:val="auto"/>
              </w:rPr>
            </w:pPr>
            <w:r>
              <w:rPr>
                <w:rFonts w:ascii="Arial" w:cs="Arial" w:eastAsia="Arial" w:hAnsi="Arial"/>
                <w:sz w:val="17"/>
                <w:szCs w:val="17"/>
                <w:color w:val="auto"/>
              </w:rPr>
              <w:t>Cash and due from banks</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79,025</w:t>
            </w: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62,054</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3240" w:type="dxa"/>
            <w:vAlign w:val="bottom"/>
          </w:tcPr>
          <w:p>
            <w:pPr>
              <w:ind w:left="80"/>
              <w:spacing w:after="0"/>
              <w:rPr>
                <w:sz w:val="20"/>
                <w:szCs w:val="20"/>
                <w:color w:val="auto"/>
              </w:rPr>
            </w:pPr>
            <w:r>
              <w:rPr>
                <w:rFonts w:ascii="Arial" w:cs="Arial" w:eastAsia="Arial" w:hAnsi="Arial"/>
                <w:sz w:val="17"/>
                <w:szCs w:val="17"/>
                <w:color w:val="auto"/>
              </w:rPr>
              <w:t>Premises and equipment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159,502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162,788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3240" w:type="dxa"/>
            <w:vAlign w:val="bottom"/>
            <w:shd w:val="clear" w:color="auto" w:fill="F0FFFF"/>
          </w:tcPr>
          <w:p>
            <w:pPr>
              <w:ind w:left="80"/>
              <w:spacing w:after="0"/>
              <w:rPr>
                <w:sz w:val="20"/>
                <w:szCs w:val="20"/>
                <w:color w:val="auto"/>
              </w:rPr>
            </w:pPr>
            <w:r>
              <w:rPr>
                <w:rFonts w:ascii="Arial" w:cs="Arial" w:eastAsia="Arial" w:hAnsi="Arial"/>
                <w:sz w:val="17"/>
                <w:szCs w:val="17"/>
                <w:color w:val="auto"/>
              </w:rPr>
              <w:t xml:space="preserve">Other assets </w:t>
            </w:r>
            <w:r>
              <w:rPr>
                <w:rFonts w:ascii="Arial" w:cs="Arial" w:eastAsia="Arial" w:hAnsi="Arial"/>
                <w:sz w:val="17"/>
                <w:szCs w:val="17"/>
                <w:color w:val="auto"/>
                <w:vertAlign w:val="superscript"/>
              </w:rPr>
              <w:t>(3)</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381,300</w:t>
            </w: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410,175</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6"/>
        </w:trPr>
        <w:tc>
          <w:tcPr>
            <w:tcW w:w="32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960" w:type="dxa"/>
            <w:vAlign w:val="bottom"/>
            <w:shd w:val="clear" w:color="auto" w:fill="F0FFFF"/>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120" w:type="dxa"/>
            <w:vAlign w:val="bottom"/>
            <w:shd w:val="clear" w:color="auto" w:fill="F0FFFF"/>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940" w:type="dxa"/>
            <w:vAlign w:val="bottom"/>
            <w:shd w:val="clear" w:color="auto" w:fill="F0FFFF"/>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14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r>
      <w:tr>
        <w:trPr>
          <w:trHeight w:val="205"/>
        </w:trPr>
        <w:tc>
          <w:tcPr>
            <w:tcW w:w="3240" w:type="dxa"/>
            <w:vAlign w:val="bottom"/>
          </w:tcPr>
          <w:p>
            <w:pPr>
              <w:ind w:left="220"/>
              <w:spacing w:after="0"/>
              <w:rPr>
                <w:sz w:val="20"/>
                <w:szCs w:val="20"/>
                <w:color w:val="auto"/>
              </w:rPr>
            </w:pPr>
            <w:r>
              <w:rPr>
                <w:rFonts w:ascii="Arial" w:cs="Arial" w:eastAsia="Arial" w:hAnsi="Arial"/>
                <w:sz w:val="17"/>
                <w:szCs w:val="17"/>
                <w:b w:val="1"/>
                <w:bCs w:val="1"/>
                <w:color w:val="auto"/>
              </w:rPr>
              <w:t>Total assets</w:t>
            </w:r>
          </w:p>
        </w:tc>
        <w:tc>
          <w:tcPr>
            <w:tcW w:w="8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7,617,345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7,384,428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32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3240" w:type="dxa"/>
            <w:vAlign w:val="bottom"/>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3240" w:type="dxa"/>
            <w:vAlign w:val="bottom"/>
            <w:shd w:val="clear" w:color="auto" w:fill="F0FFFF"/>
          </w:tcPr>
          <w:p>
            <w:pPr>
              <w:spacing w:after="0"/>
              <w:rPr>
                <w:sz w:val="20"/>
                <w:szCs w:val="20"/>
                <w:color w:val="auto"/>
              </w:rPr>
            </w:pPr>
            <w:r>
              <w:rPr>
                <w:rFonts w:ascii="Arial" w:cs="Arial" w:eastAsia="Arial" w:hAnsi="Arial"/>
                <w:sz w:val="17"/>
                <w:szCs w:val="17"/>
                <w:color w:val="auto"/>
              </w:rPr>
              <w:t>Interest-bearing liabilities:</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3240" w:type="dxa"/>
            <w:vAlign w:val="bottom"/>
          </w:tcPr>
          <w:p>
            <w:pPr>
              <w:ind w:left="80"/>
              <w:spacing w:after="0"/>
              <w:rPr>
                <w:sz w:val="20"/>
                <w:szCs w:val="20"/>
                <w:color w:val="auto"/>
              </w:rPr>
            </w:pPr>
            <w:r>
              <w:rPr>
                <w:rFonts w:ascii="Arial" w:cs="Arial" w:eastAsia="Arial" w:hAnsi="Arial"/>
                <w:sz w:val="17"/>
                <w:szCs w:val="17"/>
                <w:color w:val="auto"/>
              </w:rPr>
              <w:t>Interest-bearing deposits: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3240" w:type="dxa"/>
            <w:vAlign w:val="bottom"/>
            <w:shd w:val="clear" w:color="auto" w:fill="F0FFFF"/>
          </w:tcPr>
          <w:p>
            <w:pPr>
              <w:ind w:left="160"/>
              <w:spacing w:after="0"/>
              <w:rPr>
                <w:sz w:val="20"/>
                <w:szCs w:val="20"/>
                <w:color w:val="auto"/>
              </w:rPr>
            </w:pPr>
            <w:r>
              <w:rPr>
                <w:rFonts w:ascii="Arial" w:cs="Arial" w:eastAsia="Arial" w:hAnsi="Arial"/>
                <w:sz w:val="17"/>
                <w:szCs w:val="17"/>
                <w:color w:val="auto"/>
              </w:rPr>
              <w:t>NOW</w:t>
            </w:r>
          </w:p>
        </w:tc>
        <w:tc>
          <w:tcPr>
            <w:tcW w:w="260" w:type="dxa"/>
            <w:vAlign w:val="bottom"/>
            <w:gridSpan w:val="2"/>
            <w:shd w:val="clear" w:color="auto" w:fill="F0FFFF"/>
          </w:tcPr>
          <w:p>
            <w:pPr>
              <w:jc w:val="right"/>
              <w:ind w:right="25"/>
              <w:spacing w:after="0"/>
              <w:rPr>
                <w:sz w:val="20"/>
                <w:szCs w:val="20"/>
                <w:color w:val="auto"/>
              </w:rPr>
            </w:pPr>
            <w:r>
              <w:rPr>
                <w:rFonts w:ascii="Arial" w:cs="Arial" w:eastAsia="Arial" w:hAnsi="Arial"/>
                <w:sz w:val="17"/>
                <w:szCs w:val="17"/>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1,475,913</w:t>
            </w: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394</w:t>
            </w:r>
          </w:p>
        </w:tc>
        <w:tc>
          <w:tcPr>
            <w:tcW w:w="138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.11</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1,416,119</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440</w:t>
            </w: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.13</w:t>
            </w:r>
          </w:p>
        </w:tc>
      </w:tr>
      <w:tr>
        <w:trPr>
          <w:trHeight w:val="205"/>
        </w:trPr>
        <w:tc>
          <w:tcPr>
            <w:tcW w:w="3240" w:type="dxa"/>
            <w:vAlign w:val="bottom"/>
          </w:tcPr>
          <w:p>
            <w:pPr>
              <w:ind w:left="160"/>
              <w:spacing w:after="0"/>
              <w:rPr>
                <w:sz w:val="20"/>
                <w:szCs w:val="20"/>
                <w:color w:val="auto"/>
              </w:rPr>
            </w:pPr>
            <w:r>
              <w:rPr>
                <w:rFonts w:ascii="Arial" w:cs="Arial" w:eastAsia="Arial" w:hAnsi="Arial"/>
                <w:sz w:val="17"/>
                <w:szCs w:val="17"/>
                <w:color w:val="auto"/>
              </w:rPr>
              <w:t>Money market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1,466,913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673</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.19</w:t>
            </w: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1,376,993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563</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.17</w:t>
            </w:r>
          </w:p>
        </w:tc>
      </w:tr>
      <w:tr>
        <w:trPr>
          <w:trHeight w:val="205"/>
        </w:trPr>
        <w:tc>
          <w:tcPr>
            <w:tcW w:w="3240" w:type="dxa"/>
            <w:vAlign w:val="bottom"/>
            <w:shd w:val="clear" w:color="auto" w:fill="F0FFFF"/>
          </w:tcPr>
          <w:p>
            <w:pPr>
              <w:ind w:left="160"/>
              <w:spacing w:after="0"/>
              <w:rPr>
                <w:sz w:val="20"/>
                <w:szCs w:val="20"/>
                <w:color w:val="auto"/>
              </w:rPr>
            </w:pPr>
            <w:r>
              <w:rPr>
                <w:rFonts w:ascii="Arial" w:cs="Arial" w:eastAsia="Arial" w:hAnsi="Arial"/>
                <w:sz w:val="17"/>
                <w:szCs w:val="17"/>
                <w:color w:val="auto"/>
              </w:rPr>
              <w:t>Savings</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300,344</w:t>
            </w: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20</w:t>
            </w:r>
          </w:p>
        </w:tc>
        <w:tc>
          <w:tcPr>
            <w:tcW w:w="240" w:type="dxa"/>
            <w:vAlign w:val="bottom"/>
            <w:shd w:val="clear" w:color="auto" w:fill="F0FFFF"/>
          </w:tcPr>
          <w:p>
            <w:pPr>
              <w:spacing w:after="0"/>
              <w:rPr>
                <w:sz w:val="17"/>
                <w:szCs w:val="17"/>
                <w:color w:val="auto"/>
              </w:rPr>
            </w:pPr>
          </w:p>
        </w:tc>
        <w:tc>
          <w:tcPr>
            <w:tcW w:w="138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.03</w:t>
            </w:r>
          </w:p>
        </w:tc>
        <w:tc>
          <w:tcPr>
            <w:tcW w:w="18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259,548</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20</w:t>
            </w:r>
          </w:p>
        </w:tc>
        <w:tc>
          <w:tcPr>
            <w:tcW w:w="200" w:type="dxa"/>
            <w:vAlign w:val="bottom"/>
            <w:shd w:val="clear" w:color="auto" w:fill="F0FFFF"/>
          </w:tcPr>
          <w:p>
            <w:pPr>
              <w:spacing w:after="0"/>
              <w:rPr>
                <w:sz w:val="17"/>
                <w:szCs w:val="17"/>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.03</w:t>
            </w:r>
          </w:p>
        </w:tc>
      </w:tr>
      <w:tr>
        <w:trPr>
          <w:trHeight w:val="205"/>
        </w:trPr>
        <w:tc>
          <w:tcPr>
            <w:tcW w:w="3240" w:type="dxa"/>
            <w:vAlign w:val="bottom"/>
          </w:tcPr>
          <w:p>
            <w:pPr>
              <w:ind w:left="160"/>
              <w:spacing w:after="0"/>
              <w:rPr>
                <w:sz w:val="20"/>
                <w:szCs w:val="20"/>
                <w:color w:val="auto"/>
              </w:rPr>
            </w:pPr>
            <w:r>
              <w:rPr>
                <w:rFonts w:ascii="Arial" w:cs="Arial" w:eastAsia="Arial" w:hAnsi="Arial"/>
                <w:sz w:val="17"/>
                <w:szCs w:val="17"/>
                <w:color w:val="auto"/>
              </w:rPr>
              <w:t>Time less than $100,000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737,254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724</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.40</w:t>
            </w: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877,695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1,013</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.47</w:t>
            </w:r>
          </w:p>
        </w:tc>
      </w:tr>
      <w:tr>
        <w:trPr>
          <w:trHeight w:val="205"/>
        </w:trPr>
        <w:tc>
          <w:tcPr>
            <w:tcW w:w="3240" w:type="dxa"/>
            <w:vAlign w:val="bottom"/>
            <w:shd w:val="clear" w:color="auto" w:fill="F0FFFF"/>
          </w:tcPr>
          <w:p>
            <w:pPr>
              <w:ind w:left="160"/>
              <w:spacing w:after="0"/>
              <w:rPr>
                <w:sz w:val="20"/>
                <w:szCs w:val="20"/>
                <w:color w:val="auto"/>
              </w:rPr>
            </w:pPr>
            <w:r>
              <w:rPr>
                <w:rFonts w:ascii="Arial" w:cs="Arial" w:eastAsia="Arial" w:hAnsi="Arial"/>
                <w:sz w:val="17"/>
                <w:szCs w:val="17"/>
                <w:color w:val="auto"/>
              </w:rPr>
              <w:t>Time greater than $100,000</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494,451</w:t>
            </w: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664</w:t>
            </w:r>
          </w:p>
        </w:tc>
        <w:tc>
          <w:tcPr>
            <w:tcW w:w="138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.54</w:t>
            </w:r>
          </w:p>
        </w:tc>
        <w:tc>
          <w:tcPr>
            <w:tcW w:w="18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578,190</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918</w:t>
            </w: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.64</w:t>
            </w:r>
          </w:p>
        </w:tc>
      </w:tr>
      <w:tr>
        <w:trPr>
          <w:trHeight w:val="205"/>
        </w:trPr>
        <w:tc>
          <w:tcPr>
            <w:tcW w:w="3240" w:type="dxa"/>
            <w:vAlign w:val="bottom"/>
          </w:tcPr>
          <w:p>
            <w:pPr>
              <w:ind w:left="160"/>
              <w:spacing w:after="0"/>
              <w:rPr>
                <w:sz w:val="20"/>
                <w:szCs w:val="20"/>
                <w:color w:val="auto"/>
              </w:rPr>
            </w:pPr>
            <w:r>
              <w:rPr>
                <w:rFonts w:ascii="Arial" w:cs="Arial" w:eastAsia="Arial" w:hAnsi="Arial"/>
                <w:sz w:val="17"/>
                <w:szCs w:val="17"/>
                <w:color w:val="auto"/>
              </w:rPr>
              <w:t>Brokered time deposits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273,327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(279)</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(.41)</w:t>
            </w: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287,979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(160)</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(.23)</w:t>
            </w:r>
          </w:p>
        </w:tc>
      </w:tr>
      <w:tr>
        <w:trPr>
          <w:trHeight w:val="26"/>
        </w:trPr>
        <w:tc>
          <w:tcPr>
            <w:tcW w:w="3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1"/>
        </w:trPr>
        <w:tc>
          <w:tcPr>
            <w:tcW w:w="3240" w:type="dxa"/>
            <w:vAlign w:val="bottom"/>
            <w:shd w:val="clear" w:color="auto" w:fill="F0FFFF"/>
          </w:tcPr>
          <w:p>
            <w:pPr>
              <w:ind w:left="300"/>
              <w:spacing w:after="0"/>
              <w:rPr>
                <w:sz w:val="20"/>
                <w:szCs w:val="20"/>
                <w:color w:val="auto"/>
              </w:rPr>
            </w:pPr>
            <w:r>
              <w:rPr>
                <w:rFonts w:ascii="Arial" w:cs="Arial" w:eastAsia="Arial" w:hAnsi="Arial"/>
                <w:sz w:val="17"/>
                <w:szCs w:val="17"/>
                <w:color w:val="auto"/>
              </w:rPr>
              <w:t>Total interest-bearing deposits</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4,748,202</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2,196</w:t>
            </w:r>
          </w:p>
        </w:tc>
        <w:tc>
          <w:tcPr>
            <w:tcW w:w="240" w:type="dxa"/>
            <w:vAlign w:val="bottom"/>
            <w:shd w:val="clear" w:color="auto" w:fill="F0FFFF"/>
          </w:tcPr>
          <w:p>
            <w:pPr>
              <w:spacing w:after="0"/>
              <w:rPr>
                <w:sz w:val="18"/>
                <w:szCs w:val="18"/>
                <w:color w:val="auto"/>
              </w:rPr>
            </w:pPr>
          </w:p>
        </w:tc>
        <w:tc>
          <w:tcPr>
            <w:tcW w:w="138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.19</w:t>
            </w:r>
          </w:p>
        </w:tc>
        <w:tc>
          <w:tcPr>
            <w:tcW w:w="1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4,796,524</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2,794</w:t>
            </w: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.24</w:t>
            </w:r>
          </w:p>
        </w:tc>
      </w:tr>
      <w:tr>
        <w:trPr>
          <w:trHeight w:val="205"/>
        </w:trPr>
        <w:tc>
          <w:tcPr>
            <w:tcW w:w="32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F0FFFF"/>
            </w:tcBorders>
          </w:tcPr>
          <w:p>
            <w:pPr>
              <w:spacing w:after="0"/>
              <w:rPr>
                <w:sz w:val="17"/>
                <w:szCs w:val="17"/>
                <w:color w:val="auto"/>
              </w:rPr>
            </w:pPr>
          </w:p>
        </w:tc>
        <w:tc>
          <w:tcPr>
            <w:tcW w:w="1120" w:type="dxa"/>
            <w:vAlign w:val="bottom"/>
            <w:tcBorders>
              <w:top w:val="single" w:sz="8" w:color="F0FFFF"/>
            </w:tcBorders>
          </w:tcPr>
          <w:p>
            <w:pPr>
              <w:spacing w:after="0"/>
              <w:rPr>
                <w:sz w:val="17"/>
                <w:szCs w:val="17"/>
                <w:color w:val="auto"/>
              </w:rPr>
            </w:pPr>
          </w:p>
        </w:tc>
        <w:tc>
          <w:tcPr>
            <w:tcW w:w="26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F0FFFF"/>
            </w:tcBorders>
          </w:tcPr>
          <w:p>
            <w:pPr>
              <w:spacing w:after="0"/>
              <w:rPr>
                <w:sz w:val="17"/>
                <w:szCs w:val="17"/>
                <w:color w:val="auto"/>
              </w:rPr>
            </w:pPr>
          </w:p>
        </w:tc>
        <w:tc>
          <w:tcPr>
            <w:tcW w:w="1140" w:type="dxa"/>
            <w:vAlign w:val="bottom"/>
            <w:tcBorders>
              <w:top w:val="single" w:sz="8" w:color="F0FFFF"/>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r>
      <w:tr>
        <w:trPr>
          <w:trHeight w:val="193"/>
        </w:trPr>
        <w:tc>
          <w:tcPr>
            <w:tcW w:w="3240" w:type="dxa"/>
            <w:vAlign w:val="bottom"/>
            <w:shd w:val="clear" w:color="auto" w:fill="F0FFFF"/>
          </w:tcPr>
          <w:p>
            <w:pPr>
              <w:ind w:left="160"/>
              <w:spacing w:after="0" w:line="193" w:lineRule="exact"/>
              <w:rPr>
                <w:sz w:val="20"/>
                <w:szCs w:val="20"/>
                <w:color w:val="auto"/>
              </w:rPr>
            </w:pPr>
            <w:r>
              <w:rPr>
                <w:rFonts w:ascii="Arial" w:cs="Arial" w:eastAsia="Arial" w:hAnsi="Arial"/>
                <w:sz w:val="17"/>
                <w:szCs w:val="17"/>
                <w:color w:val="auto"/>
              </w:rPr>
              <w:t>Federal funds purchased and other</w:t>
            </w:r>
          </w:p>
        </w:tc>
        <w:tc>
          <w:tcPr>
            <w:tcW w:w="8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12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14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r>
      <w:tr>
        <w:trPr>
          <w:trHeight w:val="218"/>
        </w:trPr>
        <w:tc>
          <w:tcPr>
            <w:tcW w:w="3240" w:type="dxa"/>
            <w:vAlign w:val="bottom"/>
            <w:shd w:val="clear" w:color="auto" w:fill="F0FFFF"/>
          </w:tcPr>
          <w:p>
            <w:pPr>
              <w:ind w:left="320"/>
              <w:spacing w:after="0"/>
              <w:rPr>
                <w:sz w:val="20"/>
                <w:szCs w:val="20"/>
                <w:color w:val="auto"/>
              </w:rPr>
            </w:pPr>
            <w:r>
              <w:rPr>
                <w:rFonts w:ascii="Arial" w:cs="Arial" w:eastAsia="Arial" w:hAnsi="Arial"/>
                <w:sz w:val="17"/>
                <w:szCs w:val="17"/>
                <w:color w:val="auto"/>
              </w:rPr>
              <w:t>borrowings</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36,145</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98</w:t>
            </w:r>
          </w:p>
        </w:tc>
        <w:tc>
          <w:tcPr>
            <w:tcW w:w="240" w:type="dxa"/>
            <w:vAlign w:val="bottom"/>
            <w:shd w:val="clear" w:color="auto" w:fill="F0FFFF"/>
          </w:tcPr>
          <w:p>
            <w:pPr>
              <w:spacing w:after="0"/>
              <w:rPr>
                <w:sz w:val="18"/>
                <w:szCs w:val="18"/>
                <w:color w:val="auto"/>
              </w:rPr>
            </w:pPr>
          </w:p>
        </w:tc>
        <w:tc>
          <w:tcPr>
            <w:tcW w:w="138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1.10</w:t>
            </w:r>
          </w:p>
        </w:tc>
        <w:tc>
          <w:tcPr>
            <w:tcW w:w="1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112,583</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840</w:t>
            </w: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3.03</w:t>
            </w:r>
          </w:p>
        </w:tc>
      </w:tr>
      <w:tr>
        <w:trPr>
          <w:trHeight w:val="205"/>
        </w:trPr>
        <w:tc>
          <w:tcPr>
            <w:tcW w:w="3240" w:type="dxa"/>
            <w:vAlign w:val="bottom"/>
          </w:tcPr>
          <w:p>
            <w:pPr>
              <w:ind w:left="160"/>
              <w:spacing w:after="0"/>
              <w:rPr>
                <w:sz w:val="20"/>
                <w:szCs w:val="20"/>
                <w:color w:val="auto"/>
              </w:rPr>
            </w:pPr>
            <w:r>
              <w:rPr>
                <w:rFonts w:ascii="Arial" w:cs="Arial" w:eastAsia="Arial" w:hAnsi="Arial"/>
                <w:sz w:val="17"/>
                <w:szCs w:val="17"/>
                <w:color w:val="auto"/>
              </w:rPr>
              <w:t>Federal Home Loan Bank advances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239,181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392</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.66</w:t>
            </w: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125,069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58</w:t>
            </w:r>
          </w:p>
        </w:tc>
        <w:tc>
          <w:tcPr>
            <w:tcW w:w="20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.19</w:t>
            </w:r>
          </w:p>
        </w:tc>
      </w:tr>
      <w:tr>
        <w:trPr>
          <w:trHeight w:val="205"/>
        </w:trPr>
        <w:tc>
          <w:tcPr>
            <w:tcW w:w="3240" w:type="dxa"/>
            <w:vAlign w:val="bottom"/>
            <w:shd w:val="clear" w:color="auto" w:fill="F0FFFF"/>
          </w:tcPr>
          <w:p>
            <w:pPr>
              <w:ind w:left="160"/>
              <w:spacing w:after="0"/>
              <w:rPr>
                <w:sz w:val="20"/>
                <w:szCs w:val="20"/>
                <w:color w:val="auto"/>
              </w:rPr>
            </w:pPr>
            <w:r>
              <w:rPr>
                <w:rFonts w:ascii="Arial" w:cs="Arial" w:eastAsia="Arial" w:hAnsi="Arial"/>
                <w:sz w:val="17"/>
                <w:szCs w:val="17"/>
                <w:color w:val="auto"/>
              </w:rPr>
              <w:t>Long-term debt</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127,740</w:t>
            </w: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2,606</w:t>
            </w:r>
          </w:p>
        </w:tc>
        <w:tc>
          <w:tcPr>
            <w:tcW w:w="240" w:type="dxa"/>
            <w:vAlign w:val="bottom"/>
            <w:shd w:val="clear" w:color="auto" w:fill="F0FFFF"/>
          </w:tcPr>
          <w:p>
            <w:pPr>
              <w:spacing w:after="0"/>
              <w:rPr>
                <w:sz w:val="17"/>
                <w:szCs w:val="17"/>
                <w:color w:val="auto"/>
              </w:rPr>
            </w:pPr>
          </w:p>
        </w:tc>
        <w:tc>
          <w:tcPr>
            <w:tcW w:w="1380" w:type="dxa"/>
            <w:vAlign w:val="bottom"/>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8.27</w:t>
            </w:r>
          </w:p>
        </w:tc>
        <w:tc>
          <w:tcPr>
            <w:tcW w:w="18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129,865</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2,634</w:t>
            </w: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8.23</w:t>
            </w:r>
          </w:p>
        </w:tc>
      </w:tr>
      <w:tr>
        <w:trPr>
          <w:trHeight w:val="26"/>
        </w:trPr>
        <w:tc>
          <w:tcPr>
            <w:tcW w:w="32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120" w:type="dxa"/>
            <w:vAlign w:val="bottom"/>
            <w:shd w:val="clear" w:color="auto" w:fill="F0FFFF"/>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14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r>
      <w:tr>
        <w:trPr>
          <w:trHeight w:val="211"/>
        </w:trPr>
        <w:tc>
          <w:tcPr>
            <w:tcW w:w="3240" w:type="dxa"/>
            <w:vAlign w:val="bottom"/>
          </w:tcPr>
          <w:p>
            <w:pPr>
              <w:ind w:left="260"/>
              <w:spacing w:after="0"/>
              <w:rPr>
                <w:sz w:val="20"/>
                <w:szCs w:val="20"/>
                <w:color w:val="auto"/>
              </w:rPr>
            </w:pPr>
            <w:r>
              <w:rPr>
                <w:rFonts w:ascii="Arial" w:cs="Arial" w:eastAsia="Arial" w:hAnsi="Arial"/>
                <w:sz w:val="17"/>
                <w:szCs w:val="17"/>
                <w:color w:val="auto"/>
              </w:rPr>
              <w:t>Total borrowed funds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403,066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3,096</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3.12</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367,517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3,532</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3.90</w:t>
            </w:r>
          </w:p>
        </w:tc>
      </w:tr>
      <w:tr>
        <w:trPr>
          <w:trHeight w:val="205"/>
        </w:trPr>
        <w:tc>
          <w:tcPr>
            <w:tcW w:w="32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98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tcBorders>
              <w:top w:val="single" w:sz="8" w:color="auto"/>
            </w:tcBorders>
            <w:shd w:val="clear" w:color="auto" w:fill="F0FFFF"/>
          </w:tcPr>
          <w:p>
            <w:pPr>
              <w:spacing w:after="0"/>
              <w:rPr>
                <w:sz w:val="17"/>
                <w:szCs w:val="17"/>
                <w:color w:val="auto"/>
              </w:rPr>
            </w:pPr>
          </w:p>
        </w:tc>
        <w:tc>
          <w:tcPr>
            <w:tcW w:w="960" w:type="dxa"/>
            <w:vAlign w:val="bottom"/>
            <w:tcBorders>
              <w:top w:val="single" w:sz="8" w:color="auto"/>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94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940" w:type="dxa"/>
            <w:vAlign w:val="bottom"/>
            <w:tcBorders>
              <w:top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11"/>
        </w:trPr>
        <w:tc>
          <w:tcPr>
            <w:tcW w:w="3240" w:type="dxa"/>
            <w:vAlign w:val="bottom"/>
          </w:tcPr>
          <w:p>
            <w:pPr>
              <w:ind w:left="260"/>
              <w:spacing w:after="0"/>
              <w:rPr>
                <w:sz w:val="20"/>
                <w:szCs w:val="20"/>
                <w:color w:val="auto"/>
              </w:rPr>
            </w:pPr>
            <w:r>
              <w:rPr>
                <w:rFonts w:ascii="Arial" w:cs="Arial" w:eastAsia="Arial" w:hAnsi="Arial"/>
                <w:sz w:val="17"/>
                <w:szCs w:val="17"/>
                <w:b w:val="1"/>
                <w:bCs w:val="1"/>
                <w:color w:val="auto"/>
              </w:rPr>
              <w:t>Total interest-bearing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5,151,268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5,292</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.42</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5,164,041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6,326</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.50</w:t>
            </w:r>
          </w:p>
        </w:tc>
      </w:tr>
      <w:tr>
        <w:trPr>
          <w:trHeight w:val="205"/>
        </w:trPr>
        <w:tc>
          <w:tcPr>
            <w:tcW w:w="3240" w:type="dxa"/>
            <w:vAlign w:val="bottom"/>
            <w:shd w:val="clear" w:color="auto" w:fill="F0FFFF"/>
          </w:tcPr>
          <w:p>
            <w:pPr>
              <w:spacing w:after="0"/>
              <w:rPr>
                <w:sz w:val="20"/>
                <w:szCs w:val="20"/>
                <w:color w:val="auto"/>
              </w:rPr>
            </w:pPr>
            <w:r>
              <w:rPr>
                <w:rFonts w:ascii="Arial" w:cs="Arial" w:eastAsia="Arial" w:hAnsi="Arial"/>
                <w:sz w:val="17"/>
                <w:szCs w:val="17"/>
                <w:color w:val="auto"/>
              </w:rPr>
              <w:t>Non-interest-bearing liabilities:</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tcBorders>
              <w:top w:val="single" w:sz="8" w:color="auto"/>
            </w:tcBorders>
            <w:shd w:val="clear" w:color="auto" w:fill="F0FFFF"/>
          </w:tcPr>
          <w:p>
            <w:pPr>
              <w:spacing w:after="0"/>
              <w:rPr>
                <w:sz w:val="17"/>
                <w:szCs w:val="17"/>
                <w:color w:val="auto"/>
              </w:rPr>
            </w:pPr>
          </w:p>
        </w:tc>
        <w:tc>
          <w:tcPr>
            <w:tcW w:w="960" w:type="dxa"/>
            <w:vAlign w:val="bottom"/>
            <w:tcBorders>
              <w:top w:val="single" w:sz="8" w:color="auto"/>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940" w:type="dxa"/>
            <w:vAlign w:val="bottom"/>
            <w:tcBorders>
              <w:top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3240" w:type="dxa"/>
            <w:vAlign w:val="bottom"/>
          </w:tcPr>
          <w:p>
            <w:pPr>
              <w:ind w:left="80"/>
              <w:spacing w:after="0"/>
              <w:rPr>
                <w:sz w:val="20"/>
                <w:szCs w:val="20"/>
                <w:color w:val="auto"/>
              </w:rPr>
            </w:pPr>
            <w:r>
              <w:rPr>
                <w:rFonts w:ascii="Arial" w:cs="Arial" w:eastAsia="Arial" w:hAnsi="Arial"/>
                <w:sz w:val="17"/>
                <w:szCs w:val="17"/>
                <w:color w:val="auto"/>
              </w:rPr>
              <w:t>Non-interest-bearing deposits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1,620,984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1,400,619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3240" w:type="dxa"/>
            <w:vAlign w:val="bottom"/>
            <w:shd w:val="clear" w:color="auto" w:fill="F0FFFF"/>
          </w:tcPr>
          <w:p>
            <w:pPr>
              <w:ind w:left="80"/>
              <w:spacing w:after="0"/>
              <w:rPr>
                <w:sz w:val="20"/>
                <w:szCs w:val="20"/>
                <w:color w:val="auto"/>
              </w:rPr>
            </w:pPr>
            <w:r>
              <w:rPr>
                <w:rFonts w:ascii="Arial" w:cs="Arial" w:eastAsia="Arial" w:hAnsi="Arial"/>
                <w:sz w:val="17"/>
                <w:szCs w:val="17"/>
                <w:color w:val="auto"/>
              </w:rPr>
              <w:t>Other liabilities</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94,207</w:t>
            </w: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116,667</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6"/>
        </w:trPr>
        <w:tc>
          <w:tcPr>
            <w:tcW w:w="32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960" w:type="dxa"/>
            <w:vAlign w:val="bottom"/>
            <w:shd w:val="clear" w:color="auto" w:fill="F0FFFF"/>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120" w:type="dxa"/>
            <w:vAlign w:val="bottom"/>
            <w:shd w:val="clear" w:color="auto" w:fill="F0FFFF"/>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940" w:type="dxa"/>
            <w:vAlign w:val="bottom"/>
            <w:shd w:val="clear" w:color="auto" w:fill="F0FFFF"/>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14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r>
      <w:tr>
        <w:trPr>
          <w:trHeight w:val="205"/>
        </w:trPr>
        <w:tc>
          <w:tcPr>
            <w:tcW w:w="3240" w:type="dxa"/>
            <w:vAlign w:val="bottom"/>
          </w:tcPr>
          <w:p>
            <w:pPr>
              <w:ind w:left="220"/>
              <w:spacing w:after="0"/>
              <w:rPr>
                <w:sz w:val="20"/>
                <w:szCs w:val="20"/>
                <w:color w:val="auto"/>
              </w:rPr>
            </w:pPr>
            <w:r>
              <w:rPr>
                <w:rFonts w:ascii="Arial" w:cs="Arial" w:eastAsia="Arial" w:hAnsi="Arial"/>
                <w:sz w:val="17"/>
                <w:szCs w:val="17"/>
                <w:color w:val="auto"/>
              </w:rPr>
              <w:t>Total liabilities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6,866,459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6,681,327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3240" w:type="dxa"/>
            <w:vAlign w:val="bottom"/>
            <w:shd w:val="clear" w:color="auto" w:fill="F0FFFF"/>
          </w:tcPr>
          <w:p>
            <w:pPr>
              <w:spacing w:after="0"/>
              <w:rPr>
                <w:sz w:val="20"/>
                <w:szCs w:val="20"/>
                <w:color w:val="auto"/>
              </w:rPr>
            </w:pPr>
            <w:r>
              <w:rPr>
                <w:rFonts w:ascii="Arial" w:cs="Arial" w:eastAsia="Arial" w:hAnsi="Arial"/>
                <w:sz w:val="17"/>
                <w:szCs w:val="17"/>
                <w:color w:val="auto"/>
              </w:rPr>
              <w:t>Shareholders’ equity</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750,886</w:t>
            </w: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703,101</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6"/>
        </w:trPr>
        <w:tc>
          <w:tcPr>
            <w:tcW w:w="32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960" w:type="dxa"/>
            <w:vAlign w:val="bottom"/>
            <w:shd w:val="clear" w:color="auto" w:fill="F0FFFF"/>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120" w:type="dxa"/>
            <w:vAlign w:val="bottom"/>
            <w:shd w:val="clear" w:color="auto" w:fill="F0FFFF"/>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940" w:type="dxa"/>
            <w:vAlign w:val="bottom"/>
            <w:shd w:val="clear" w:color="auto" w:fill="F0FFFF"/>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14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r>
      <w:tr>
        <w:trPr>
          <w:trHeight w:val="205"/>
        </w:trPr>
        <w:tc>
          <w:tcPr>
            <w:tcW w:w="3240" w:type="dxa"/>
            <w:vAlign w:val="bottom"/>
          </w:tcPr>
          <w:p>
            <w:pPr>
              <w:ind w:left="220"/>
              <w:spacing w:after="0"/>
              <w:rPr>
                <w:sz w:val="20"/>
                <w:szCs w:val="20"/>
                <w:color w:val="auto"/>
              </w:rPr>
            </w:pPr>
            <w:r>
              <w:rPr>
                <w:rFonts w:ascii="Arial" w:cs="Arial" w:eastAsia="Arial" w:hAnsi="Arial"/>
                <w:sz w:val="17"/>
                <w:szCs w:val="17"/>
                <w:b w:val="1"/>
                <w:bCs w:val="1"/>
                <w:color w:val="auto"/>
                <w:w w:val="92"/>
              </w:rPr>
              <w:t>Total liabilities and shareholders’ equity</w:t>
            </w:r>
          </w:p>
        </w:tc>
        <w:tc>
          <w:tcPr>
            <w:tcW w:w="8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7,617,345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7,384,428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32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3240" w:type="dxa"/>
            <w:vAlign w:val="bottom"/>
          </w:tcPr>
          <w:p>
            <w:pPr>
              <w:spacing w:after="0"/>
              <w:rPr>
                <w:sz w:val="20"/>
                <w:szCs w:val="20"/>
                <w:color w:val="auto"/>
              </w:rPr>
            </w:pPr>
            <w:r>
              <w:rPr>
                <w:rFonts w:ascii="Arial" w:cs="Arial" w:eastAsia="Arial" w:hAnsi="Arial"/>
                <w:sz w:val="17"/>
                <w:szCs w:val="17"/>
                <w:b w:val="1"/>
                <w:bCs w:val="1"/>
                <w:color w:val="auto"/>
              </w:rPr>
              <w:t>Net interest revenue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57,617</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54,169</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6"/>
        </w:trPr>
        <w:tc>
          <w:tcPr>
            <w:tcW w:w="3240" w:type="dxa"/>
            <w:vAlign w:val="bottom"/>
            <w:shd w:val="clear" w:color="auto" w:fill="F0FFFF"/>
          </w:tcPr>
          <w:p>
            <w:pPr>
              <w:spacing w:after="0"/>
              <w:rPr>
                <w:sz w:val="20"/>
                <w:szCs w:val="20"/>
                <w:color w:val="auto"/>
              </w:rPr>
            </w:pPr>
            <w:r>
              <w:rPr>
                <w:rFonts w:ascii="Arial" w:cs="Arial" w:eastAsia="Arial" w:hAnsi="Arial"/>
                <w:sz w:val="17"/>
                <w:szCs w:val="17"/>
                <w:color w:val="auto"/>
              </w:rPr>
              <w:t>Net interest-rate spread</w:t>
            </w:r>
          </w:p>
        </w:tc>
        <w:tc>
          <w:tcPr>
            <w:tcW w:w="8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98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96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38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3.18%</w:t>
            </w:r>
          </w:p>
        </w:tc>
        <w:tc>
          <w:tcPr>
            <w:tcW w:w="180" w:type="dxa"/>
            <w:vAlign w:val="bottom"/>
            <w:shd w:val="clear" w:color="auto" w:fill="F0FFFF"/>
          </w:tcPr>
          <w:p>
            <w:pPr>
              <w:spacing w:after="0"/>
              <w:rPr>
                <w:sz w:val="20"/>
                <w:szCs w:val="20"/>
                <w:color w:val="auto"/>
              </w:rPr>
            </w:pPr>
          </w:p>
        </w:tc>
        <w:tc>
          <w:tcPr>
            <w:tcW w:w="94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94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28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3.08%</w:t>
            </w:r>
          </w:p>
        </w:tc>
      </w:tr>
      <w:tr>
        <w:trPr>
          <w:trHeight w:val="196"/>
        </w:trPr>
        <w:tc>
          <w:tcPr>
            <w:tcW w:w="32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80" w:type="dxa"/>
            <w:vAlign w:val="bottom"/>
            <w:tcBorders>
              <w:top w:val="single" w:sz="8" w:color="F0FFFF"/>
            </w:tcBorders>
          </w:tcPr>
          <w:p>
            <w:pPr>
              <w:spacing w:after="0"/>
              <w:rPr>
                <w:sz w:val="17"/>
                <w:szCs w:val="17"/>
                <w:color w:val="auto"/>
              </w:rPr>
            </w:pPr>
          </w:p>
        </w:tc>
        <w:tc>
          <w:tcPr>
            <w:tcW w:w="980" w:type="dxa"/>
            <w:vAlign w:val="bottom"/>
            <w:tcBorders>
              <w:top w:val="single" w:sz="8" w:color="F0FFFF"/>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200" w:type="dxa"/>
            <w:vAlign w:val="bottom"/>
            <w:tcBorders>
              <w:top w:val="single" w:sz="8" w:color="F0FFFF"/>
            </w:tcBorders>
          </w:tcPr>
          <w:p>
            <w:pPr>
              <w:spacing w:after="0"/>
              <w:rPr>
                <w:sz w:val="17"/>
                <w:szCs w:val="17"/>
                <w:color w:val="auto"/>
              </w:rPr>
            </w:pPr>
          </w:p>
        </w:tc>
        <w:tc>
          <w:tcPr>
            <w:tcW w:w="960" w:type="dxa"/>
            <w:vAlign w:val="bottom"/>
            <w:tcBorders>
              <w:top w:val="single" w:sz="8" w:color="F0FFFF"/>
            </w:tcBorders>
          </w:tcPr>
          <w:p>
            <w:pPr>
              <w:spacing w:after="0"/>
              <w:rPr>
                <w:sz w:val="17"/>
                <w:szCs w:val="17"/>
                <w:color w:val="auto"/>
              </w:rPr>
            </w:pPr>
          </w:p>
        </w:tc>
        <w:tc>
          <w:tcPr>
            <w:tcW w:w="240" w:type="dxa"/>
            <w:vAlign w:val="bottom"/>
            <w:tcBorders>
              <w:top w:val="single" w:sz="8" w:color="F0FF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F0FFFF"/>
            </w:tcBorders>
          </w:tcPr>
          <w:p>
            <w:pPr>
              <w:spacing w:after="0"/>
              <w:rPr>
                <w:sz w:val="17"/>
                <w:szCs w:val="17"/>
                <w:color w:val="auto"/>
              </w:rPr>
            </w:pPr>
          </w:p>
        </w:tc>
        <w:tc>
          <w:tcPr>
            <w:tcW w:w="180" w:type="dxa"/>
            <w:vAlign w:val="bottom"/>
            <w:tcBorders>
              <w:top w:val="single" w:sz="8" w:color="F0FFFF"/>
            </w:tcBorders>
          </w:tcPr>
          <w:p>
            <w:pPr>
              <w:spacing w:after="0"/>
              <w:rPr>
                <w:sz w:val="17"/>
                <w:szCs w:val="17"/>
                <w:color w:val="auto"/>
              </w:rPr>
            </w:pPr>
          </w:p>
        </w:tc>
        <w:tc>
          <w:tcPr>
            <w:tcW w:w="940" w:type="dxa"/>
            <w:vAlign w:val="bottom"/>
            <w:tcBorders>
              <w:top w:val="single" w:sz="8" w:color="F0FFFF"/>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80" w:type="dxa"/>
            <w:vAlign w:val="bottom"/>
            <w:tcBorders>
              <w:top w:val="single" w:sz="8" w:color="F0FFFF"/>
            </w:tcBorders>
          </w:tcPr>
          <w:p>
            <w:pPr>
              <w:spacing w:after="0"/>
              <w:rPr>
                <w:sz w:val="17"/>
                <w:szCs w:val="17"/>
                <w:color w:val="auto"/>
              </w:rPr>
            </w:pPr>
          </w:p>
        </w:tc>
        <w:tc>
          <w:tcPr>
            <w:tcW w:w="940" w:type="dxa"/>
            <w:vAlign w:val="bottom"/>
            <w:tcBorders>
              <w:top w:val="single" w:sz="8" w:color="F0FFFF"/>
            </w:tcBorders>
          </w:tcPr>
          <w:p>
            <w:pPr>
              <w:spacing w:after="0"/>
              <w:rPr>
                <w:sz w:val="17"/>
                <w:szCs w:val="17"/>
                <w:color w:val="auto"/>
              </w:rPr>
            </w:pPr>
          </w:p>
        </w:tc>
        <w:tc>
          <w:tcPr>
            <w:tcW w:w="200" w:type="dxa"/>
            <w:vAlign w:val="bottom"/>
            <w:tcBorders>
              <w:top w:val="single" w:sz="8" w:color="F0FF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r>
      <w:tr>
        <w:trPr>
          <w:trHeight w:val="225"/>
        </w:trPr>
        <w:tc>
          <w:tcPr>
            <w:tcW w:w="3240" w:type="dxa"/>
            <w:vAlign w:val="bottom"/>
            <w:shd w:val="clear" w:color="auto" w:fill="F0FFFF"/>
          </w:tcPr>
          <w:p>
            <w:pPr>
              <w:spacing w:after="0"/>
              <w:rPr>
                <w:sz w:val="20"/>
                <w:szCs w:val="20"/>
                <w:color w:val="auto"/>
              </w:rPr>
            </w:pPr>
            <w:r>
              <w:rPr>
                <w:rFonts w:ascii="Arial" w:cs="Arial" w:eastAsia="Arial" w:hAnsi="Arial"/>
                <w:sz w:val="17"/>
                <w:szCs w:val="17"/>
                <w:b w:val="1"/>
                <w:bCs w:val="1"/>
                <w:color w:val="auto"/>
              </w:rPr>
              <w:t xml:space="preserve">Net interest margin </w:t>
            </w:r>
            <w:r>
              <w:rPr>
                <w:rFonts w:ascii="Arial" w:cs="Arial" w:eastAsia="Arial" w:hAnsi="Arial"/>
                <w:sz w:val="17"/>
                <w:szCs w:val="17"/>
                <w:color w:val="auto"/>
                <w:vertAlign w:val="superscript"/>
              </w:rPr>
              <w:t>(4)</w:t>
            </w:r>
          </w:p>
        </w:tc>
        <w:tc>
          <w:tcPr>
            <w:tcW w:w="8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96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38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3.31%</w:t>
            </w:r>
          </w:p>
        </w:tc>
        <w:tc>
          <w:tcPr>
            <w:tcW w:w="18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28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3.21%</w:t>
            </w:r>
          </w:p>
        </w:tc>
      </w:tr>
      <w:tr>
        <w:trPr>
          <w:trHeight w:val="20"/>
        </w:trPr>
        <w:tc>
          <w:tcPr>
            <w:tcW w:w="32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98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96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94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94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r>
    </w:tbl>
    <w:p>
      <w:pPr>
        <w:spacing w:after="0" w:line="218" w:lineRule="exact"/>
        <w:rPr>
          <w:sz w:val="20"/>
          <w:szCs w:val="20"/>
          <w:color w:val="auto"/>
        </w:rPr>
      </w:pPr>
    </w:p>
    <w:p>
      <w:pPr>
        <w:ind w:left="240" w:right="420" w:hanging="237"/>
        <w:spacing w:after="0" w:line="204" w:lineRule="auto"/>
        <w:tabs>
          <w:tab w:leader="none" w:pos="240" w:val="left"/>
        </w:tabs>
        <w:numPr>
          <w:ilvl w:val="0"/>
          <w:numId w:val="8"/>
        </w:numPr>
        <w:rPr>
          <w:rFonts w:ascii="Arial" w:cs="Arial" w:eastAsia="Arial" w:hAnsi="Arial"/>
          <w:sz w:val="26"/>
          <w:szCs w:val="26"/>
          <w:color w:val="auto"/>
          <w:vertAlign w:val="superscript"/>
        </w:rPr>
      </w:pPr>
      <w:r>
        <w:rPr>
          <w:rFonts w:ascii="Arial" w:cs="Arial" w:eastAsia="Arial" w:hAnsi="Arial"/>
          <w:sz w:val="17"/>
          <w:szCs w:val="17"/>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1" w:lineRule="exact"/>
        <w:rPr>
          <w:rFonts w:ascii="Arial" w:cs="Arial" w:eastAsia="Arial" w:hAnsi="Arial"/>
          <w:sz w:val="26"/>
          <w:szCs w:val="26"/>
          <w:color w:val="auto"/>
          <w:vertAlign w:val="superscript"/>
        </w:rPr>
      </w:pPr>
    </w:p>
    <w:p>
      <w:pPr>
        <w:ind w:left="240" w:hanging="237"/>
        <w:spacing w:after="0"/>
        <w:tabs>
          <w:tab w:leader="none" w:pos="240" w:val="left"/>
        </w:tabs>
        <w:numPr>
          <w:ilvl w:val="0"/>
          <w:numId w:val="8"/>
        </w:numPr>
        <w:rPr>
          <w:rFonts w:ascii="Arial" w:cs="Arial" w:eastAsia="Arial" w:hAnsi="Arial"/>
          <w:sz w:val="13"/>
          <w:szCs w:val="13"/>
          <w:color w:val="auto"/>
        </w:rPr>
      </w:pPr>
      <w:r>
        <w:rPr>
          <w:rFonts w:ascii="Arial" w:cs="Arial" w:eastAsia="Arial" w:hAnsi="Arial"/>
          <w:sz w:val="17"/>
          <w:szCs w:val="17"/>
          <w:color w:val="auto"/>
        </w:rPr>
        <w:t>Included in the average balance of loans outstanding are loans where the accrual of interest has been discontinued and loans that are held for sale.</w:t>
      </w:r>
    </w:p>
    <w:p>
      <w:pPr>
        <w:spacing w:after="0" w:line="9" w:lineRule="exact"/>
        <w:rPr>
          <w:rFonts w:ascii="Arial" w:cs="Arial" w:eastAsia="Arial" w:hAnsi="Arial"/>
          <w:sz w:val="13"/>
          <w:szCs w:val="13"/>
          <w:color w:val="auto"/>
        </w:rPr>
      </w:pPr>
    </w:p>
    <w:p>
      <w:pPr>
        <w:ind w:left="240" w:right="240" w:hanging="237"/>
        <w:spacing w:after="0" w:line="199" w:lineRule="auto"/>
        <w:tabs>
          <w:tab w:leader="none" w:pos="240" w:val="left"/>
        </w:tabs>
        <w:numPr>
          <w:ilvl w:val="0"/>
          <w:numId w:val="8"/>
        </w:numPr>
        <w:rPr>
          <w:rFonts w:ascii="Arial" w:cs="Arial" w:eastAsia="Arial" w:hAnsi="Arial"/>
          <w:sz w:val="26"/>
          <w:szCs w:val="26"/>
          <w:color w:val="auto"/>
          <w:vertAlign w:val="superscript"/>
        </w:rPr>
      </w:pPr>
      <w:r>
        <w:rPr>
          <w:rFonts w:ascii="Arial" w:cs="Arial" w:eastAsia="Arial" w:hAnsi="Arial"/>
          <w:sz w:val="17"/>
          <w:szCs w:val="17"/>
          <w:color w:val="auto"/>
        </w:rPr>
        <w:t>Securities available for sale are shown at amortized cost. Pretax unrealized gains of $10.8 million in 2015 and pretax unrealized losses of $4.63 million in 2014 are included in other assets for purposes of this presentation.</w:t>
      </w:r>
    </w:p>
    <w:p>
      <w:pPr>
        <w:ind w:left="240" w:hanging="237"/>
        <w:spacing w:after="0" w:line="186" w:lineRule="auto"/>
        <w:tabs>
          <w:tab w:leader="none" w:pos="240" w:val="left"/>
        </w:tabs>
        <w:numPr>
          <w:ilvl w:val="0"/>
          <w:numId w:val="8"/>
        </w:numPr>
        <w:rPr>
          <w:rFonts w:ascii="Arial" w:cs="Arial" w:eastAsia="Arial" w:hAnsi="Arial"/>
          <w:sz w:val="23"/>
          <w:szCs w:val="23"/>
          <w:color w:val="auto"/>
          <w:vertAlign w:val="superscript"/>
        </w:rPr>
      </w:pPr>
      <w:r>
        <w:rPr>
          <w:rFonts w:ascii="Arial" w:cs="Arial" w:eastAsia="Arial" w:hAnsi="Arial"/>
          <w:sz w:val="16"/>
          <w:szCs w:val="16"/>
          <w:color w:val="auto"/>
        </w:rPr>
        <w:t>Net interest margin is taxable equivalent net-interest revenue divided by average interest-earning assets.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83" w:right="239" w:bottom="1440" w:gutter="0" w:footer="0" w:header="0"/>
        </w:sectPr>
      </w:pPr>
    </w:p>
    <w:bookmarkStart w:id="44" w:name="page45"/>
    <w:bookmarkEnd w:id="44"/>
    <w:p>
      <w:pPr>
        <w:jc w:val="both"/>
        <w:spacing w:after="0" w:line="264" w:lineRule="auto"/>
        <w:rPr>
          <w:sz w:val="20"/>
          <w:szCs w:val="20"/>
          <w:color w:val="auto"/>
        </w:rPr>
      </w:pPr>
      <w:r>
        <w:rPr>
          <w:rFonts w:ascii="Arial" w:cs="Arial" w:eastAsia="Arial" w:hAnsi="Arial"/>
          <w:sz w:val="17"/>
          <w:szCs w:val="17"/>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197" w:lineRule="exact"/>
        <w:rPr>
          <w:sz w:val="20"/>
          <w:szCs w:val="20"/>
          <w:color w:val="auto"/>
        </w:rPr>
      </w:pPr>
    </w:p>
    <w:p>
      <w:pPr>
        <w:ind w:left="1160" w:right="4380"/>
        <w:spacing w:after="0" w:line="282" w:lineRule="auto"/>
        <w:rPr>
          <w:sz w:val="20"/>
          <w:szCs w:val="20"/>
          <w:color w:val="auto"/>
        </w:rPr>
      </w:pPr>
      <w:r>
        <w:rPr>
          <w:rFonts w:ascii="Arial" w:cs="Arial" w:eastAsia="Arial" w:hAnsi="Arial"/>
          <w:sz w:val="17"/>
          <w:szCs w:val="17"/>
          <w:b w:val="1"/>
          <w:bCs w:val="1"/>
          <w:color w:val="auto"/>
        </w:rPr>
        <w:t xml:space="preserve">Table 3 - Change in Interest Revenue and Expense on a Taxable Equivalent Basis </w:t>
      </w:r>
      <w:r>
        <w:rPr>
          <w:rFonts w:ascii="Arial" w:cs="Arial" w:eastAsia="Arial" w:hAnsi="Arial"/>
          <w:sz w:val="17"/>
          <w:szCs w:val="17"/>
          <w:i w:val="1"/>
          <w:iCs w:val="1"/>
          <w:color w:val="auto"/>
        </w:rPr>
        <w:t>(in thousands)</w:t>
      </w:r>
    </w:p>
    <w:p>
      <w:pPr>
        <w:spacing w:after="0" w:line="156" w:lineRule="exact"/>
        <w:rPr>
          <w:sz w:val="20"/>
          <w:szCs w:val="20"/>
          <w:color w:val="auto"/>
        </w:rPr>
      </w:pPr>
    </w:p>
    <w:tbl>
      <w:tblPr>
        <w:tblLayout w:type="fixed"/>
        <w:tblInd w:w="116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20" w:type="dxa"/>
            <w:vAlign w:val="bottom"/>
            <w:gridSpan w:val="9"/>
          </w:tcPr>
          <w:p>
            <w:pPr>
              <w:jc w:val="center"/>
              <w:ind w:right="300"/>
              <w:spacing w:after="0"/>
              <w:rPr>
                <w:sz w:val="20"/>
                <w:szCs w:val="20"/>
                <w:color w:val="auto"/>
              </w:rPr>
            </w:pPr>
            <w:r>
              <w:rPr>
                <w:rFonts w:ascii="Arial" w:cs="Arial" w:eastAsia="Arial" w:hAnsi="Arial"/>
                <w:sz w:val="17"/>
                <w:szCs w:val="17"/>
                <w:b w:val="1"/>
                <w:bCs w:val="1"/>
                <w:color w:val="auto"/>
                <w:w w:val="92"/>
              </w:rPr>
              <w:t>Three Months Ended March 31, 2015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4"/>
          </w:tcPr>
          <w:p>
            <w:pPr>
              <w:jc w:val="center"/>
              <w:ind w:right="60"/>
              <w:spacing w:after="0"/>
              <w:rPr>
                <w:sz w:val="20"/>
                <w:szCs w:val="20"/>
                <w:color w:val="auto"/>
              </w:rPr>
            </w:pPr>
            <w:r>
              <w:rPr>
                <w:rFonts w:ascii="Arial" w:cs="Arial" w:eastAsia="Arial" w:hAnsi="Arial"/>
                <w:sz w:val="17"/>
                <w:szCs w:val="17"/>
                <w:b w:val="1"/>
                <w:bCs w:val="1"/>
                <w:color w:val="auto"/>
                <w:w w:val="92"/>
              </w:rPr>
              <w:t>Compared to 2014</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4"/>
          </w:tcPr>
          <w:p>
            <w:pPr>
              <w:jc w:val="center"/>
              <w:ind w:right="60"/>
              <w:spacing w:after="0"/>
              <w:rPr>
                <w:sz w:val="20"/>
                <w:szCs w:val="20"/>
                <w:color w:val="auto"/>
              </w:rPr>
            </w:pPr>
            <w:r>
              <w:rPr>
                <w:rFonts w:ascii="Arial" w:cs="Arial" w:eastAsia="Arial" w:hAnsi="Arial"/>
                <w:sz w:val="17"/>
                <w:szCs w:val="17"/>
                <w:b w:val="1"/>
                <w:bCs w:val="1"/>
                <w:color w:val="auto"/>
                <w:w w:val="88"/>
              </w:rPr>
              <w:t>Increase (decrease)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7"/>
                <w:szCs w:val="17"/>
                <w:b w:val="1"/>
                <w:bCs w:val="1"/>
                <w:color w:val="auto"/>
                <w:w w:val="88"/>
              </w:rPr>
              <w:t>Due to Changes in</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Volume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7"/>
                <w:szCs w:val="17"/>
                <w:b w:val="1"/>
                <w:bCs w:val="1"/>
                <w:color w:val="auto"/>
              </w:rPr>
              <w:t>Rate</w:t>
            </w:r>
          </w:p>
        </w:tc>
        <w:tc>
          <w:tcPr>
            <w:tcW w:w="240" w:type="dxa"/>
            <w:vAlign w:val="bottom"/>
          </w:tcPr>
          <w:p>
            <w:pPr>
              <w:spacing w:after="0"/>
              <w:rPr>
                <w:sz w:val="18"/>
                <w:szCs w:val="18"/>
                <w:color w:val="auto"/>
              </w:rPr>
            </w:pPr>
          </w:p>
        </w:tc>
        <w:tc>
          <w:tcPr>
            <w:tcW w:w="920" w:type="dxa"/>
            <w:vAlign w:val="bottom"/>
          </w:tcPr>
          <w:p>
            <w:pPr>
              <w:jc w:val="right"/>
              <w:ind w:right="315"/>
              <w:spacing w:after="0"/>
              <w:rPr>
                <w:sz w:val="20"/>
                <w:szCs w:val="20"/>
                <w:color w:val="auto"/>
              </w:rPr>
            </w:pPr>
            <w:r>
              <w:rPr>
                <w:rFonts w:ascii="Arial" w:cs="Arial" w:eastAsia="Arial" w:hAnsi="Arial"/>
                <w:sz w:val="17"/>
                <w:szCs w:val="17"/>
                <w:b w:val="1"/>
                <w:bCs w:val="1"/>
                <w:color w:val="auto"/>
              </w:rPr>
              <w:t>Total</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shd w:val="clear" w:color="auto" w:fill="F0FFFF"/>
          </w:tcPr>
          <w:p>
            <w:pPr>
              <w:spacing w:after="0"/>
              <w:rPr>
                <w:sz w:val="20"/>
                <w:szCs w:val="20"/>
                <w:color w:val="auto"/>
              </w:rPr>
            </w:pPr>
            <w:r>
              <w:rPr>
                <w:rFonts w:ascii="Arial" w:cs="Arial" w:eastAsia="Arial" w:hAnsi="Arial"/>
                <w:sz w:val="17"/>
                <w:szCs w:val="17"/>
                <w:b w:val="1"/>
                <w:bCs w:val="1"/>
                <w:color w:val="auto"/>
              </w:rPr>
              <w:t>Interest-earning assets:</w:t>
            </w:r>
          </w:p>
        </w:tc>
        <w:tc>
          <w:tcPr>
            <w:tcW w:w="180" w:type="dxa"/>
            <w:vAlign w:val="bottom"/>
            <w:tcBorders>
              <w:top w:val="single" w:sz="8" w:color="auto"/>
            </w:tcBorders>
            <w:shd w:val="clear" w:color="auto" w:fill="F0FFFF"/>
          </w:tcPr>
          <w:p>
            <w:pPr>
              <w:spacing w:after="0"/>
              <w:rPr>
                <w:sz w:val="17"/>
                <w:szCs w:val="17"/>
                <w:color w:val="auto"/>
              </w:rPr>
            </w:pPr>
          </w:p>
        </w:tc>
        <w:tc>
          <w:tcPr>
            <w:tcW w:w="960" w:type="dxa"/>
            <w:vAlign w:val="bottom"/>
            <w:tcBorders>
              <w:top w:val="single" w:sz="8" w:color="auto"/>
            </w:tcBorders>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tcBorders>
              <w:top w:val="single" w:sz="8" w:color="auto"/>
            </w:tcBorders>
            <w:shd w:val="clear" w:color="auto" w:fill="F0FFFF"/>
          </w:tcPr>
          <w:p>
            <w:pPr>
              <w:spacing w:after="0"/>
              <w:rPr>
                <w:sz w:val="17"/>
                <w:szCs w:val="17"/>
                <w:color w:val="auto"/>
              </w:rPr>
            </w:pPr>
          </w:p>
        </w:tc>
        <w:tc>
          <w:tcPr>
            <w:tcW w:w="920" w:type="dxa"/>
            <w:vAlign w:val="bottom"/>
            <w:tcBorders>
              <w:top w:val="single" w:sz="8" w:color="auto"/>
            </w:tcBorders>
            <w:shd w:val="clear" w:color="auto" w:fill="F0FFFF"/>
          </w:tcPr>
          <w:p>
            <w:pPr>
              <w:spacing w:after="0"/>
              <w:rPr>
                <w:sz w:val="17"/>
                <w:szCs w:val="17"/>
                <w:color w:val="auto"/>
              </w:rPr>
            </w:pPr>
          </w:p>
        </w:tc>
        <w:tc>
          <w:tcPr>
            <w:tcW w:w="220" w:type="dxa"/>
            <w:vAlign w:val="bottom"/>
            <w:tcBorders>
              <w:right w:val="single" w:sz="8" w:color="F0FFFF"/>
            </w:tcBorders>
            <w:shd w:val="clear" w:color="auto" w:fill="F0FFFF"/>
          </w:tcPr>
          <w:p>
            <w:pPr>
              <w:spacing w:after="0"/>
              <w:rPr>
                <w:sz w:val="17"/>
                <w:szCs w:val="17"/>
                <w:color w:val="auto"/>
              </w:rPr>
            </w:pPr>
          </w:p>
        </w:tc>
        <w:tc>
          <w:tcPr>
            <w:tcW w:w="240" w:type="dxa"/>
            <w:vAlign w:val="bottom"/>
            <w:tcBorders>
              <w:top w:val="single" w:sz="8" w:color="auto"/>
            </w:tcBorders>
            <w:shd w:val="clear" w:color="auto" w:fill="F0FFFF"/>
          </w:tcPr>
          <w:p>
            <w:pPr>
              <w:spacing w:after="0"/>
              <w:rPr>
                <w:sz w:val="17"/>
                <w:szCs w:val="17"/>
                <w:color w:val="auto"/>
              </w:rPr>
            </w:pPr>
          </w:p>
        </w:tc>
        <w:tc>
          <w:tcPr>
            <w:tcW w:w="920" w:type="dxa"/>
            <w:vAlign w:val="bottom"/>
            <w:tcBorders>
              <w:top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7"/>
                <w:szCs w:val="17"/>
                <w:color w:val="auto"/>
              </w:rPr>
              <w:t>Loans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3,953</w:t>
            </w:r>
          </w:p>
        </w:tc>
        <w:tc>
          <w:tcPr>
            <w:tcW w:w="8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(1,956)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1,997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shd w:val="clear" w:color="auto" w:fill="F0FFFF"/>
          </w:tcPr>
          <w:p>
            <w:pPr>
              <w:spacing w:after="0"/>
              <w:rPr>
                <w:sz w:val="20"/>
                <w:szCs w:val="20"/>
                <w:color w:val="auto"/>
              </w:rPr>
            </w:pPr>
            <w:r>
              <w:rPr>
                <w:rFonts w:ascii="Arial" w:cs="Arial" w:eastAsia="Arial" w:hAnsi="Arial"/>
                <w:sz w:val="17"/>
                <w:szCs w:val="17"/>
                <w:color w:val="auto"/>
              </w:rPr>
              <w:t>Taxable securities</w:t>
            </w:r>
          </w:p>
        </w:tc>
        <w:tc>
          <w:tcPr>
            <w:tcW w:w="18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(582)</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1,063</w:t>
            </w:r>
          </w:p>
        </w:tc>
        <w:tc>
          <w:tcPr>
            <w:tcW w:w="220" w:type="dxa"/>
            <w:vAlign w:val="bottom"/>
            <w:tcBorders>
              <w:right w:val="single" w:sz="8" w:color="F0FFFF"/>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481</w:t>
            </w: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7"/>
                <w:szCs w:val="17"/>
                <w:color w:val="auto"/>
              </w:rPr>
              <w:t>Tax-exempt securities</w:t>
            </w: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(62)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shd w:val="clear" w:color="auto" w:fill="F0FFFF"/>
          </w:tcPr>
          <w:p>
            <w:pPr>
              <w:spacing w:after="0"/>
              <w:rPr>
                <w:sz w:val="20"/>
                <w:szCs w:val="20"/>
                <w:color w:val="auto"/>
              </w:rPr>
            </w:pPr>
            <w:r>
              <w:rPr>
                <w:rFonts w:ascii="Arial" w:cs="Arial" w:eastAsia="Arial" w:hAnsi="Arial"/>
                <w:sz w:val="17"/>
                <w:szCs w:val="17"/>
                <w:color w:val="auto"/>
              </w:rPr>
              <w:t>Federal funds sold and other interest-earning assets</w:t>
            </w:r>
          </w:p>
        </w:tc>
        <w:tc>
          <w:tcPr>
            <w:tcW w:w="18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(58)</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43</w:t>
            </w:r>
          </w:p>
        </w:tc>
        <w:tc>
          <w:tcPr>
            <w:tcW w:w="220" w:type="dxa"/>
            <w:vAlign w:val="bottom"/>
            <w:tcBorders>
              <w:right w:val="single" w:sz="8" w:color="F0FFFF"/>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0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tcPr>
          <w:p>
            <w:pPr>
              <w:ind w:left="140"/>
              <w:spacing w:after="0"/>
              <w:rPr>
                <w:sz w:val="20"/>
                <w:szCs w:val="20"/>
                <w:color w:val="auto"/>
              </w:rPr>
            </w:pPr>
            <w:r>
              <w:rPr>
                <w:rFonts w:ascii="Arial" w:cs="Arial" w:eastAsia="Arial" w:hAnsi="Arial"/>
                <w:sz w:val="17"/>
                <w:szCs w:val="17"/>
                <w:b w:val="1"/>
                <w:bCs w:val="1"/>
                <w:color w:val="auto"/>
              </w:rPr>
              <w:t>Total interest-earning assets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3,251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(837)</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100" w:type="dxa"/>
            <w:vAlign w:val="bottom"/>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960" w:type="dxa"/>
            <w:vAlign w:val="bottom"/>
            <w:tcBorders>
              <w:top w:val="single" w:sz="8" w:color="auto"/>
            </w:tcBorders>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tcBorders>
              <w:top w:val="single" w:sz="8" w:color="auto"/>
            </w:tcBorders>
            <w:shd w:val="clear" w:color="auto" w:fill="F0FFFF"/>
          </w:tcPr>
          <w:p>
            <w:pPr>
              <w:spacing w:after="0"/>
              <w:rPr>
                <w:sz w:val="17"/>
                <w:szCs w:val="17"/>
                <w:color w:val="auto"/>
              </w:rPr>
            </w:pPr>
          </w:p>
        </w:tc>
        <w:tc>
          <w:tcPr>
            <w:tcW w:w="920" w:type="dxa"/>
            <w:vAlign w:val="bottom"/>
            <w:tcBorders>
              <w:top w:val="single" w:sz="8" w:color="auto"/>
            </w:tcBorders>
            <w:shd w:val="clear" w:color="auto" w:fill="F0FFFF"/>
          </w:tcPr>
          <w:p>
            <w:pPr>
              <w:spacing w:after="0"/>
              <w:rPr>
                <w:sz w:val="17"/>
                <w:szCs w:val="17"/>
                <w:color w:val="auto"/>
              </w:rPr>
            </w:pPr>
          </w:p>
        </w:tc>
        <w:tc>
          <w:tcPr>
            <w:tcW w:w="220" w:type="dxa"/>
            <w:vAlign w:val="bottom"/>
            <w:tcBorders>
              <w:right w:val="single" w:sz="8" w:color="F0FFFF"/>
            </w:tcBorders>
            <w:shd w:val="clear" w:color="auto" w:fill="F0FFFF"/>
          </w:tcPr>
          <w:p>
            <w:pPr>
              <w:spacing w:after="0"/>
              <w:rPr>
                <w:sz w:val="17"/>
                <w:szCs w:val="17"/>
                <w:color w:val="auto"/>
              </w:rPr>
            </w:pPr>
          </w:p>
        </w:tc>
        <w:tc>
          <w:tcPr>
            <w:tcW w:w="240" w:type="dxa"/>
            <w:vAlign w:val="bottom"/>
            <w:tcBorders>
              <w:top w:val="single" w:sz="8" w:color="auto"/>
            </w:tcBorders>
            <w:shd w:val="clear" w:color="auto" w:fill="F0FFFF"/>
          </w:tcPr>
          <w:p>
            <w:pPr>
              <w:spacing w:after="0"/>
              <w:rPr>
                <w:sz w:val="17"/>
                <w:szCs w:val="17"/>
                <w:color w:val="auto"/>
              </w:rPr>
            </w:pPr>
          </w:p>
        </w:tc>
        <w:tc>
          <w:tcPr>
            <w:tcW w:w="920" w:type="dxa"/>
            <w:vAlign w:val="bottom"/>
            <w:tcBorders>
              <w:top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7"/>
                <w:szCs w:val="17"/>
                <w:b w:val="1"/>
                <w:bCs w:val="1"/>
                <w:color w:val="auto"/>
              </w:rPr>
              <w:t>Interest-bearing liabilities: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shd w:val="clear" w:color="auto" w:fill="F0FFFF"/>
          </w:tcPr>
          <w:p>
            <w:pPr>
              <w:spacing w:after="0"/>
              <w:rPr>
                <w:sz w:val="20"/>
                <w:szCs w:val="20"/>
                <w:color w:val="auto"/>
              </w:rPr>
            </w:pPr>
            <w:r>
              <w:rPr>
                <w:rFonts w:ascii="Arial" w:cs="Arial" w:eastAsia="Arial" w:hAnsi="Arial"/>
                <w:sz w:val="17"/>
                <w:szCs w:val="17"/>
                <w:color w:val="auto"/>
              </w:rPr>
              <w:t>NOW accounts</w:t>
            </w: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18</w:t>
            </w: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140" w:type="dxa"/>
            <w:vAlign w:val="bottom"/>
            <w:tcBorders>
              <w:right w:val="single" w:sz="8" w:color="F0FFFF"/>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(64)</w:t>
            </w: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7"/>
                <w:szCs w:val="17"/>
                <w:color w:val="auto"/>
              </w:rPr>
              <w:t>Money market accounts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shd w:val="clear" w:color="auto" w:fill="F0FFFF"/>
          </w:tcPr>
          <w:p>
            <w:pPr>
              <w:spacing w:after="0"/>
              <w:rPr>
                <w:sz w:val="20"/>
                <w:szCs w:val="20"/>
                <w:color w:val="auto"/>
              </w:rPr>
            </w:pPr>
            <w:r>
              <w:rPr>
                <w:rFonts w:ascii="Arial" w:cs="Arial" w:eastAsia="Arial" w:hAnsi="Arial"/>
                <w:sz w:val="17"/>
                <w:szCs w:val="17"/>
                <w:color w:val="auto"/>
              </w:rPr>
              <w:t>Savings deposits</w:t>
            </w: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140" w:type="dxa"/>
            <w:vAlign w:val="bottom"/>
            <w:tcBorders>
              <w:right w:val="single" w:sz="8" w:color="F0FFFF"/>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(3)</w:t>
            </w: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7"/>
                <w:szCs w:val="17"/>
                <w:color w:val="auto"/>
              </w:rPr>
              <w:t>Time deposits less than $100,000</w:t>
            </w: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(150)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(139)</w:t>
            </w:r>
          </w:p>
        </w:tc>
        <w:tc>
          <w:tcPr>
            <w:tcW w:w="2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shd w:val="clear" w:color="auto" w:fill="F0FFFF"/>
          </w:tcPr>
          <w:p>
            <w:pPr>
              <w:spacing w:after="0"/>
              <w:rPr>
                <w:sz w:val="20"/>
                <w:szCs w:val="20"/>
                <w:color w:val="auto"/>
              </w:rPr>
            </w:pPr>
            <w:r>
              <w:rPr>
                <w:rFonts w:ascii="Arial" w:cs="Arial" w:eastAsia="Arial" w:hAnsi="Arial"/>
                <w:sz w:val="17"/>
                <w:szCs w:val="17"/>
                <w:color w:val="auto"/>
              </w:rPr>
              <w:t>Time deposits greater than $100,000</w:t>
            </w:r>
          </w:p>
        </w:tc>
        <w:tc>
          <w:tcPr>
            <w:tcW w:w="18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(123)</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140" w:type="dxa"/>
            <w:vAlign w:val="bottom"/>
            <w:tcBorders>
              <w:right w:val="single" w:sz="8" w:color="F0FFFF"/>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(131)</w:t>
            </w: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7"/>
                <w:szCs w:val="17"/>
                <w:color w:val="auto"/>
              </w:rPr>
              <w:t>Brokered deposits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(128)</w:t>
            </w:r>
          </w:p>
        </w:tc>
        <w:tc>
          <w:tcPr>
            <w:tcW w:w="2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shd w:val="clear" w:color="auto" w:fill="F0FFFF"/>
          </w:tcPr>
          <w:p>
            <w:pPr>
              <w:ind w:left="60"/>
              <w:spacing w:after="0"/>
              <w:rPr>
                <w:sz w:val="20"/>
                <w:szCs w:val="20"/>
                <w:color w:val="auto"/>
              </w:rPr>
            </w:pPr>
            <w:r>
              <w:rPr>
                <w:rFonts w:ascii="Arial" w:cs="Arial" w:eastAsia="Arial" w:hAnsi="Arial"/>
                <w:sz w:val="17"/>
                <w:szCs w:val="17"/>
                <w:color w:val="auto"/>
              </w:rPr>
              <w:t>Total interest-bearing deposits</w:t>
            </w:r>
          </w:p>
        </w:tc>
        <w:tc>
          <w:tcPr>
            <w:tcW w:w="18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(205)</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140" w:type="dxa"/>
            <w:vAlign w:val="bottom"/>
            <w:tcBorders>
              <w:right w:val="single" w:sz="8" w:color="F0FFFF"/>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(393)</w:t>
            </w: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(598)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10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7"/>
                <w:szCs w:val="17"/>
                <w:color w:val="auto"/>
              </w:rPr>
              <w:t>Federal funds purchased &amp; other borrowings</w:t>
            </w: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(383)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(359)</w:t>
            </w:r>
          </w:p>
        </w:tc>
        <w:tc>
          <w:tcPr>
            <w:tcW w:w="2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(742)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shd w:val="clear" w:color="auto" w:fill="F0FFFF"/>
          </w:tcPr>
          <w:p>
            <w:pPr>
              <w:spacing w:after="0"/>
              <w:rPr>
                <w:sz w:val="20"/>
                <w:szCs w:val="20"/>
                <w:color w:val="auto"/>
              </w:rPr>
            </w:pPr>
            <w:r>
              <w:rPr>
                <w:rFonts w:ascii="Arial" w:cs="Arial" w:eastAsia="Arial" w:hAnsi="Arial"/>
                <w:sz w:val="17"/>
                <w:szCs w:val="17"/>
                <w:color w:val="auto"/>
              </w:rPr>
              <w:t>Federal Home Loan Bank advances</w:t>
            </w: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88</w:t>
            </w: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246</w:t>
            </w:r>
          </w:p>
        </w:tc>
        <w:tc>
          <w:tcPr>
            <w:tcW w:w="220" w:type="dxa"/>
            <w:vAlign w:val="bottom"/>
            <w:tcBorders>
              <w:right w:val="single" w:sz="8" w:color="F0FFFF"/>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334</w:t>
            </w: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7"/>
                <w:szCs w:val="17"/>
                <w:color w:val="auto"/>
              </w:rPr>
              <w:t>Long-term debt</w:t>
            </w: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shd w:val="clear" w:color="auto" w:fill="F0FFFF"/>
          </w:tcPr>
          <w:p>
            <w:pPr>
              <w:ind w:left="60"/>
              <w:spacing w:after="0"/>
              <w:rPr>
                <w:sz w:val="20"/>
                <w:szCs w:val="20"/>
                <w:color w:val="auto"/>
              </w:rPr>
            </w:pPr>
            <w:r>
              <w:rPr>
                <w:rFonts w:ascii="Arial" w:cs="Arial" w:eastAsia="Arial" w:hAnsi="Arial"/>
                <w:sz w:val="17"/>
                <w:szCs w:val="17"/>
                <w:color w:val="auto"/>
              </w:rPr>
              <w:t>Total borrowed funds</w:t>
            </w:r>
          </w:p>
        </w:tc>
        <w:tc>
          <w:tcPr>
            <w:tcW w:w="18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(338)</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140" w:type="dxa"/>
            <w:vAlign w:val="bottom"/>
            <w:tcBorders>
              <w:right w:val="single" w:sz="8" w:color="F0FFFF"/>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(98)</w:t>
            </w: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(436)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0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tcPr>
          <w:p>
            <w:pPr>
              <w:ind w:left="140"/>
              <w:spacing w:after="0"/>
              <w:rPr>
                <w:sz w:val="20"/>
                <w:szCs w:val="20"/>
                <w:color w:val="auto"/>
              </w:rPr>
            </w:pPr>
            <w:r>
              <w:rPr>
                <w:rFonts w:ascii="Arial" w:cs="Arial" w:eastAsia="Arial" w:hAnsi="Arial"/>
                <w:sz w:val="17"/>
                <w:szCs w:val="17"/>
                <w:b w:val="1"/>
                <w:bCs w:val="1"/>
                <w:color w:val="auto"/>
              </w:rPr>
              <w:t>Total interest-bearing liabilities</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(543)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(491)</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(1,034)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960" w:type="dxa"/>
            <w:vAlign w:val="bottom"/>
            <w:tcBorders>
              <w:top w:val="single" w:sz="8" w:color="auto"/>
            </w:tcBorders>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tcBorders>
              <w:top w:val="single" w:sz="8" w:color="auto"/>
            </w:tcBorders>
            <w:shd w:val="clear" w:color="auto" w:fill="F0FFFF"/>
          </w:tcPr>
          <w:p>
            <w:pPr>
              <w:spacing w:after="0"/>
              <w:rPr>
                <w:sz w:val="17"/>
                <w:szCs w:val="17"/>
                <w:color w:val="auto"/>
              </w:rPr>
            </w:pPr>
          </w:p>
        </w:tc>
        <w:tc>
          <w:tcPr>
            <w:tcW w:w="920" w:type="dxa"/>
            <w:vAlign w:val="bottom"/>
            <w:tcBorders>
              <w:top w:val="single" w:sz="8" w:color="auto"/>
            </w:tcBorders>
            <w:shd w:val="clear" w:color="auto" w:fill="F0FFFF"/>
          </w:tcPr>
          <w:p>
            <w:pPr>
              <w:spacing w:after="0"/>
              <w:rPr>
                <w:sz w:val="17"/>
                <w:szCs w:val="17"/>
                <w:color w:val="auto"/>
              </w:rPr>
            </w:pPr>
          </w:p>
        </w:tc>
        <w:tc>
          <w:tcPr>
            <w:tcW w:w="220" w:type="dxa"/>
            <w:vAlign w:val="bottom"/>
            <w:tcBorders>
              <w:right w:val="single" w:sz="8" w:color="F0FFFF"/>
            </w:tcBorders>
            <w:shd w:val="clear" w:color="auto" w:fill="F0FFFF"/>
          </w:tcPr>
          <w:p>
            <w:pPr>
              <w:spacing w:after="0"/>
              <w:rPr>
                <w:sz w:val="17"/>
                <w:szCs w:val="17"/>
                <w:color w:val="auto"/>
              </w:rPr>
            </w:pPr>
          </w:p>
        </w:tc>
        <w:tc>
          <w:tcPr>
            <w:tcW w:w="240" w:type="dxa"/>
            <w:vAlign w:val="bottom"/>
            <w:tcBorders>
              <w:top w:val="single" w:sz="8" w:color="auto"/>
            </w:tcBorders>
            <w:shd w:val="clear" w:color="auto" w:fill="F0FFFF"/>
          </w:tcPr>
          <w:p>
            <w:pPr>
              <w:spacing w:after="0"/>
              <w:rPr>
                <w:sz w:val="17"/>
                <w:szCs w:val="17"/>
                <w:color w:val="auto"/>
              </w:rPr>
            </w:pPr>
          </w:p>
        </w:tc>
        <w:tc>
          <w:tcPr>
            <w:tcW w:w="920" w:type="dxa"/>
            <w:vAlign w:val="bottom"/>
            <w:tcBorders>
              <w:top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00" w:type="dxa"/>
            <w:vAlign w:val="bottom"/>
          </w:tcPr>
          <w:p>
            <w:pPr>
              <w:ind w:left="320"/>
              <w:spacing w:after="0"/>
              <w:rPr>
                <w:sz w:val="20"/>
                <w:szCs w:val="20"/>
                <w:color w:val="auto"/>
              </w:rPr>
            </w:pPr>
            <w:r>
              <w:rPr>
                <w:rFonts w:ascii="Arial" w:cs="Arial" w:eastAsia="Arial" w:hAnsi="Arial"/>
                <w:sz w:val="17"/>
                <w:szCs w:val="17"/>
                <w:b w:val="1"/>
                <w:bCs w:val="1"/>
                <w:color w:val="auto"/>
              </w:rPr>
              <w:t>Increase in net interest revenue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3,794</w:t>
            </w:r>
          </w:p>
        </w:tc>
        <w:tc>
          <w:tcPr>
            <w:tcW w:w="8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(346)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3,448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Credit Losses</w:t>
      </w:r>
    </w:p>
    <w:p>
      <w:pPr>
        <w:spacing w:after="0" w:line="24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provision for credit losses is based on management’s evaluation of probable incurred losses in the loan portfolio and corresponding analysis of the allowance for credit losses at quarter-end. The provision for credit losses was $1.80 million for the first quarter of 2015 compared to $2.50 million for the first quarter of 2014. The amount of provision recorded in each period was the amount required such that the total allowance for loan losses reflected the appropriate balance, in the estimation of management, sufficient to cover incurred losses in the loan portfolio. The provision for loan losses for the first quarter of 2015 was lower than the first quarter of 2014 due to overall improvement in the portfolio credit quality. For the three months ended March 31, 2015, net loan charge-offs as an annualized percentage of average outstanding loans were .22% compared to .38% for the same period in 2014.</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allowance for unfunded commitments represents probable incurred losses on unfunded loan commitments that are expected to result in outstanding loan balances. The allowance for unfunded loan commitments was established through the provision for credit losses.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Additional discussion on credit quality and the allowance for loan losses is included in the “Asset Quality and Risk Elements” section of this report on page 47.</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83" w:right="2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i w:val="1"/>
          <w:iCs w:val="1"/>
          <w:color w:val="auto"/>
        </w:rPr>
        <w:t>Fee Revenue</w:t>
      </w:r>
    </w:p>
    <w:p>
      <w:pPr>
        <w:spacing w:after="0" w:line="24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Fee revenue for the first quarter of 2015 was $15.7 million, an increase of $3.51 million, or 29%, compared to the first quarter of 2014. The following table presents the components of fee revenue for the first quarters of 2015 and 2014.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60" w:type="dxa"/>
            <w:vAlign w:val="bottom"/>
          </w:tcPr>
          <w:p>
            <w:pPr>
              <w:ind w:left="160"/>
              <w:spacing w:after="0"/>
              <w:rPr>
                <w:sz w:val="20"/>
                <w:szCs w:val="20"/>
                <w:color w:val="auto"/>
              </w:rPr>
            </w:pPr>
            <w:r>
              <w:rPr>
                <w:rFonts w:ascii="Arial" w:cs="Arial" w:eastAsia="Arial" w:hAnsi="Arial"/>
                <w:sz w:val="17"/>
                <w:szCs w:val="17"/>
                <w:b w:val="1"/>
                <w:bCs w:val="1"/>
                <w:color w:val="auto"/>
              </w:rPr>
              <w:t>Table 4 - Fee Revenue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60"/>
              <w:spacing w:after="0"/>
              <w:rPr>
                <w:sz w:val="20"/>
                <w:szCs w:val="20"/>
                <w:color w:val="auto"/>
              </w:rPr>
            </w:pPr>
            <w:r>
              <w:rPr>
                <w:rFonts w:ascii="Arial" w:cs="Arial" w:eastAsia="Arial" w:hAnsi="Arial"/>
                <w:sz w:val="17"/>
                <w:szCs w:val="17"/>
                <w:i w:val="1"/>
                <w:iCs w:val="1"/>
                <w:color w:val="auto"/>
              </w:rPr>
              <w:t>(in thousands)</w:t>
            </w:r>
          </w:p>
        </w:tc>
        <w:tc>
          <w:tcPr>
            <w:tcW w:w="260" w:type="dxa"/>
            <w:vAlign w:val="bottom"/>
          </w:tcPr>
          <w:p>
            <w:pPr>
              <w:spacing w:after="0"/>
              <w:rPr>
                <w:sz w:val="18"/>
                <w:szCs w:val="18"/>
                <w:color w:val="auto"/>
              </w:rPr>
            </w:pPr>
          </w:p>
        </w:tc>
        <w:tc>
          <w:tcPr>
            <w:tcW w:w="2520" w:type="dxa"/>
            <w:vAlign w:val="bottom"/>
            <w:gridSpan w:val="5"/>
            <w:vMerge w:val="restart"/>
          </w:tcPr>
          <w:p>
            <w:pPr>
              <w:jc w:val="right"/>
              <w:ind w:right="720"/>
              <w:spacing w:after="0"/>
              <w:rPr>
                <w:sz w:val="20"/>
                <w:szCs w:val="20"/>
                <w:color w:val="auto"/>
              </w:rPr>
            </w:pPr>
            <w:r>
              <w:rPr>
                <w:rFonts w:ascii="Arial" w:cs="Arial" w:eastAsia="Arial" w:hAnsi="Arial"/>
                <w:sz w:val="17"/>
                <w:szCs w:val="17"/>
                <w:b w:val="1"/>
                <w:bCs w:val="1"/>
                <w:color w:val="auto"/>
              </w:rPr>
              <w:t>Three Months Ended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7"/>
                <w:szCs w:val="17"/>
                <w:b w:val="1"/>
                <w:bCs w:val="1"/>
                <w:color w:val="auto"/>
              </w:rPr>
              <w:t>March 31,</w:t>
            </w:r>
          </w:p>
        </w:tc>
        <w:tc>
          <w:tcPr>
            <w:tcW w:w="8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780"/>
              <w:spacing w:after="0"/>
              <w:rPr>
                <w:sz w:val="20"/>
                <w:szCs w:val="20"/>
                <w:color w:val="auto"/>
              </w:rPr>
            </w:pPr>
            <w:r>
              <w:rPr>
                <w:rFonts w:ascii="Arial" w:cs="Arial" w:eastAsia="Arial" w:hAnsi="Arial"/>
                <w:sz w:val="17"/>
                <w:szCs w:val="17"/>
                <w:b w:val="1"/>
                <w:bCs w:val="1"/>
                <w:color w:val="auto"/>
                <w:w w:val="96"/>
              </w:rPr>
              <w:t>Change</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15"/>
              <w:spacing w:after="0"/>
              <w:rPr>
                <w:sz w:val="20"/>
                <w:szCs w:val="20"/>
                <w:color w:val="auto"/>
              </w:rPr>
            </w:pPr>
            <w:r>
              <w:rPr>
                <w:rFonts w:ascii="Arial" w:cs="Arial" w:eastAsia="Arial" w:hAnsi="Arial"/>
                <w:sz w:val="17"/>
                <w:szCs w:val="17"/>
                <w:b w:val="1"/>
                <w:bCs w:val="1"/>
                <w:color w:val="auto"/>
              </w:rPr>
              <w:t>2015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315"/>
              <w:spacing w:after="0"/>
              <w:rPr>
                <w:sz w:val="20"/>
                <w:szCs w:val="20"/>
                <w:color w:val="auto"/>
              </w:rPr>
            </w:pPr>
            <w:r>
              <w:rPr>
                <w:rFonts w:ascii="Arial" w:cs="Arial" w:eastAsia="Arial" w:hAnsi="Arial"/>
                <w:sz w:val="17"/>
                <w:szCs w:val="17"/>
                <w:b w:val="1"/>
                <w:bCs w:val="1"/>
                <w:color w:val="auto"/>
              </w:rPr>
              <w:t>2014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tcPr>
          <w:p>
            <w:pPr>
              <w:ind w:left="100"/>
              <w:spacing w:after="0"/>
              <w:rPr>
                <w:sz w:val="20"/>
                <w:szCs w:val="20"/>
                <w:color w:val="auto"/>
              </w:rPr>
            </w:pPr>
            <w:r>
              <w:rPr>
                <w:rFonts w:ascii="Arial" w:cs="Arial" w:eastAsia="Arial" w:hAnsi="Arial"/>
                <w:sz w:val="17"/>
                <w:szCs w:val="17"/>
                <w:b w:val="1"/>
                <w:bCs w:val="1"/>
                <w:color w:val="auto"/>
              </w:rPr>
              <w:t>Amount</w:t>
            </w:r>
          </w:p>
        </w:tc>
        <w:tc>
          <w:tcPr>
            <w:tcW w:w="900" w:type="dxa"/>
            <w:vAlign w:val="bottom"/>
          </w:tcPr>
          <w:p>
            <w:pPr>
              <w:jc w:val="right"/>
              <w:ind w:right="195"/>
              <w:spacing w:after="0"/>
              <w:rPr>
                <w:sz w:val="20"/>
                <w:szCs w:val="20"/>
                <w:color w:val="auto"/>
              </w:rPr>
            </w:pPr>
            <w:r>
              <w:rPr>
                <w:rFonts w:ascii="Arial" w:cs="Arial" w:eastAsia="Arial" w:hAnsi="Arial"/>
                <w:sz w:val="17"/>
                <w:szCs w:val="17"/>
                <w:b w:val="1"/>
                <w:bCs w:val="1"/>
                <w:color w:val="auto"/>
                <w:w w:val="96"/>
              </w:rPr>
              <w:t>Percent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60" w:type="dxa"/>
            <w:vAlign w:val="bottom"/>
            <w:shd w:val="clear" w:color="auto" w:fill="F0FFFF"/>
          </w:tcPr>
          <w:p>
            <w:pPr>
              <w:ind w:left="160"/>
              <w:spacing w:after="0"/>
              <w:rPr>
                <w:sz w:val="20"/>
                <w:szCs w:val="20"/>
                <w:color w:val="auto"/>
              </w:rPr>
            </w:pPr>
            <w:r>
              <w:rPr>
                <w:rFonts w:ascii="Arial" w:cs="Arial" w:eastAsia="Arial" w:hAnsi="Arial"/>
                <w:sz w:val="17"/>
                <w:szCs w:val="17"/>
                <w:color w:val="auto"/>
              </w:rPr>
              <w:t>Overdraft fees</w:t>
            </w:r>
          </w:p>
        </w:tc>
        <w:tc>
          <w:tcPr>
            <w:tcW w:w="260" w:type="dxa"/>
            <w:vAlign w:val="bottom"/>
            <w:shd w:val="clear" w:color="auto" w:fill="F0FFFF"/>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2,598</w:t>
            </w:r>
          </w:p>
        </w:tc>
        <w:tc>
          <w:tcPr>
            <w:tcW w:w="240" w:type="dxa"/>
            <w:vAlign w:val="bottom"/>
            <w:shd w:val="clear" w:color="auto" w:fill="F0FFFF"/>
          </w:tcPr>
          <w:p>
            <w:pPr>
              <w:spacing w:after="0"/>
              <w:rPr>
                <w:sz w:val="17"/>
                <w:szCs w:val="17"/>
                <w:color w:val="auto"/>
              </w:rPr>
            </w:pPr>
          </w:p>
        </w:tc>
        <w:tc>
          <w:tcPr>
            <w:tcW w:w="320" w:type="dxa"/>
            <w:vAlign w:val="bottom"/>
            <w:shd w:val="clear" w:color="auto" w:fill="F0FF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2,920</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(322)</w:t>
            </w: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5"/>
        </w:trPr>
        <w:tc>
          <w:tcPr>
            <w:tcW w:w="6060" w:type="dxa"/>
            <w:vAlign w:val="bottom"/>
          </w:tcPr>
          <w:p>
            <w:pPr>
              <w:ind w:left="160"/>
              <w:spacing w:after="0"/>
              <w:rPr>
                <w:sz w:val="20"/>
                <w:szCs w:val="20"/>
                <w:color w:val="auto"/>
              </w:rPr>
            </w:pPr>
            <w:r>
              <w:rPr>
                <w:rFonts w:ascii="Arial" w:cs="Arial" w:eastAsia="Arial" w:hAnsi="Arial"/>
                <w:sz w:val="17"/>
                <w:szCs w:val="17"/>
                <w:color w:val="auto"/>
              </w:rPr>
              <w:t>ATM and debit card fees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3,638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3,531</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107</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5"/>
        </w:trPr>
        <w:tc>
          <w:tcPr>
            <w:tcW w:w="6060" w:type="dxa"/>
            <w:vAlign w:val="bottom"/>
            <w:shd w:val="clear" w:color="auto" w:fill="F0FFFF"/>
          </w:tcPr>
          <w:p>
            <w:pPr>
              <w:ind w:left="160"/>
              <w:spacing w:after="0"/>
              <w:rPr>
                <w:sz w:val="20"/>
                <w:szCs w:val="20"/>
                <w:color w:val="auto"/>
              </w:rPr>
            </w:pPr>
            <w:r>
              <w:rPr>
                <w:rFonts w:ascii="Arial" w:cs="Arial" w:eastAsia="Arial" w:hAnsi="Arial"/>
                <w:sz w:val="17"/>
                <w:szCs w:val="17"/>
                <w:color w:val="auto"/>
              </w:rPr>
              <w:t>Other service charges and fees</w:t>
            </w:r>
          </w:p>
        </w:tc>
        <w:tc>
          <w:tcPr>
            <w:tcW w:w="260" w:type="dxa"/>
            <w:vAlign w:val="bottom"/>
            <w:shd w:val="clear" w:color="auto" w:fill="F0FFFF"/>
          </w:tcPr>
          <w:p>
            <w:pPr>
              <w:spacing w:after="0"/>
              <w:rPr>
                <w:sz w:val="17"/>
                <w:szCs w:val="17"/>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1,379</w:t>
            </w:r>
          </w:p>
        </w:tc>
        <w:tc>
          <w:tcPr>
            <w:tcW w:w="24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1,447</w:t>
            </w:r>
          </w:p>
        </w:tc>
        <w:tc>
          <w:tcPr>
            <w:tcW w:w="18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(68)</w:t>
            </w: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6"/>
        </w:trPr>
        <w:tc>
          <w:tcPr>
            <w:tcW w:w="6060" w:type="dxa"/>
            <w:vAlign w:val="bottom"/>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90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6060" w:type="dxa"/>
            <w:vAlign w:val="bottom"/>
          </w:tcPr>
          <w:p>
            <w:pPr>
              <w:ind w:left="320"/>
              <w:spacing w:after="0"/>
              <w:rPr>
                <w:sz w:val="20"/>
                <w:szCs w:val="20"/>
                <w:color w:val="auto"/>
              </w:rPr>
            </w:pPr>
            <w:r>
              <w:rPr>
                <w:rFonts w:ascii="Arial" w:cs="Arial" w:eastAsia="Arial" w:hAnsi="Arial"/>
                <w:sz w:val="17"/>
                <w:szCs w:val="17"/>
                <w:color w:val="auto"/>
              </w:rPr>
              <w:t>Service charges and fees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7,615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7,898</w:t>
            </w: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(283)</w:t>
            </w:r>
          </w:p>
        </w:tc>
        <w:tc>
          <w:tcPr>
            <w:tcW w:w="22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5"/>
        </w:trPr>
        <w:tc>
          <w:tcPr>
            <w:tcW w:w="6060" w:type="dxa"/>
            <w:vAlign w:val="bottom"/>
            <w:shd w:val="clear" w:color="auto" w:fill="F0FFFF"/>
          </w:tcPr>
          <w:p>
            <w:pPr>
              <w:ind w:left="160"/>
              <w:spacing w:after="0"/>
              <w:rPr>
                <w:sz w:val="20"/>
                <w:szCs w:val="20"/>
                <w:color w:val="auto"/>
              </w:rPr>
            </w:pPr>
            <w:r>
              <w:rPr>
                <w:rFonts w:ascii="Arial" w:cs="Arial" w:eastAsia="Arial" w:hAnsi="Arial"/>
                <w:sz w:val="17"/>
                <w:szCs w:val="17"/>
                <w:color w:val="auto"/>
              </w:rPr>
              <w:t>Mortgage loan and related fees</w:t>
            </w:r>
          </w:p>
        </w:tc>
        <w:tc>
          <w:tcPr>
            <w:tcW w:w="260" w:type="dxa"/>
            <w:vAlign w:val="bottom"/>
            <w:shd w:val="clear" w:color="auto" w:fill="F0FFFF"/>
          </w:tcPr>
          <w:p>
            <w:pPr>
              <w:spacing w:after="0"/>
              <w:rPr>
                <w:sz w:val="17"/>
                <w:szCs w:val="17"/>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2,755</w:t>
            </w:r>
          </w:p>
        </w:tc>
        <w:tc>
          <w:tcPr>
            <w:tcW w:w="24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1,354</w:t>
            </w:r>
          </w:p>
        </w:tc>
        <w:tc>
          <w:tcPr>
            <w:tcW w:w="18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1,401</w:t>
            </w: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05"/>
        </w:trPr>
        <w:tc>
          <w:tcPr>
            <w:tcW w:w="6060" w:type="dxa"/>
            <w:vAlign w:val="bottom"/>
          </w:tcPr>
          <w:p>
            <w:pPr>
              <w:ind w:left="160"/>
              <w:spacing w:after="0"/>
              <w:rPr>
                <w:sz w:val="20"/>
                <w:szCs w:val="20"/>
                <w:color w:val="auto"/>
              </w:rPr>
            </w:pPr>
            <w:r>
              <w:rPr>
                <w:rFonts w:ascii="Arial" w:cs="Arial" w:eastAsia="Arial" w:hAnsi="Arial"/>
                <w:sz w:val="17"/>
                <w:szCs w:val="17"/>
                <w:color w:val="auto"/>
              </w:rPr>
              <w:t>Brokerage fees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1,551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1,177</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374</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60" w:type="dxa"/>
            <w:vAlign w:val="bottom"/>
            <w:shd w:val="clear" w:color="auto" w:fill="F0FFFF"/>
          </w:tcPr>
          <w:p>
            <w:pPr>
              <w:ind w:left="160"/>
              <w:spacing w:after="0"/>
              <w:rPr>
                <w:sz w:val="20"/>
                <w:szCs w:val="20"/>
                <w:color w:val="auto"/>
              </w:rPr>
            </w:pPr>
            <w:r>
              <w:rPr>
                <w:rFonts w:ascii="Arial" w:cs="Arial" w:eastAsia="Arial" w:hAnsi="Arial"/>
                <w:sz w:val="17"/>
                <w:szCs w:val="17"/>
                <w:color w:val="auto"/>
              </w:rPr>
              <w:t>Gains on sales of SBA loans</w:t>
            </w:r>
          </w:p>
        </w:tc>
        <w:tc>
          <w:tcPr>
            <w:tcW w:w="260" w:type="dxa"/>
            <w:vAlign w:val="bottom"/>
            <w:shd w:val="clear" w:color="auto" w:fill="F0FFFF"/>
          </w:tcPr>
          <w:p>
            <w:pPr>
              <w:spacing w:after="0"/>
              <w:rPr>
                <w:sz w:val="17"/>
                <w:szCs w:val="17"/>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1,141</w:t>
            </w:r>
          </w:p>
        </w:tc>
        <w:tc>
          <w:tcPr>
            <w:tcW w:w="24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1,141</w:t>
            </w: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5"/>
        </w:trPr>
        <w:tc>
          <w:tcPr>
            <w:tcW w:w="6060" w:type="dxa"/>
            <w:vAlign w:val="bottom"/>
          </w:tcPr>
          <w:p>
            <w:pPr>
              <w:ind w:left="160"/>
              <w:spacing w:after="0"/>
              <w:rPr>
                <w:sz w:val="20"/>
                <w:szCs w:val="20"/>
                <w:color w:val="auto"/>
              </w:rPr>
            </w:pPr>
            <w:r>
              <w:rPr>
                <w:rFonts w:ascii="Arial" w:cs="Arial" w:eastAsia="Arial" w:hAnsi="Arial"/>
                <w:sz w:val="17"/>
                <w:szCs w:val="17"/>
                <w:color w:val="auto"/>
              </w:rPr>
              <w:t>Customer derivatives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363</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57</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306</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537</w:t>
            </w:r>
          </w:p>
        </w:tc>
        <w:tc>
          <w:tcPr>
            <w:tcW w:w="0" w:type="dxa"/>
            <w:vAlign w:val="bottom"/>
          </w:tcPr>
          <w:p>
            <w:pPr>
              <w:spacing w:after="0"/>
              <w:rPr>
                <w:sz w:val="1"/>
                <w:szCs w:val="1"/>
                <w:color w:val="auto"/>
              </w:rPr>
            </w:pPr>
          </w:p>
        </w:tc>
      </w:tr>
      <w:tr>
        <w:trPr>
          <w:trHeight w:val="205"/>
        </w:trPr>
        <w:tc>
          <w:tcPr>
            <w:tcW w:w="6060" w:type="dxa"/>
            <w:vAlign w:val="bottom"/>
            <w:shd w:val="clear" w:color="auto" w:fill="F0FFFF"/>
          </w:tcPr>
          <w:p>
            <w:pPr>
              <w:ind w:left="160"/>
              <w:spacing w:after="0"/>
              <w:rPr>
                <w:sz w:val="20"/>
                <w:szCs w:val="20"/>
                <w:color w:val="auto"/>
              </w:rPr>
            </w:pPr>
            <w:r>
              <w:rPr>
                <w:rFonts w:ascii="Arial" w:cs="Arial" w:eastAsia="Arial" w:hAnsi="Arial"/>
                <w:sz w:val="17"/>
                <w:szCs w:val="17"/>
                <w:color w:val="auto"/>
              </w:rPr>
              <w:t>Securities gains, net</w:t>
            </w:r>
          </w:p>
        </w:tc>
        <w:tc>
          <w:tcPr>
            <w:tcW w:w="260" w:type="dxa"/>
            <w:vAlign w:val="bottom"/>
            <w:shd w:val="clear" w:color="auto" w:fill="F0FFFF"/>
          </w:tcPr>
          <w:p>
            <w:pPr>
              <w:spacing w:after="0"/>
              <w:rPr>
                <w:sz w:val="17"/>
                <w:szCs w:val="17"/>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1,539</w:t>
            </w:r>
          </w:p>
        </w:tc>
        <w:tc>
          <w:tcPr>
            <w:tcW w:w="24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217</w:t>
            </w:r>
          </w:p>
        </w:tc>
        <w:tc>
          <w:tcPr>
            <w:tcW w:w="18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1,322</w:t>
            </w: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60" w:type="dxa"/>
            <w:vAlign w:val="bottom"/>
          </w:tcPr>
          <w:p>
            <w:pPr>
              <w:ind w:left="160"/>
              <w:spacing w:after="0"/>
              <w:rPr>
                <w:sz w:val="20"/>
                <w:szCs w:val="20"/>
                <w:color w:val="auto"/>
              </w:rPr>
            </w:pPr>
            <w:r>
              <w:rPr>
                <w:rFonts w:ascii="Arial" w:cs="Arial" w:eastAsia="Arial" w:hAnsi="Arial"/>
                <w:sz w:val="17"/>
                <w:szCs w:val="17"/>
                <w:color w:val="auto"/>
              </w:rPr>
              <w:t>Losses from prepayment of debt</w:t>
            </w:r>
          </w:p>
        </w:tc>
        <w:tc>
          <w:tcPr>
            <w:tcW w:w="2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(1,038)</w:t>
            </w:r>
          </w:p>
        </w:tc>
        <w:tc>
          <w:tcPr>
            <w:tcW w:w="3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(1,038)</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60" w:type="dxa"/>
            <w:vAlign w:val="bottom"/>
            <w:shd w:val="clear" w:color="auto" w:fill="F0FFFF"/>
          </w:tcPr>
          <w:p>
            <w:pPr>
              <w:ind w:left="160"/>
              <w:spacing w:after="0"/>
              <w:rPr>
                <w:sz w:val="20"/>
                <w:szCs w:val="20"/>
                <w:color w:val="auto"/>
              </w:rPr>
            </w:pPr>
            <w:r>
              <w:rPr>
                <w:rFonts w:ascii="Arial" w:cs="Arial" w:eastAsia="Arial" w:hAnsi="Arial"/>
                <w:sz w:val="17"/>
                <w:szCs w:val="17"/>
                <w:color w:val="auto"/>
              </w:rPr>
              <w:t>Other</w:t>
            </w:r>
          </w:p>
        </w:tc>
        <w:tc>
          <w:tcPr>
            <w:tcW w:w="260" w:type="dxa"/>
            <w:vAlign w:val="bottom"/>
            <w:shd w:val="clear" w:color="auto" w:fill="F0FFFF"/>
          </w:tcPr>
          <w:p>
            <w:pPr>
              <w:spacing w:after="0"/>
              <w:rPr>
                <w:sz w:val="17"/>
                <w:szCs w:val="17"/>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1,756</w:t>
            </w:r>
          </w:p>
        </w:tc>
        <w:tc>
          <w:tcPr>
            <w:tcW w:w="24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1,473</w:t>
            </w:r>
          </w:p>
        </w:tc>
        <w:tc>
          <w:tcPr>
            <w:tcW w:w="18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283</w:t>
            </w: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060" w:type="dxa"/>
            <w:vAlign w:val="bottom"/>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90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6060" w:type="dxa"/>
            <w:vAlign w:val="bottom"/>
          </w:tcPr>
          <w:p>
            <w:pPr>
              <w:ind w:left="320"/>
              <w:spacing w:after="0"/>
              <w:rPr>
                <w:sz w:val="20"/>
                <w:szCs w:val="20"/>
                <w:color w:val="auto"/>
              </w:rPr>
            </w:pPr>
            <w:r>
              <w:rPr>
                <w:rFonts w:ascii="Arial" w:cs="Arial" w:eastAsia="Arial" w:hAnsi="Arial"/>
                <w:sz w:val="17"/>
                <w:szCs w:val="17"/>
                <w:color w:val="auto"/>
              </w:rPr>
              <w:t>Total fee revenue</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15,682</w:t>
            </w:r>
          </w:p>
        </w:tc>
        <w:tc>
          <w:tcPr>
            <w:tcW w:w="24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12,176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3,506</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Service charges and fees of $7.62 million for the first quarter of 2015 were down $283,000, or 4%, from the first quarter of 2014. The decrease from the first quarter of 2014 is due to lower overdraft fees and other service charges, partially offset by higher debit card interchange fees. Overdraft fees continue to decline as customer utilization of our courtesy overdraft services decreases.</w:t>
      </w:r>
    </w:p>
    <w:p>
      <w:pPr>
        <w:spacing w:after="0" w:line="201"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Mortgage loans and related fees for the first quarter of 2015 were up $1.40 million, or more than double the amount for the first quarter of 2014. The increase reflects United’s focus on growing the mortgage business by recruiting new mortgage lenders in key, underserved markets and an increase in refinancing activity. In the first quarter of 2015, United closed 473 loans totaling $87.9 million compared with 289 loans totaling $46.0 million in the first quarter of 2014. New purchase mortgages represented $41.5 million, or 47% of the first quarter 2015 production compared with $30.3 million, or 66% of the production volume a year ago.</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Brokerage fees of $1.55 million increased $374,000, or 32%, from the first quarter of 2014. The increase reflects United’s focus on growing the brokerage business.</w:t>
      </w:r>
    </w:p>
    <w:p>
      <w:pPr>
        <w:spacing w:after="0" w:line="26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the first quarter of 2015, United realized $1.14 million in gains from the sales of the guaranteed portion of SBA and USDA loans. United has been actively growing its SBA lending business with the hiring of new leadership and lenders who specialize in government guaranteed loan programs such as SBA and USDA loans. United’s SBA/USDA lending strategy includes selling a portion of the loan production each quarter. United began selling the guaranteed portion of loans in the second quarter of 2014. United retains the servicing rights on the sold loans and earns a fee for servicing the loans. In the first quarter of 2015, United sold loans with a principal balance of $13.0 million at prices ranging from 105.10% to 118.99% of par.</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Customer derivative fees of $363,000 for the first quarter of 2015 were up $306,000 from the first quarter of 2014 due to an increase in customer demand for this product as commercial customers sought to lock in low fixed rates on their loans.</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United realized net securities gains of $1.54 million in the first quarter of 2015 compared with securities gains of $217,000 in the first quarter of 2014. United also incurred $1.04 million in charges from the prepayment of $6 million in structured repurchase agreements that paid interest at a rate of 4% and $15 million in trust preferred securities that paid interest at an average rate in excess of 11%. The securities gains and prepayment charges in 2015 were mostly offsetting and were part of the same overall balance sheet management activities that were intended to lower the overall cost of wholesale borrowings going forward. Management expects annual interest savings of approximately $1.9 million from the repayment of the borrowings.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Other fee revenue of $1.76 million for the first quarter of 2015 was up $283,000, or 19%, from the first quarter of 2014. The increase was mostly due to an incentive payment from United’s merchant services vendor.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84"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20"/>
                <w:szCs w:val="20"/>
                <w:color w:val="auto"/>
              </w:rPr>
            </w:pPr>
            <w:r>
              <w:rPr>
                <w:rFonts w:ascii="Arial" w:cs="Arial" w:eastAsia="Arial" w:hAnsi="Arial"/>
                <w:sz w:val="17"/>
                <w:szCs w:val="17"/>
                <w:b w:val="1"/>
                <w:bCs w:val="1"/>
                <w:i w:val="1"/>
                <w:iCs w:val="1"/>
                <w:color w:val="auto"/>
              </w:rPr>
              <w:t>Operating Expenses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6"/>
        </w:trPr>
        <w:tc>
          <w:tcPr>
            <w:tcW w:w="8840" w:type="dxa"/>
            <w:vAlign w:val="bottom"/>
            <w:gridSpan w:val="7"/>
          </w:tcPr>
          <w:p>
            <w:pPr>
              <w:spacing w:after="0"/>
              <w:rPr>
                <w:sz w:val="20"/>
                <w:szCs w:val="20"/>
                <w:color w:val="auto"/>
              </w:rPr>
            </w:pPr>
            <w:r>
              <w:rPr>
                <w:rFonts w:ascii="Arial" w:cs="Arial" w:eastAsia="Arial" w:hAnsi="Arial"/>
                <w:sz w:val="17"/>
                <w:szCs w:val="17"/>
                <w:color w:val="auto"/>
                <w:w w:val="95"/>
              </w:rPr>
              <w:t>The following table presents the components of operating expenses for the three months ended March 31, 2015 and 2014.</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6060" w:type="dxa"/>
            <w:vAlign w:val="bottom"/>
          </w:tcPr>
          <w:p>
            <w:pPr>
              <w:ind w:left="40"/>
              <w:spacing w:after="0"/>
              <w:rPr>
                <w:sz w:val="20"/>
                <w:szCs w:val="20"/>
                <w:color w:val="auto"/>
              </w:rPr>
            </w:pPr>
            <w:r>
              <w:rPr>
                <w:rFonts w:ascii="Arial" w:cs="Arial" w:eastAsia="Arial" w:hAnsi="Arial"/>
                <w:sz w:val="17"/>
                <w:szCs w:val="17"/>
                <w:b w:val="1"/>
                <w:bCs w:val="1"/>
                <w:color w:val="auto"/>
              </w:rPr>
              <w:t>Table 5 - Operating Expenses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40"/>
              <w:spacing w:after="0"/>
              <w:rPr>
                <w:sz w:val="20"/>
                <w:szCs w:val="20"/>
                <w:color w:val="auto"/>
              </w:rPr>
            </w:pPr>
            <w:r>
              <w:rPr>
                <w:rFonts w:ascii="Arial" w:cs="Arial" w:eastAsia="Arial" w:hAnsi="Arial"/>
                <w:sz w:val="17"/>
                <w:szCs w:val="17"/>
                <w:i w:val="1"/>
                <w:iCs w:val="1"/>
                <w:color w:val="auto"/>
              </w:rPr>
              <w:t>(in thousands)</w:t>
            </w:r>
          </w:p>
        </w:tc>
        <w:tc>
          <w:tcPr>
            <w:tcW w:w="260" w:type="dxa"/>
            <w:vAlign w:val="bottom"/>
          </w:tcPr>
          <w:p>
            <w:pPr>
              <w:spacing w:after="0"/>
              <w:rPr>
                <w:sz w:val="18"/>
                <w:szCs w:val="18"/>
                <w:color w:val="auto"/>
              </w:rPr>
            </w:pPr>
          </w:p>
        </w:tc>
        <w:tc>
          <w:tcPr>
            <w:tcW w:w="2520" w:type="dxa"/>
            <w:vAlign w:val="bottom"/>
            <w:gridSpan w:val="5"/>
            <w:vMerge w:val="restart"/>
          </w:tcPr>
          <w:p>
            <w:pPr>
              <w:jc w:val="right"/>
              <w:ind w:right="720"/>
              <w:spacing w:after="0"/>
              <w:rPr>
                <w:sz w:val="20"/>
                <w:szCs w:val="20"/>
                <w:color w:val="auto"/>
              </w:rPr>
            </w:pPr>
            <w:r>
              <w:rPr>
                <w:rFonts w:ascii="Arial" w:cs="Arial" w:eastAsia="Arial" w:hAnsi="Arial"/>
                <w:sz w:val="17"/>
                <w:szCs w:val="17"/>
                <w:b w:val="1"/>
                <w:bCs w:val="1"/>
                <w:color w:val="auto"/>
              </w:rPr>
              <w:t>Three Months Ended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7"/>
                <w:szCs w:val="17"/>
                <w:b w:val="1"/>
                <w:bCs w:val="1"/>
                <w:color w:val="auto"/>
              </w:rPr>
              <w:t>March 31,</w:t>
            </w:r>
          </w:p>
        </w:tc>
        <w:tc>
          <w:tcPr>
            <w:tcW w:w="8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780"/>
              <w:spacing w:after="0"/>
              <w:rPr>
                <w:sz w:val="20"/>
                <w:szCs w:val="20"/>
                <w:color w:val="auto"/>
              </w:rPr>
            </w:pPr>
            <w:r>
              <w:rPr>
                <w:rFonts w:ascii="Arial" w:cs="Arial" w:eastAsia="Arial" w:hAnsi="Arial"/>
                <w:sz w:val="17"/>
                <w:szCs w:val="17"/>
                <w:b w:val="1"/>
                <w:bCs w:val="1"/>
                <w:color w:val="auto"/>
                <w:w w:val="96"/>
              </w:rPr>
              <w:t>Change</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15"/>
              <w:spacing w:after="0"/>
              <w:rPr>
                <w:sz w:val="20"/>
                <w:szCs w:val="20"/>
                <w:color w:val="auto"/>
              </w:rPr>
            </w:pPr>
            <w:r>
              <w:rPr>
                <w:rFonts w:ascii="Arial" w:cs="Arial" w:eastAsia="Arial" w:hAnsi="Arial"/>
                <w:sz w:val="17"/>
                <w:szCs w:val="17"/>
                <w:b w:val="1"/>
                <w:bCs w:val="1"/>
                <w:color w:val="auto"/>
              </w:rPr>
              <w:t>2015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315"/>
              <w:spacing w:after="0"/>
              <w:rPr>
                <w:sz w:val="20"/>
                <w:szCs w:val="20"/>
                <w:color w:val="auto"/>
              </w:rPr>
            </w:pPr>
            <w:r>
              <w:rPr>
                <w:rFonts w:ascii="Arial" w:cs="Arial" w:eastAsia="Arial" w:hAnsi="Arial"/>
                <w:sz w:val="17"/>
                <w:szCs w:val="17"/>
                <w:b w:val="1"/>
                <w:bCs w:val="1"/>
                <w:color w:val="auto"/>
              </w:rPr>
              <w:t>2014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tcPr>
          <w:p>
            <w:pPr>
              <w:ind w:left="100"/>
              <w:spacing w:after="0"/>
              <w:rPr>
                <w:sz w:val="20"/>
                <w:szCs w:val="20"/>
                <w:color w:val="auto"/>
              </w:rPr>
            </w:pPr>
            <w:r>
              <w:rPr>
                <w:rFonts w:ascii="Arial" w:cs="Arial" w:eastAsia="Arial" w:hAnsi="Arial"/>
                <w:sz w:val="17"/>
                <w:szCs w:val="17"/>
                <w:b w:val="1"/>
                <w:bCs w:val="1"/>
                <w:color w:val="auto"/>
              </w:rPr>
              <w:t>Amount</w:t>
            </w:r>
          </w:p>
        </w:tc>
        <w:tc>
          <w:tcPr>
            <w:tcW w:w="900" w:type="dxa"/>
            <w:vAlign w:val="bottom"/>
          </w:tcPr>
          <w:p>
            <w:pPr>
              <w:jc w:val="right"/>
              <w:ind w:right="195"/>
              <w:spacing w:after="0"/>
              <w:rPr>
                <w:sz w:val="20"/>
                <w:szCs w:val="20"/>
                <w:color w:val="auto"/>
              </w:rPr>
            </w:pPr>
            <w:r>
              <w:rPr>
                <w:rFonts w:ascii="Arial" w:cs="Arial" w:eastAsia="Arial" w:hAnsi="Arial"/>
                <w:sz w:val="17"/>
                <w:szCs w:val="17"/>
                <w:b w:val="1"/>
                <w:bCs w:val="1"/>
                <w:color w:val="auto"/>
                <w:w w:val="96"/>
              </w:rPr>
              <w:t>Percent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60" w:type="dxa"/>
            <w:vAlign w:val="bottom"/>
            <w:shd w:val="clear" w:color="auto" w:fill="F0FFFF"/>
          </w:tcPr>
          <w:p>
            <w:pPr>
              <w:ind w:left="40"/>
              <w:spacing w:after="0"/>
              <w:rPr>
                <w:sz w:val="20"/>
                <w:szCs w:val="20"/>
                <w:color w:val="auto"/>
              </w:rPr>
            </w:pPr>
            <w:r>
              <w:rPr>
                <w:rFonts w:ascii="Arial" w:cs="Arial" w:eastAsia="Arial" w:hAnsi="Arial"/>
                <w:sz w:val="17"/>
                <w:szCs w:val="17"/>
                <w:color w:val="auto"/>
              </w:rPr>
              <w:t>Salaries and employee benefits</w:t>
            </w:r>
          </w:p>
        </w:tc>
        <w:tc>
          <w:tcPr>
            <w:tcW w:w="260" w:type="dxa"/>
            <w:vAlign w:val="bottom"/>
            <w:shd w:val="clear" w:color="auto" w:fill="F0FFFF"/>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26,446</w:t>
            </w:r>
          </w:p>
        </w:tc>
        <w:tc>
          <w:tcPr>
            <w:tcW w:w="240" w:type="dxa"/>
            <w:vAlign w:val="bottom"/>
            <w:shd w:val="clear" w:color="auto" w:fill="F0FFFF"/>
          </w:tcPr>
          <w:p>
            <w:pPr>
              <w:spacing w:after="0"/>
              <w:rPr>
                <w:sz w:val="17"/>
                <w:szCs w:val="17"/>
                <w:color w:val="auto"/>
              </w:rPr>
            </w:pPr>
          </w:p>
        </w:tc>
        <w:tc>
          <w:tcPr>
            <w:tcW w:w="320" w:type="dxa"/>
            <w:vAlign w:val="bottom"/>
            <w:shd w:val="clear" w:color="auto" w:fill="F0FF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24,396</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2,050</w:t>
            </w: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5"/>
        </w:trPr>
        <w:tc>
          <w:tcPr>
            <w:tcW w:w="6060" w:type="dxa"/>
            <w:vAlign w:val="bottom"/>
          </w:tcPr>
          <w:p>
            <w:pPr>
              <w:ind w:left="40"/>
              <w:spacing w:after="0"/>
              <w:rPr>
                <w:sz w:val="20"/>
                <w:szCs w:val="20"/>
                <w:color w:val="auto"/>
              </w:rPr>
            </w:pPr>
            <w:r>
              <w:rPr>
                <w:rFonts w:ascii="Arial" w:cs="Arial" w:eastAsia="Arial" w:hAnsi="Arial"/>
                <w:sz w:val="17"/>
                <w:szCs w:val="17"/>
                <w:color w:val="auto"/>
              </w:rPr>
              <w:t>Communications and equipment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3,271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3,239</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32</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5"/>
        </w:trPr>
        <w:tc>
          <w:tcPr>
            <w:tcW w:w="6060" w:type="dxa"/>
            <w:vAlign w:val="bottom"/>
            <w:shd w:val="clear" w:color="auto" w:fill="F0FFFF"/>
          </w:tcPr>
          <w:p>
            <w:pPr>
              <w:ind w:left="40"/>
              <w:spacing w:after="0"/>
              <w:rPr>
                <w:sz w:val="20"/>
                <w:szCs w:val="20"/>
                <w:color w:val="auto"/>
              </w:rPr>
            </w:pPr>
            <w:r>
              <w:rPr>
                <w:rFonts w:ascii="Arial" w:cs="Arial" w:eastAsia="Arial" w:hAnsi="Arial"/>
                <w:sz w:val="17"/>
                <w:szCs w:val="17"/>
                <w:color w:val="auto"/>
              </w:rPr>
              <w:t>Occupancy</w:t>
            </w:r>
          </w:p>
        </w:tc>
        <w:tc>
          <w:tcPr>
            <w:tcW w:w="260" w:type="dxa"/>
            <w:vAlign w:val="bottom"/>
            <w:shd w:val="clear" w:color="auto" w:fill="F0FFFF"/>
          </w:tcPr>
          <w:p>
            <w:pPr>
              <w:spacing w:after="0"/>
              <w:rPr>
                <w:sz w:val="17"/>
                <w:szCs w:val="17"/>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3,278</w:t>
            </w:r>
          </w:p>
        </w:tc>
        <w:tc>
          <w:tcPr>
            <w:tcW w:w="24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3,378</w:t>
            </w:r>
          </w:p>
        </w:tc>
        <w:tc>
          <w:tcPr>
            <w:tcW w:w="18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5"/>
        </w:trPr>
        <w:tc>
          <w:tcPr>
            <w:tcW w:w="6060" w:type="dxa"/>
            <w:vAlign w:val="bottom"/>
          </w:tcPr>
          <w:p>
            <w:pPr>
              <w:ind w:left="40"/>
              <w:spacing w:after="0"/>
              <w:rPr>
                <w:sz w:val="20"/>
                <w:szCs w:val="20"/>
                <w:color w:val="auto"/>
              </w:rPr>
            </w:pPr>
            <w:r>
              <w:rPr>
                <w:rFonts w:ascii="Arial" w:cs="Arial" w:eastAsia="Arial" w:hAnsi="Arial"/>
                <w:sz w:val="17"/>
                <w:szCs w:val="17"/>
                <w:color w:val="auto"/>
              </w:rPr>
              <w:t>Advertising and public relations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750</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626</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124</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60" w:type="dxa"/>
            <w:vAlign w:val="bottom"/>
            <w:shd w:val="clear" w:color="auto" w:fill="F0FFFF"/>
          </w:tcPr>
          <w:p>
            <w:pPr>
              <w:ind w:left="40"/>
              <w:spacing w:after="0"/>
              <w:rPr>
                <w:sz w:val="20"/>
                <w:szCs w:val="20"/>
                <w:color w:val="auto"/>
              </w:rPr>
            </w:pPr>
            <w:r>
              <w:rPr>
                <w:rFonts w:ascii="Arial" w:cs="Arial" w:eastAsia="Arial" w:hAnsi="Arial"/>
                <w:sz w:val="17"/>
                <w:szCs w:val="17"/>
                <w:color w:val="auto"/>
              </w:rPr>
              <w:t>Postage, printing and supplies</w:t>
            </w:r>
          </w:p>
        </w:tc>
        <w:tc>
          <w:tcPr>
            <w:tcW w:w="260" w:type="dxa"/>
            <w:vAlign w:val="bottom"/>
            <w:shd w:val="clear" w:color="auto" w:fill="F0FFFF"/>
          </w:tcPr>
          <w:p>
            <w:pPr>
              <w:spacing w:after="0"/>
              <w:rPr>
                <w:sz w:val="17"/>
                <w:szCs w:val="17"/>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938</w:t>
            </w:r>
          </w:p>
        </w:tc>
        <w:tc>
          <w:tcPr>
            <w:tcW w:w="24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776</w:t>
            </w:r>
          </w:p>
        </w:tc>
        <w:tc>
          <w:tcPr>
            <w:tcW w:w="18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162</w:t>
            </w: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60" w:type="dxa"/>
            <w:vAlign w:val="bottom"/>
          </w:tcPr>
          <w:p>
            <w:pPr>
              <w:ind w:left="40"/>
              <w:spacing w:after="0"/>
              <w:rPr>
                <w:sz w:val="20"/>
                <w:szCs w:val="20"/>
                <w:color w:val="auto"/>
              </w:rPr>
            </w:pPr>
            <w:r>
              <w:rPr>
                <w:rFonts w:ascii="Arial" w:cs="Arial" w:eastAsia="Arial" w:hAnsi="Arial"/>
                <w:sz w:val="17"/>
                <w:szCs w:val="17"/>
                <w:color w:val="auto"/>
              </w:rPr>
              <w:t>Professional fees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1,919</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1,427</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492</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60" w:type="dxa"/>
            <w:vAlign w:val="bottom"/>
            <w:shd w:val="clear" w:color="auto" w:fill="F0FFFF"/>
          </w:tcPr>
          <w:p>
            <w:pPr>
              <w:ind w:left="40"/>
              <w:spacing w:after="0"/>
              <w:rPr>
                <w:sz w:val="20"/>
                <w:szCs w:val="20"/>
                <w:color w:val="auto"/>
              </w:rPr>
            </w:pPr>
            <w:r>
              <w:rPr>
                <w:rFonts w:ascii="Arial" w:cs="Arial" w:eastAsia="Arial" w:hAnsi="Arial"/>
                <w:sz w:val="17"/>
                <w:szCs w:val="17"/>
                <w:color w:val="auto"/>
              </w:rPr>
              <w:t>FDIC assessments and other regulatory charges</w:t>
            </w:r>
          </w:p>
        </w:tc>
        <w:tc>
          <w:tcPr>
            <w:tcW w:w="260" w:type="dxa"/>
            <w:vAlign w:val="bottom"/>
            <w:shd w:val="clear" w:color="auto" w:fill="F0FFFF"/>
          </w:tcPr>
          <w:p>
            <w:pPr>
              <w:spacing w:after="0"/>
              <w:rPr>
                <w:sz w:val="17"/>
                <w:szCs w:val="17"/>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1,209</w:t>
            </w:r>
          </w:p>
        </w:tc>
        <w:tc>
          <w:tcPr>
            <w:tcW w:w="24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1,353</w:t>
            </w:r>
          </w:p>
        </w:tc>
        <w:tc>
          <w:tcPr>
            <w:tcW w:w="18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(144)</w:t>
            </w:r>
          </w:p>
        </w:tc>
        <w:tc>
          <w:tcPr>
            <w:tcW w:w="22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5"/>
        </w:trPr>
        <w:tc>
          <w:tcPr>
            <w:tcW w:w="6060" w:type="dxa"/>
            <w:vAlign w:val="bottom"/>
          </w:tcPr>
          <w:p>
            <w:pPr>
              <w:ind w:left="40"/>
              <w:spacing w:after="0"/>
              <w:rPr>
                <w:sz w:val="20"/>
                <w:szCs w:val="20"/>
                <w:color w:val="auto"/>
              </w:rPr>
            </w:pPr>
            <w:r>
              <w:rPr>
                <w:rFonts w:ascii="Arial" w:cs="Arial" w:eastAsia="Arial" w:hAnsi="Arial"/>
                <w:sz w:val="17"/>
                <w:szCs w:val="17"/>
                <w:color w:val="auto"/>
              </w:rPr>
              <w:t>Amortization of intangibles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387</w:t>
            </w: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(145)</w:t>
            </w:r>
          </w:p>
        </w:tc>
        <w:tc>
          <w:tcPr>
            <w:tcW w:w="22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5"/>
        </w:trPr>
        <w:tc>
          <w:tcPr>
            <w:tcW w:w="6060" w:type="dxa"/>
            <w:vAlign w:val="bottom"/>
            <w:shd w:val="clear" w:color="auto" w:fill="F0FFFF"/>
          </w:tcPr>
          <w:p>
            <w:pPr>
              <w:ind w:left="40"/>
              <w:spacing w:after="0"/>
              <w:rPr>
                <w:sz w:val="20"/>
                <w:szCs w:val="20"/>
                <w:color w:val="auto"/>
              </w:rPr>
            </w:pPr>
            <w:r>
              <w:rPr>
                <w:rFonts w:ascii="Arial" w:cs="Arial" w:eastAsia="Arial" w:hAnsi="Arial"/>
                <w:sz w:val="17"/>
                <w:szCs w:val="17"/>
                <w:color w:val="auto"/>
              </w:rPr>
              <w:t>Other</w:t>
            </w:r>
          </w:p>
        </w:tc>
        <w:tc>
          <w:tcPr>
            <w:tcW w:w="260" w:type="dxa"/>
            <w:vAlign w:val="bottom"/>
            <w:shd w:val="clear" w:color="auto" w:fill="F0FFFF"/>
          </w:tcPr>
          <w:p>
            <w:pPr>
              <w:spacing w:after="0"/>
              <w:rPr>
                <w:sz w:val="17"/>
                <w:szCs w:val="17"/>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5,008</w:t>
            </w:r>
          </w:p>
        </w:tc>
        <w:tc>
          <w:tcPr>
            <w:tcW w:w="24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3,468</w:t>
            </w:r>
          </w:p>
        </w:tc>
        <w:tc>
          <w:tcPr>
            <w:tcW w:w="18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1,540</w:t>
            </w: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060" w:type="dxa"/>
            <w:vAlign w:val="bottom"/>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90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6060" w:type="dxa"/>
            <w:vAlign w:val="bottom"/>
          </w:tcPr>
          <w:p>
            <w:pPr>
              <w:ind w:left="260"/>
              <w:spacing w:after="0"/>
              <w:rPr>
                <w:sz w:val="20"/>
                <w:szCs w:val="20"/>
                <w:color w:val="auto"/>
              </w:rPr>
            </w:pPr>
            <w:r>
              <w:rPr>
                <w:rFonts w:ascii="Arial" w:cs="Arial" w:eastAsia="Arial" w:hAnsi="Arial"/>
                <w:sz w:val="17"/>
                <w:szCs w:val="17"/>
                <w:color w:val="auto"/>
              </w:rPr>
              <w:t>Total operating expenses</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43,061</w:t>
            </w:r>
          </w:p>
        </w:tc>
        <w:tc>
          <w:tcPr>
            <w:tcW w:w="24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39,050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4,011</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spacing w:after="0" w:line="315" w:lineRule="auto"/>
        <w:rPr>
          <w:sz w:val="20"/>
          <w:szCs w:val="20"/>
          <w:color w:val="auto"/>
        </w:rPr>
      </w:pPr>
      <w:r>
        <w:rPr>
          <w:rFonts w:ascii="Arial" w:cs="Arial" w:eastAsia="Arial" w:hAnsi="Arial"/>
          <w:sz w:val="15"/>
          <w:szCs w:val="15"/>
          <w:color w:val="auto"/>
        </w:rPr>
        <w:t>Operating expenses for the first quarter of 2015 totaled $43.1 million, up $4.01 million, or 10%, from the first quarter of 2014. The increase mostly reflects higher salaries and employee benefits expense resulting from investing in specialized lending areas and other strategic hiring, charges to terminate and settle the loss sharing agreements with the FDIC related to United’s 2009 acquisition of Southern Community Bank and a loss on a fraudulent home equity line of credit transaction.</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Salaries and employee benefits for the first quarter of 2015 were $26.4 million, up $2.05 million, or 8%, from the first quarter of 2014. The increase was due to a number of factors including investments in additional staff and new teams to expand specialized lending and new talent in other key areas, higher incentives due to increased loan production and obtaining higher earnings performance targets. Headcount totaled 1,552 at March 31, 2015, up 61 from March 31, 2014.</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Professional fees for the first quarter of 2015 of $1.92 million were up $492,000, or 34%, from the first quarter of 2014. The increase was due primarily to higher legal and consulting fees relating to projects that are in process.</w:t>
      </w:r>
    </w:p>
    <w:p>
      <w:pPr>
        <w:spacing w:after="0" w:line="19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Other expense of $5.01 million for the first quarter of 2015 increased $1.54 million, or 44%, from the first quarter of 2014. The increase is mostly due to a $690,000 charge to terminate and settle the loss sharing agreements with the FDIC related to United’s 2009 acquisition of Southern Community Bank and a $420,000 loss on a fraudulent home equity line of credit transaction. As a result of the termination of the loss sharing agreements with the FDIC, United will no longer be required to share 95% of recoveries of previously charged off loans with the FDIC. In addition to the unusual first quarter charges, other expense in the first quarter of 2015 was elevated due to higher travel and entertainment costs and lending support costs associated with the increase in lending activity.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40"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The income tax provision for the three months ended March 31, 2015 and 2014 was $10.4 million and $9.04 million, respectively, which represents effective tax rates of 37.0% for each period. For the remainder of 2015, United expects to record income tax expense at an effective tax rate of approximately 37%. At March 31, 2015, December 31, 2014 and March 31, 2014, United maintained a valuation allowance on its net deferred tax asset of $4.27 million, $4.12 million and $4.08 million, respectively. Management assesses the valuation allowance recorded against its net deferred tax asset at each reporting period. The determination of whether a valuation allowance for its net deferred tax asset is appropriate is subject to considerable judgment and requires an evaluation of all the positive and negative evidence.</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United evaluated the need for a valuation allowance at March 31, 2015. Based on the assessment of all the positive and negative evidence, management concluded that it is more likely than not that nearly all of its net deferred tax asset will be realized based upon future taxable income. The remaining valuation allowance of $4.27 million is related to specific state income tax credits that have short carryforward periods and are expected to expire unused.</w:t>
      </w:r>
    </w:p>
    <w:p>
      <w:pPr>
        <w:spacing w:after="0" w:line="184"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The valuation allowance could fluctuate in future periods based on the assessment of the positive and negative evidence. Management's conclusion at March 31, 2015 that it was more likely than not that United’s net deferred tax asset of $202 million will be realized is based upon management’s estimate of future taxable income. Management’s estimate of future taxable income is based on internal forecasts that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the valuation allowance may need to be increased for some or all of its net deferred tax asset. Such an increase to the net deferred tax asset valuation allowance could have a material adverse effect on United’s financial condition and results of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47" w:name="page48"/>
    <w:bookmarkEnd w:id="47"/>
    <w:p>
      <w:pPr>
        <w:jc w:val="both"/>
        <w:spacing w:after="0" w:line="281" w:lineRule="auto"/>
        <w:rPr>
          <w:sz w:val="20"/>
          <w:szCs w:val="20"/>
          <w:color w:val="auto"/>
        </w:rPr>
      </w:pPr>
      <w:r>
        <w:rPr>
          <w:rFonts w:ascii="Arial" w:cs="Arial" w:eastAsia="Arial" w:hAnsi="Arial"/>
          <w:sz w:val="16"/>
          <w:szCs w:val="16"/>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2010. Although United is unable to determine the ultimate outcome of future examinations, United believes that the liability recorded for uncertain tax positions is appropriate.</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16 to the consolidated financial statements filed with United’s Annual Report on Form 10-K for the year ended December 31, 2014.</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Sheet Review</w:t>
      </w:r>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Total assets at March 31, 2015, December 31, 2014 and March 31, 2014 were $7.67 billion, $7.57 billion and $7.40 billion, respectively. Average total assets for the first quarter of 2015 were $7.62 billion, up from $7.38 billion in the first quarter of 2014.</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gridSpan w:val="2"/>
          </w:tcPr>
          <w:p>
            <w:pPr>
              <w:spacing w:after="0"/>
              <w:rPr>
                <w:sz w:val="20"/>
                <w:szCs w:val="20"/>
                <w:color w:val="auto"/>
              </w:rPr>
            </w:pPr>
            <w:r>
              <w:rPr>
                <w:rFonts w:ascii="Arial" w:cs="Arial" w:eastAsia="Arial" w:hAnsi="Arial"/>
                <w:sz w:val="17"/>
                <w:szCs w:val="17"/>
                <w:color w:val="auto"/>
              </w:rPr>
              <w:t>The following table presents a summary of the loan portfolio.</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4920" w:type="dxa"/>
            <w:vAlign w:val="bottom"/>
            <w:gridSpan w:val="2"/>
          </w:tcPr>
          <w:p>
            <w:pPr>
              <w:ind w:left="580"/>
              <w:spacing w:after="0"/>
              <w:rPr>
                <w:sz w:val="20"/>
                <w:szCs w:val="20"/>
                <w:color w:val="auto"/>
              </w:rPr>
            </w:pPr>
            <w:r>
              <w:rPr>
                <w:rFonts w:ascii="Arial" w:cs="Arial" w:eastAsia="Arial" w:hAnsi="Arial"/>
                <w:sz w:val="17"/>
                <w:szCs w:val="17"/>
                <w:b w:val="1"/>
                <w:bCs w:val="1"/>
                <w:color w:val="auto"/>
              </w:rPr>
              <w:t>Table 6 - Loans Outstanding</w:t>
            </w: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ind w:left="580"/>
              <w:spacing w:after="0"/>
              <w:rPr>
                <w:sz w:val="20"/>
                <w:szCs w:val="20"/>
                <w:color w:val="auto"/>
              </w:rPr>
            </w:pPr>
            <w:r>
              <w:rPr>
                <w:rFonts w:ascii="Arial" w:cs="Arial" w:eastAsia="Arial" w:hAnsi="Arial"/>
                <w:sz w:val="17"/>
                <w:szCs w:val="17"/>
                <w:i w:val="1"/>
                <w:iCs w:val="1"/>
                <w:color w:val="auto"/>
              </w:rPr>
              <w:t>(in thousands)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7"/>
                <w:szCs w:val="17"/>
                <w:b w:val="1"/>
                <w:bCs w:val="1"/>
                <w:color w:val="auto"/>
                <w:w w:val="94"/>
              </w:rPr>
              <w:t>March 31,</w:t>
            </w:r>
          </w:p>
        </w:tc>
        <w:tc>
          <w:tcPr>
            <w:tcW w:w="1400" w:type="dxa"/>
            <w:vAlign w:val="bottom"/>
            <w:gridSpan w:val="3"/>
            <w:vMerge w:val="restart"/>
          </w:tcPr>
          <w:p>
            <w:pPr>
              <w:jc w:val="center"/>
              <w:ind w:right="280"/>
              <w:spacing w:after="0"/>
              <w:rPr>
                <w:sz w:val="20"/>
                <w:szCs w:val="20"/>
                <w:color w:val="auto"/>
              </w:rPr>
            </w:pPr>
            <w:r>
              <w:rPr>
                <w:rFonts w:ascii="Arial" w:cs="Arial" w:eastAsia="Arial" w:hAnsi="Arial"/>
                <w:sz w:val="17"/>
                <w:szCs w:val="17"/>
                <w:b w:val="1"/>
                <w:bCs w:val="1"/>
                <w:color w:val="auto"/>
                <w:w w:val="90"/>
              </w:rPr>
              <w:t>December 31,</w:t>
            </w:r>
          </w:p>
        </w:tc>
        <w:tc>
          <w:tcPr>
            <w:tcW w:w="160" w:type="dxa"/>
            <w:vAlign w:val="bottom"/>
          </w:tcPr>
          <w:p>
            <w:pPr>
              <w:spacing w:after="0"/>
              <w:rPr>
                <w:sz w:val="18"/>
                <w:szCs w:val="18"/>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7"/>
                <w:szCs w:val="17"/>
                <w:b w:val="1"/>
                <w:bCs w:val="1"/>
                <w:color w:val="auto"/>
                <w:w w:val="99"/>
              </w:rPr>
              <w:t>March 31,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2015</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2014</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2014</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shd w:val="clear" w:color="auto" w:fill="F0FFFF"/>
          </w:tcPr>
          <w:p>
            <w:pPr>
              <w:spacing w:after="0"/>
              <w:rPr>
                <w:sz w:val="20"/>
                <w:szCs w:val="20"/>
                <w:color w:val="auto"/>
              </w:rPr>
            </w:pPr>
            <w:r>
              <w:rPr>
                <w:rFonts w:ascii="Arial" w:cs="Arial" w:eastAsia="Arial" w:hAnsi="Arial"/>
                <w:sz w:val="17"/>
                <w:szCs w:val="17"/>
                <w:b w:val="1"/>
                <w:bCs w:val="1"/>
                <w:color w:val="auto"/>
              </w:rPr>
              <w:t>By Loan Type</w:t>
            </w:r>
          </w:p>
        </w:tc>
        <w:tc>
          <w:tcPr>
            <w:tcW w:w="18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280" w:type="dxa"/>
            <w:vAlign w:val="bottom"/>
            <w:tcBorders>
              <w:right w:val="single" w:sz="8" w:color="F0FFFF"/>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7"/>
                <w:szCs w:val="17"/>
                <w:color w:val="auto"/>
              </w:rPr>
              <w:t>Owner occupied commercial real estate</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1,166,916</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1,163,480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1,141,791</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shd w:val="clear" w:color="auto" w:fill="F0FFFF"/>
          </w:tcPr>
          <w:p>
            <w:pPr>
              <w:spacing w:after="0"/>
              <w:rPr>
                <w:sz w:val="20"/>
                <w:szCs w:val="20"/>
                <w:color w:val="auto"/>
              </w:rPr>
            </w:pPr>
            <w:r>
              <w:rPr>
                <w:rFonts w:ascii="Arial" w:cs="Arial" w:eastAsia="Arial" w:hAnsi="Arial"/>
                <w:sz w:val="17"/>
                <w:szCs w:val="17"/>
                <w:color w:val="auto"/>
              </w:rPr>
              <w:t>Income producing commercial real estate</w:t>
            </w:r>
          </w:p>
        </w:tc>
        <w:tc>
          <w:tcPr>
            <w:tcW w:w="18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636,107</w:t>
            </w:r>
          </w:p>
        </w:tc>
        <w:tc>
          <w:tcPr>
            <w:tcW w:w="240" w:type="dxa"/>
            <w:vAlign w:val="bottom"/>
            <w:shd w:val="clear" w:color="auto" w:fill="F0FFFF"/>
          </w:tcPr>
          <w:p>
            <w:pPr>
              <w:spacing w:after="0"/>
              <w:rPr>
                <w:sz w:val="17"/>
                <w:szCs w:val="17"/>
                <w:color w:val="auto"/>
              </w:rPr>
            </w:pPr>
          </w:p>
        </w:tc>
        <w:tc>
          <w:tcPr>
            <w:tcW w:w="11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7"/>
                <w:szCs w:val="17"/>
                <w:color w:val="auto"/>
              </w:rPr>
              <w:t>598,537</w:t>
            </w:r>
          </w:p>
        </w:tc>
        <w:tc>
          <w:tcPr>
            <w:tcW w:w="16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623,830</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7"/>
                <w:szCs w:val="17"/>
                <w:color w:val="auto"/>
              </w:rPr>
              <w:t>Commercial &amp; industrial</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716,281</w:t>
            </w:r>
          </w:p>
        </w:tc>
        <w:tc>
          <w:tcPr>
            <w:tcW w:w="24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710,256</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495,178</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shd w:val="clear" w:color="auto" w:fill="F0FFFF"/>
          </w:tcPr>
          <w:p>
            <w:pPr>
              <w:spacing w:after="0"/>
              <w:rPr>
                <w:sz w:val="20"/>
                <w:szCs w:val="20"/>
                <w:color w:val="auto"/>
              </w:rPr>
            </w:pPr>
            <w:r>
              <w:rPr>
                <w:rFonts w:ascii="Arial" w:cs="Arial" w:eastAsia="Arial" w:hAnsi="Arial"/>
                <w:sz w:val="17"/>
                <w:szCs w:val="17"/>
                <w:color w:val="auto"/>
              </w:rPr>
              <w:t>Commercial construction</w:t>
            </w:r>
          </w:p>
        </w:tc>
        <w:tc>
          <w:tcPr>
            <w:tcW w:w="18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229,920</w:t>
            </w:r>
          </w:p>
        </w:tc>
        <w:tc>
          <w:tcPr>
            <w:tcW w:w="240" w:type="dxa"/>
            <w:vAlign w:val="bottom"/>
            <w:shd w:val="clear" w:color="auto" w:fill="F0FFFF"/>
          </w:tcPr>
          <w:p>
            <w:pPr>
              <w:spacing w:after="0"/>
              <w:rPr>
                <w:sz w:val="17"/>
                <w:szCs w:val="17"/>
                <w:color w:val="auto"/>
              </w:rPr>
            </w:pPr>
          </w:p>
        </w:tc>
        <w:tc>
          <w:tcPr>
            <w:tcW w:w="11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7"/>
                <w:szCs w:val="17"/>
                <w:color w:val="auto"/>
              </w:rPr>
              <w:t>196,030</w:t>
            </w:r>
          </w:p>
        </w:tc>
        <w:tc>
          <w:tcPr>
            <w:tcW w:w="16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148,454</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80" w:type="dxa"/>
            <w:vAlign w:val="bottom"/>
          </w:tcPr>
          <w:p>
            <w:pPr>
              <w:spacing w:after="0"/>
              <w:rPr>
                <w:sz w:val="2"/>
                <w:szCs w:val="2"/>
                <w:color w:val="auto"/>
              </w:rPr>
            </w:pPr>
          </w:p>
        </w:tc>
        <w:tc>
          <w:tcPr>
            <w:tcW w:w="4340" w:type="dxa"/>
            <w:vAlign w:val="bottom"/>
            <w:shd w:val="clear" w:color="auto" w:fill="F0FFFF"/>
          </w:tcPr>
          <w:p>
            <w:pPr>
              <w:spacing w:after="0"/>
              <w:rPr>
                <w:sz w:val="2"/>
                <w:szCs w:val="2"/>
                <w:color w:val="auto"/>
              </w:rPr>
            </w:pPr>
          </w:p>
        </w:tc>
        <w:tc>
          <w:tcPr>
            <w:tcW w:w="18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Borders>
              <w:right w:val="single" w:sz="8" w:color="F0FFFF"/>
            </w:tcBorders>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tcPr>
          <w:p>
            <w:pPr>
              <w:ind w:left="300"/>
              <w:spacing w:after="0"/>
              <w:rPr>
                <w:sz w:val="20"/>
                <w:szCs w:val="20"/>
                <w:color w:val="auto"/>
              </w:rPr>
            </w:pPr>
            <w:r>
              <w:rPr>
                <w:rFonts w:ascii="Arial" w:cs="Arial" w:eastAsia="Arial" w:hAnsi="Arial"/>
                <w:sz w:val="17"/>
                <w:szCs w:val="17"/>
                <w:color w:val="auto"/>
              </w:rPr>
              <w:t>Total commercial</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2,749,224</w:t>
            </w:r>
          </w:p>
        </w:tc>
        <w:tc>
          <w:tcPr>
            <w:tcW w:w="24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2,668,303</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2,409,253</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shd w:val="clear" w:color="auto" w:fill="F0FFFF"/>
          </w:tcPr>
          <w:p>
            <w:pPr>
              <w:spacing w:after="0"/>
              <w:rPr>
                <w:sz w:val="20"/>
                <w:szCs w:val="20"/>
                <w:color w:val="auto"/>
              </w:rPr>
            </w:pPr>
            <w:r>
              <w:rPr>
                <w:rFonts w:ascii="Arial" w:cs="Arial" w:eastAsia="Arial" w:hAnsi="Arial"/>
                <w:sz w:val="17"/>
                <w:szCs w:val="17"/>
                <w:color w:val="auto"/>
              </w:rPr>
              <w:t>Residential mortgage</w:t>
            </w:r>
          </w:p>
        </w:tc>
        <w:tc>
          <w:tcPr>
            <w:tcW w:w="18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863,311</w:t>
            </w:r>
          </w:p>
        </w:tc>
        <w:tc>
          <w:tcPr>
            <w:tcW w:w="240" w:type="dxa"/>
            <w:vAlign w:val="bottom"/>
            <w:shd w:val="clear" w:color="auto" w:fill="F0FFFF"/>
          </w:tcPr>
          <w:p>
            <w:pPr>
              <w:spacing w:after="0"/>
              <w:rPr>
                <w:sz w:val="17"/>
                <w:szCs w:val="17"/>
                <w:color w:val="auto"/>
              </w:rPr>
            </w:pPr>
          </w:p>
        </w:tc>
        <w:tc>
          <w:tcPr>
            <w:tcW w:w="11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7"/>
                <w:szCs w:val="17"/>
                <w:color w:val="auto"/>
              </w:rPr>
              <w:t>865,789</w:t>
            </w:r>
          </w:p>
        </w:tc>
        <w:tc>
          <w:tcPr>
            <w:tcW w:w="16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866,615</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7"/>
                <w:szCs w:val="17"/>
                <w:color w:val="auto"/>
              </w:rPr>
              <w:t>Home equity lines of credit</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465,474</w:t>
            </w:r>
          </w:p>
        </w:tc>
        <w:tc>
          <w:tcPr>
            <w:tcW w:w="24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465,872</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446,705</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shd w:val="clear" w:color="auto" w:fill="F0FFFF"/>
          </w:tcPr>
          <w:p>
            <w:pPr>
              <w:spacing w:after="0"/>
              <w:rPr>
                <w:sz w:val="20"/>
                <w:szCs w:val="20"/>
                <w:color w:val="auto"/>
              </w:rPr>
            </w:pPr>
            <w:r>
              <w:rPr>
                <w:rFonts w:ascii="Arial" w:cs="Arial" w:eastAsia="Arial" w:hAnsi="Arial"/>
                <w:sz w:val="17"/>
                <w:szCs w:val="17"/>
                <w:color w:val="auto"/>
              </w:rPr>
              <w:t>Residential construction</w:t>
            </w:r>
          </w:p>
        </w:tc>
        <w:tc>
          <w:tcPr>
            <w:tcW w:w="18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291,259</w:t>
            </w:r>
          </w:p>
        </w:tc>
        <w:tc>
          <w:tcPr>
            <w:tcW w:w="240" w:type="dxa"/>
            <w:vAlign w:val="bottom"/>
            <w:shd w:val="clear" w:color="auto" w:fill="F0FFFF"/>
          </w:tcPr>
          <w:p>
            <w:pPr>
              <w:spacing w:after="0"/>
              <w:rPr>
                <w:sz w:val="17"/>
                <w:szCs w:val="17"/>
                <w:color w:val="auto"/>
              </w:rPr>
            </w:pPr>
          </w:p>
        </w:tc>
        <w:tc>
          <w:tcPr>
            <w:tcW w:w="11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7"/>
                <w:szCs w:val="17"/>
                <w:color w:val="auto"/>
              </w:rPr>
              <w:t>298,627</w:t>
            </w:r>
          </w:p>
        </w:tc>
        <w:tc>
          <w:tcPr>
            <w:tcW w:w="16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317,749</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7"/>
                <w:szCs w:val="17"/>
                <w:color w:val="auto"/>
              </w:rPr>
              <w:t>Consumer installment</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102,585</w:t>
            </w:r>
          </w:p>
        </w:tc>
        <w:tc>
          <w:tcPr>
            <w:tcW w:w="24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104,899</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106,991</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shd w:val="clear" w:color="auto" w:fill="F0FFFF"/>
          </w:tcPr>
          <w:p>
            <w:pPr>
              <w:spacing w:after="0"/>
              <w:rPr>
                <w:sz w:val="20"/>
                <w:szCs w:val="20"/>
                <w:color w:val="auto"/>
              </w:rPr>
            </w:pPr>
            <w:r>
              <w:rPr>
                <w:rFonts w:ascii="Arial" w:cs="Arial" w:eastAsia="Arial" w:hAnsi="Arial"/>
                <w:sz w:val="17"/>
                <w:szCs w:val="17"/>
                <w:color w:val="auto"/>
              </w:rPr>
              <w:t>Indirect auto</w:t>
            </w:r>
          </w:p>
        </w:tc>
        <w:tc>
          <w:tcPr>
            <w:tcW w:w="18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315,836</w:t>
            </w:r>
          </w:p>
        </w:tc>
        <w:tc>
          <w:tcPr>
            <w:tcW w:w="240" w:type="dxa"/>
            <w:vAlign w:val="bottom"/>
            <w:shd w:val="clear" w:color="auto" w:fill="F0FFFF"/>
          </w:tcPr>
          <w:p>
            <w:pPr>
              <w:spacing w:after="0"/>
              <w:rPr>
                <w:sz w:val="17"/>
                <w:szCs w:val="17"/>
                <w:color w:val="auto"/>
              </w:rPr>
            </w:pPr>
          </w:p>
        </w:tc>
        <w:tc>
          <w:tcPr>
            <w:tcW w:w="11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7"/>
                <w:szCs w:val="17"/>
                <w:color w:val="auto"/>
              </w:rPr>
              <w:t>268,629</w:t>
            </w:r>
          </w:p>
        </w:tc>
        <w:tc>
          <w:tcPr>
            <w:tcW w:w="16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208,395</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80" w:type="dxa"/>
            <w:vAlign w:val="bottom"/>
          </w:tcPr>
          <w:p>
            <w:pPr>
              <w:spacing w:after="0"/>
              <w:rPr>
                <w:sz w:val="2"/>
                <w:szCs w:val="2"/>
                <w:color w:val="auto"/>
              </w:rPr>
            </w:pPr>
          </w:p>
        </w:tc>
        <w:tc>
          <w:tcPr>
            <w:tcW w:w="4340" w:type="dxa"/>
            <w:vAlign w:val="bottom"/>
            <w:shd w:val="clear" w:color="auto" w:fill="F0FFFF"/>
          </w:tcPr>
          <w:p>
            <w:pPr>
              <w:spacing w:after="0"/>
              <w:rPr>
                <w:sz w:val="2"/>
                <w:szCs w:val="2"/>
                <w:color w:val="auto"/>
              </w:rPr>
            </w:pPr>
          </w:p>
        </w:tc>
        <w:tc>
          <w:tcPr>
            <w:tcW w:w="18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Borders>
              <w:right w:val="single" w:sz="8" w:color="F0FFFF"/>
            </w:tcBorders>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tcPr>
          <w:p>
            <w:pPr>
              <w:ind w:left="300"/>
              <w:spacing w:after="0"/>
              <w:rPr>
                <w:sz w:val="20"/>
                <w:szCs w:val="20"/>
                <w:color w:val="auto"/>
              </w:rPr>
            </w:pPr>
            <w:r>
              <w:rPr>
                <w:rFonts w:ascii="Arial" w:cs="Arial" w:eastAsia="Arial" w:hAnsi="Arial"/>
                <w:sz w:val="17"/>
                <w:szCs w:val="17"/>
                <w:color w:val="auto"/>
              </w:rPr>
              <w:t>Total loans</w:t>
            </w:r>
          </w:p>
        </w:tc>
        <w:tc>
          <w:tcPr>
            <w:tcW w:w="18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4,787,689</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4,672,119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4,355,708</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340" w:type="dxa"/>
            <w:vAlign w:val="bottom"/>
            <w:shd w:val="clear" w:color="auto" w:fill="F0FFFF"/>
          </w:tcPr>
          <w:p>
            <w:pPr>
              <w:spacing w:after="0"/>
              <w:rPr>
                <w:sz w:val="20"/>
                <w:szCs w:val="20"/>
                <w:color w:val="auto"/>
              </w:rPr>
            </w:pPr>
            <w:r>
              <w:rPr>
                <w:rFonts w:ascii="Arial" w:cs="Arial" w:eastAsia="Arial" w:hAnsi="Arial"/>
                <w:sz w:val="17"/>
                <w:szCs w:val="17"/>
                <w:color w:val="auto"/>
              </w:rPr>
              <w:t>As a percentage of total loans:</w:t>
            </w:r>
          </w:p>
        </w:tc>
        <w:tc>
          <w:tcPr>
            <w:tcW w:w="18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280" w:type="dxa"/>
            <w:vAlign w:val="bottom"/>
            <w:tcBorders>
              <w:right w:val="single" w:sz="8" w:color="F0FFFF"/>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tcPr>
          <w:p>
            <w:pPr>
              <w:ind w:left="160"/>
              <w:spacing w:after="0"/>
              <w:rPr>
                <w:sz w:val="20"/>
                <w:szCs w:val="20"/>
                <w:color w:val="auto"/>
              </w:rPr>
            </w:pPr>
            <w:r>
              <w:rPr>
                <w:rFonts w:ascii="Arial" w:cs="Arial" w:eastAsia="Arial" w:hAnsi="Arial"/>
                <w:sz w:val="17"/>
                <w:szCs w:val="17"/>
                <w:color w:val="auto"/>
              </w:rPr>
              <w:t>Owner occupied commercial real estate</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24%</w:t>
            </w:r>
          </w:p>
        </w:tc>
        <w:tc>
          <w:tcPr>
            <w:tcW w:w="2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25%</w:t>
            </w:r>
          </w:p>
        </w:tc>
        <w:tc>
          <w:tcPr>
            <w:tcW w:w="16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26%</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shd w:val="clear" w:color="auto" w:fill="F0FFFF"/>
          </w:tcPr>
          <w:p>
            <w:pPr>
              <w:ind w:left="160"/>
              <w:spacing w:after="0"/>
              <w:rPr>
                <w:sz w:val="20"/>
                <w:szCs w:val="20"/>
                <w:color w:val="auto"/>
              </w:rPr>
            </w:pPr>
            <w:r>
              <w:rPr>
                <w:rFonts w:ascii="Arial" w:cs="Arial" w:eastAsia="Arial" w:hAnsi="Arial"/>
                <w:sz w:val="17"/>
                <w:szCs w:val="17"/>
                <w:color w:val="auto"/>
              </w:rPr>
              <w:t>Income producing commercial real estate</w:t>
            </w:r>
          </w:p>
        </w:tc>
        <w:tc>
          <w:tcPr>
            <w:tcW w:w="18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13</w:t>
            </w:r>
          </w:p>
        </w:tc>
        <w:tc>
          <w:tcPr>
            <w:tcW w:w="240" w:type="dxa"/>
            <w:vAlign w:val="bottom"/>
            <w:shd w:val="clear" w:color="auto" w:fill="F0FFFF"/>
          </w:tcPr>
          <w:p>
            <w:pPr>
              <w:spacing w:after="0"/>
              <w:rPr>
                <w:sz w:val="17"/>
                <w:szCs w:val="17"/>
                <w:color w:val="auto"/>
              </w:rPr>
            </w:pPr>
          </w:p>
        </w:tc>
        <w:tc>
          <w:tcPr>
            <w:tcW w:w="11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7"/>
                <w:szCs w:val="17"/>
                <w:color w:val="auto"/>
              </w:rPr>
              <w:t>13</w:t>
            </w:r>
          </w:p>
        </w:tc>
        <w:tc>
          <w:tcPr>
            <w:tcW w:w="16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15</w:t>
            </w:r>
          </w:p>
        </w:tc>
        <w:tc>
          <w:tcPr>
            <w:tcW w:w="160" w:type="dxa"/>
            <w:vAlign w:val="bottom"/>
            <w:shd w:val="clear" w:color="auto" w:fill="F0FF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tcPr>
          <w:p>
            <w:pPr>
              <w:ind w:left="160"/>
              <w:spacing w:after="0"/>
              <w:rPr>
                <w:sz w:val="20"/>
                <w:szCs w:val="20"/>
                <w:color w:val="auto"/>
              </w:rPr>
            </w:pPr>
            <w:r>
              <w:rPr>
                <w:rFonts w:ascii="Arial" w:cs="Arial" w:eastAsia="Arial" w:hAnsi="Arial"/>
                <w:sz w:val="17"/>
                <w:szCs w:val="17"/>
                <w:color w:val="auto"/>
              </w:rPr>
              <w:t>Commercial &amp; industrial</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15</w:t>
            </w:r>
          </w:p>
        </w:tc>
        <w:tc>
          <w:tcPr>
            <w:tcW w:w="24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shd w:val="clear" w:color="auto" w:fill="F0FFFF"/>
          </w:tcPr>
          <w:p>
            <w:pPr>
              <w:ind w:left="160"/>
              <w:spacing w:after="0"/>
              <w:rPr>
                <w:sz w:val="20"/>
                <w:szCs w:val="20"/>
                <w:color w:val="auto"/>
              </w:rPr>
            </w:pPr>
            <w:r>
              <w:rPr>
                <w:rFonts w:ascii="Arial" w:cs="Arial" w:eastAsia="Arial" w:hAnsi="Arial"/>
                <w:sz w:val="17"/>
                <w:szCs w:val="17"/>
                <w:color w:val="auto"/>
              </w:rPr>
              <w:t>Commercial construction</w:t>
            </w:r>
          </w:p>
        </w:tc>
        <w:tc>
          <w:tcPr>
            <w:tcW w:w="18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5</w:t>
            </w:r>
          </w:p>
        </w:tc>
        <w:tc>
          <w:tcPr>
            <w:tcW w:w="240" w:type="dxa"/>
            <w:vAlign w:val="bottom"/>
            <w:shd w:val="clear" w:color="auto" w:fill="F0FFFF"/>
          </w:tcPr>
          <w:p>
            <w:pPr>
              <w:spacing w:after="0"/>
              <w:rPr>
                <w:sz w:val="17"/>
                <w:szCs w:val="17"/>
                <w:color w:val="auto"/>
              </w:rPr>
            </w:pPr>
          </w:p>
        </w:tc>
        <w:tc>
          <w:tcPr>
            <w:tcW w:w="11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7"/>
                <w:szCs w:val="17"/>
                <w:color w:val="auto"/>
              </w:rPr>
              <w:t>4</w:t>
            </w:r>
          </w:p>
        </w:tc>
        <w:tc>
          <w:tcPr>
            <w:tcW w:w="16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3</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80" w:type="dxa"/>
            <w:vAlign w:val="bottom"/>
          </w:tcPr>
          <w:p>
            <w:pPr>
              <w:spacing w:after="0"/>
              <w:rPr>
                <w:sz w:val="2"/>
                <w:szCs w:val="2"/>
                <w:color w:val="auto"/>
              </w:rPr>
            </w:pPr>
          </w:p>
        </w:tc>
        <w:tc>
          <w:tcPr>
            <w:tcW w:w="4340" w:type="dxa"/>
            <w:vAlign w:val="bottom"/>
            <w:shd w:val="clear" w:color="auto" w:fill="F0FFFF"/>
          </w:tcPr>
          <w:p>
            <w:pPr>
              <w:spacing w:after="0"/>
              <w:rPr>
                <w:sz w:val="2"/>
                <w:szCs w:val="2"/>
                <w:color w:val="auto"/>
              </w:rPr>
            </w:pPr>
          </w:p>
        </w:tc>
        <w:tc>
          <w:tcPr>
            <w:tcW w:w="18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Borders>
              <w:right w:val="single" w:sz="8" w:color="F0FFFF"/>
            </w:tcBorders>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tcPr>
          <w:p>
            <w:pPr>
              <w:ind w:left="300"/>
              <w:spacing w:after="0"/>
              <w:rPr>
                <w:sz w:val="20"/>
                <w:szCs w:val="20"/>
                <w:color w:val="auto"/>
              </w:rPr>
            </w:pPr>
            <w:r>
              <w:rPr>
                <w:rFonts w:ascii="Arial" w:cs="Arial" w:eastAsia="Arial" w:hAnsi="Arial"/>
                <w:sz w:val="17"/>
                <w:szCs w:val="17"/>
                <w:color w:val="auto"/>
              </w:rPr>
              <w:t>Total commercial</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57</w:t>
            </w:r>
          </w:p>
        </w:tc>
        <w:tc>
          <w:tcPr>
            <w:tcW w:w="24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57</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56</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shd w:val="clear" w:color="auto" w:fill="F0FFFF"/>
          </w:tcPr>
          <w:p>
            <w:pPr>
              <w:ind w:left="160"/>
              <w:spacing w:after="0"/>
              <w:rPr>
                <w:sz w:val="20"/>
                <w:szCs w:val="20"/>
                <w:color w:val="auto"/>
              </w:rPr>
            </w:pPr>
            <w:r>
              <w:rPr>
                <w:rFonts w:ascii="Arial" w:cs="Arial" w:eastAsia="Arial" w:hAnsi="Arial"/>
                <w:sz w:val="17"/>
                <w:szCs w:val="17"/>
                <w:color w:val="auto"/>
              </w:rPr>
              <w:t>Residential mortgage</w:t>
            </w:r>
          </w:p>
        </w:tc>
        <w:tc>
          <w:tcPr>
            <w:tcW w:w="18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18</w:t>
            </w:r>
          </w:p>
        </w:tc>
        <w:tc>
          <w:tcPr>
            <w:tcW w:w="240" w:type="dxa"/>
            <w:vAlign w:val="bottom"/>
            <w:shd w:val="clear" w:color="auto" w:fill="F0FFFF"/>
          </w:tcPr>
          <w:p>
            <w:pPr>
              <w:spacing w:after="0"/>
              <w:rPr>
                <w:sz w:val="17"/>
                <w:szCs w:val="17"/>
                <w:color w:val="auto"/>
              </w:rPr>
            </w:pPr>
          </w:p>
        </w:tc>
        <w:tc>
          <w:tcPr>
            <w:tcW w:w="11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7"/>
                <w:szCs w:val="17"/>
                <w:color w:val="auto"/>
              </w:rPr>
              <w:t>19</w:t>
            </w:r>
          </w:p>
        </w:tc>
        <w:tc>
          <w:tcPr>
            <w:tcW w:w="16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20</w:t>
            </w:r>
          </w:p>
        </w:tc>
        <w:tc>
          <w:tcPr>
            <w:tcW w:w="160" w:type="dxa"/>
            <w:vAlign w:val="bottom"/>
            <w:shd w:val="clear" w:color="auto" w:fill="F0FF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tcPr>
          <w:p>
            <w:pPr>
              <w:ind w:left="160"/>
              <w:spacing w:after="0"/>
              <w:rPr>
                <w:sz w:val="20"/>
                <w:szCs w:val="20"/>
                <w:color w:val="auto"/>
              </w:rPr>
            </w:pPr>
            <w:r>
              <w:rPr>
                <w:rFonts w:ascii="Arial" w:cs="Arial" w:eastAsia="Arial" w:hAnsi="Arial"/>
                <w:sz w:val="17"/>
                <w:szCs w:val="17"/>
                <w:color w:val="auto"/>
              </w:rPr>
              <w:t>Home equity lines of credit</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10</w:t>
            </w:r>
          </w:p>
        </w:tc>
        <w:tc>
          <w:tcPr>
            <w:tcW w:w="24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shd w:val="clear" w:color="auto" w:fill="F0FFFF"/>
          </w:tcPr>
          <w:p>
            <w:pPr>
              <w:ind w:left="160"/>
              <w:spacing w:after="0"/>
              <w:rPr>
                <w:sz w:val="20"/>
                <w:szCs w:val="20"/>
                <w:color w:val="auto"/>
              </w:rPr>
            </w:pPr>
            <w:r>
              <w:rPr>
                <w:rFonts w:ascii="Arial" w:cs="Arial" w:eastAsia="Arial" w:hAnsi="Arial"/>
                <w:sz w:val="17"/>
                <w:szCs w:val="17"/>
                <w:color w:val="auto"/>
              </w:rPr>
              <w:t>Residential construction</w:t>
            </w:r>
          </w:p>
        </w:tc>
        <w:tc>
          <w:tcPr>
            <w:tcW w:w="18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6</w:t>
            </w:r>
          </w:p>
        </w:tc>
        <w:tc>
          <w:tcPr>
            <w:tcW w:w="240" w:type="dxa"/>
            <w:vAlign w:val="bottom"/>
            <w:shd w:val="clear" w:color="auto" w:fill="F0FFFF"/>
          </w:tcPr>
          <w:p>
            <w:pPr>
              <w:spacing w:after="0"/>
              <w:rPr>
                <w:sz w:val="17"/>
                <w:szCs w:val="17"/>
                <w:color w:val="auto"/>
              </w:rPr>
            </w:pPr>
          </w:p>
        </w:tc>
        <w:tc>
          <w:tcPr>
            <w:tcW w:w="11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7"/>
                <w:szCs w:val="17"/>
                <w:color w:val="auto"/>
              </w:rPr>
              <w:t>6</w:t>
            </w:r>
          </w:p>
        </w:tc>
        <w:tc>
          <w:tcPr>
            <w:tcW w:w="16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7</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tcPr>
          <w:p>
            <w:pPr>
              <w:ind w:left="160"/>
              <w:spacing w:after="0"/>
              <w:rPr>
                <w:sz w:val="20"/>
                <w:szCs w:val="20"/>
                <w:color w:val="auto"/>
              </w:rPr>
            </w:pPr>
            <w:r>
              <w:rPr>
                <w:rFonts w:ascii="Arial" w:cs="Arial" w:eastAsia="Arial" w:hAnsi="Arial"/>
                <w:sz w:val="17"/>
                <w:szCs w:val="17"/>
                <w:color w:val="auto"/>
              </w:rPr>
              <w:t>Consumer installment</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shd w:val="clear" w:color="auto" w:fill="F0FFFF"/>
          </w:tcPr>
          <w:p>
            <w:pPr>
              <w:ind w:left="160"/>
              <w:spacing w:after="0"/>
              <w:rPr>
                <w:sz w:val="20"/>
                <w:szCs w:val="20"/>
                <w:color w:val="auto"/>
              </w:rPr>
            </w:pPr>
            <w:r>
              <w:rPr>
                <w:rFonts w:ascii="Arial" w:cs="Arial" w:eastAsia="Arial" w:hAnsi="Arial"/>
                <w:sz w:val="17"/>
                <w:szCs w:val="17"/>
                <w:color w:val="auto"/>
              </w:rPr>
              <w:t>Indirect auto</w:t>
            </w:r>
          </w:p>
        </w:tc>
        <w:tc>
          <w:tcPr>
            <w:tcW w:w="18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7</w:t>
            </w:r>
          </w:p>
        </w:tc>
        <w:tc>
          <w:tcPr>
            <w:tcW w:w="240" w:type="dxa"/>
            <w:vAlign w:val="bottom"/>
            <w:shd w:val="clear" w:color="auto" w:fill="F0FFFF"/>
          </w:tcPr>
          <w:p>
            <w:pPr>
              <w:spacing w:after="0"/>
              <w:rPr>
                <w:sz w:val="17"/>
                <w:szCs w:val="17"/>
                <w:color w:val="auto"/>
              </w:rPr>
            </w:pPr>
          </w:p>
        </w:tc>
        <w:tc>
          <w:tcPr>
            <w:tcW w:w="11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7"/>
                <w:szCs w:val="17"/>
                <w:color w:val="auto"/>
              </w:rPr>
              <w:t>6</w:t>
            </w:r>
          </w:p>
        </w:tc>
        <w:tc>
          <w:tcPr>
            <w:tcW w:w="16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5</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80" w:type="dxa"/>
            <w:vAlign w:val="bottom"/>
          </w:tcPr>
          <w:p>
            <w:pPr>
              <w:spacing w:after="0"/>
              <w:rPr>
                <w:sz w:val="2"/>
                <w:szCs w:val="2"/>
                <w:color w:val="auto"/>
              </w:rPr>
            </w:pPr>
          </w:p>
        </w:tc>
        <w:tc>
          <w:tcPr>
            <w:tcW w:w="4340" w:type="dxa"/>
            <w:vAlign w:val="bottom"/>
            <w:shd w:val="clear" w:color="auto" w:fill="F0FFFF"/>
          </w:tcPr>
          <w:p>
            <w:pPr>
              <w:spacing w:after="0"/>
              <w:rPr>
                <w:sz w:val="2"/>
                <w:szCs w:val="2"/>
                <w:color w:val="auto"/>
              </w:rPr>
            </w:pPr>
          </w:p>
        </w:tc>
        <w:tc>
          <w:tcPr>
            <w:tcW w:w="18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Borders>
              <w:right w:val="single" w:sz="8" w:color="F0FFFF"/>
            </w:tcBorders>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tcPr>
          <w:p>
            <w:pPr>
              <w:ind w:left="300"/>
              <w:spacing w:after="0"/>
              <w:rPr>
                <w:sz w:val="20"/>
                <w:szCs w:val="20"/>
                <w:color w:val="auto"/>
              </w:rPr>
            </w:pPr>
            <w:r>
              <w:rPr>
                <w:rFonts w:ascii="Arial" w:cs="Arial" w:eastAsia="Arial" w:hAnsi="Arial"/>
                <w:sz w:val="17"/>
                <w:szCs w:val="17"/>
                <w:color w:val="auto"/>
              </w:rPr>
              <w:t>Total</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2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340" w:type="dxa"/>
            <w:vAlign w:val="bottom"/>
            <w:shd w:val="clear" w:color="auto" w:fill="F0FFFF"/>
          </w:tcPr>
          <w:p>
            <w:pPr>
              <w:spacing w:after="0"/>
              <w:rPr>
                <w:sz w:val="20"/>
                <w:szCs w:val="20"/>
                <w:color w:val="auto"/>
              </w:rPr>
            </w:pPr>
            <w:r>
              <w:rPr>
                <w:rFonts w:ascii="Arial" w:cs="Arial" w:eastAsia="Arial" w:hAnsi="Arial"/>
                <w:sz w:val="17"/>
                <w:szCs w:val="17"/>
                <w:b w:val="1"/>
                <w:bCs w:val="1"/>
                <w:color w:val="auto"/>
              </w:rPr>
              <w:t>By Geographic Location</w:t>
            </w:r>
          </w:p>
        </w:tc>
        <w:tc>
          <w:tcPr>
            <w:tcW w:w="18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280" w:type="dxa"/>
            <w:vAlign w:val="bottom"/>
            <w:tcBorders>
              <w:right w:val="single" w:sz="8" w:color="F0FFFF"/>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7"/>
                <w:szCs w:val="17"/>
                <w:color w:val="auto"/>
              </w:rPr>
              <w:t>North Georgia</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1,149,660</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1,163,479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1,204,672</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shd w:val="clear" w:color="auto" w:fill="F0FFFF"/>
          </w:tcPr>
          <w:p>
            <w:pPr>
              <w:spacing w:after="0"/>
              <w:rPr>
                <w:sz w:val="20"/>
                <w:szCs w:val="20"/>
                <w:color w:val="auto"/>
              </w:rPr>
            </w:pPr>
            <w:r>
              <w:rPr>
                <w:rFonts w:ascii="Arial" w:cs="Arial" w:eastAsia="Arial" w:hAnsi="Arial"/>
                <w:sz w:val="17"/>
                <w:szCs w:val="17"/>
                <w:color w:val="auto"/>
              </w:rPr>
              <w:t>Atlanta MSA</w:t>
            </w:r>
          </w:p>
        </w:tc>
        <w:tc>
          <w:tcPr>
            <w:tcW w:w="18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1,295,649</w:t>
            </w:r>
          </w:p>
        </w:tc>
        <w:tc>
          <w:tcPr>
            <w:tcW w:w="240" w:type="dxa"/>
            <w:vAlign w:val="bottom"/>
            <w:shd w:val="clear" w:color="auto" w:fill="F0FFFF"/>
          </w:tcPr>
          <w:p>
            <w:pPr>
              <w:spacing w:after="0"/>
              <w:rPr>
                <w:sz w:val="17"/>
                <w:szCs w:val="17"/>
                <w:color w:val="auto"/>
              </w:rPr>
            </w:pPr>
          </w:p>
        </w:tc>
        <w:tc>
          <w:tcPr>
            <w:tcW w:w="11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7"/>
                <w:szCs w:val="17"/>
                <w:color w:val="auto"/>
              </w:rPr>
              <w:t>1,281,753</w:t>
            </w:r>
          </w:p>
        </w:tc>
        <w:tc>
          <w:tcPr>
            <w:tcW w:w="16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1,289,630</w:t>
            </w:r>
          </w:p>
        </w:tc>
        <w:tc>
          <w:tcPr>
            <w:tcW w:w="160" w:type="dxa"/>
            <w:vAlign w:val="bottom"/>
            <w:shd w:val="clear" w:color="auto" w:fill="F0FF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7"/>
                <w:szCs w:val="17"/>
                <w:color w:val="auto"/>
              </w:rPr>
              <w:t>North Carolina</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539,307</w:t>
            </w:r>
          </w:p>
        </w:tc>
        <w:tc>
          <w:tcPr>
            <w:tcW w:w="24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552,766</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563,317</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shd w:val="clear" w:color="auto" w:fill="F0FFFF"/>
          </w:tcPr>
          <w:p>
            <w:pPr>
              <w:spacing w:after="0"/>
              <w:rPr>
                <w:sz w:val="20"/>
                <w:szCs w:val="20"/>
                <w:color w:val="auto"/>
              </w:rPr>
            </w:pPr>
            <w:r>
              <w:rPr>
                <w:rFonts w:ascii="Arial" w:cs="Arial" w:eastAsia="Arial" w:hAnsi="Arial"/>
                <w:sz w:val="17"/>
                <w:szCs w:val="17"/>
                <w:color w:val="auto"/>
              </w:rPr>
              <w:t>Coastal Georgia</w:t>
            </w:r>
          </w:p>
        </w:tc>
        <w:tc>
          <w:tcPr>
            <w:tcW w:w="18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476,128</w:t>
            </w:r>
          </w:p>
        </w:tc>
        <w:tc>
          <w:tcPr>
            <w:tcW w:w="240" w:type="dxa"/>
            <w:vAlign w:val="bottom"/>
            <w:shd w:val="clear" w:color="auto" w:fill="F0FFFF"/>
          </w:tcPr>
          <w:p>
            <w:pPr>
              <w:spacing w:after="0"/>
              <w:rPr>
                <w:sz w:val="17"/>
                <w:szCs w:val="17"/>
                <w:color w:val="auto"/>
              </w:rPr>
            </w:pPr>
          </w:p>
        </w:tc>
        <w:tc>
          <w:tcPr>
            <w:tcW w:w="11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7"/>
                <w:szCs w:val="17"/>
                <w:color w:val="auto"/>
              </w:rPr>
              <w:t>455,709</w:t>
            </w:r>
          </w:p>
        </w:tc>
        <w:tc>
          <w:tcPr>
            <w:tcW w:w="16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424,654</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7"/>
                <w:szCs w:val="17"/>
                <w:color w:val="auto"/>
              </w:rPr>
              <w:t>Gainesville MSA</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255,064</w:t>
            </w:r>
          </w:p>
        </w:tc>
        <w:tc>
          <w:tcPr>
            <w:tcW w:w="24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257,449</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261,616</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shd w:val="clear" w:color="auto" w:fill="F0FFFF"/>
          </w:tcPr>
          <w:p>
            <w:pPr>
              <w:spacing w:after="0"/>
              <w:rPr>
                <w:sz w:val="20"/>
                <w:szCs w:val="20"/>
                <w:color w:val="auto"/>
              </w:rPr>
            </w:pPr>
            <w:r>
              <w:rPr>
                <w:rFonts w:ascii="Arial" w:cs="Arial" w:eastAsia="Arial" w:hAnsi="Arial"/>
                <w:sz w:val="17"/>
                <w:szCs w:val="17"/>
                <w:color w:val="auto"/>
              </w:rPr>
              <w:t>East Tennessee</w:t>
            </w:r>
          </w:p>
        </w:tc>
        <w:tc>
          <w:tcPr>
            <w:tcW w:w="18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281,146</w:t>
            </w:r>
          </w:p>
        </w:tc>
        <w:tc>
          <w:tcPr>
            <w:tcW w:w="240" w:type="dxa"/>
            <w:vAlign w:val="bottom"/>
            <w:shd w:val="clear" w:color="auto" w:fill="F0FFFF"/>
          </w:tcPr>
          <w:p>
            <w:pPr>
              <w:spacing w:after="0"/>
              <w:rPr>
                <w:sz w:val="17"/>
                <w:szCs w:val="17"/>
                <w:color w:val="auto"/>
              </w:rPr>
            </w:pPr>
          </w:p>
        </w:tc>
        <w:tc>
          <w:tcPr>
            <w:tcW w:w="11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7"/>
                <w:szCs w:val="17"/>
                <w:color w:val="auto"/>
              </w:rPr>
              <w:t>280,312</w:t>
            </w:r>
          </w:p>
        </w:tc>
        <w:tc>
          <w:tcPr>
            <w:tcW w:w="16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272,493</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Arial" w:cs="Arial" w:eastAsia="Arial" w:hAnsi="Arial"/>
                <w:sz w:val="17"/>
                <w:szCs w:val="17"/>
                <w:color w:val="auto"/>
              </w:rPr>
              <w:t>South Carolina / Specialized Lending</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474,899</w:t>
            </w:r>
          </w:p>
        </w:tc>
        <w:tc>
          <w:tcPr>
            <w:tcW w:w="24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412,022</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130,931</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shd w:val="clear" w:color="auto" w:fill="F0FFFF"/>
          </w:tcPr>
          <w:p>
            <w:pPr>
              <w:spacing w:after="0"/>
              <w:rPr>
                <w:sz w:val="20"/>
                <w:szCs w:val="20"/>
                <w:color w:val="auto"/>
              </w:rPr>
            </w:pPr>
            <w:r>
              <w:rPr>
                <w:rFonts w:ascii="Arial" w:cs="Arial" w:eastAsia="Arial" w:hAnsi="Arial"/>
                <w:sz w:val="17"/>
                <w:szCs w:val="17"/>
                <w:color w:val="auto"/>
              </w:rPr>
              <w:t>Other (Indirect Auto)</w:t>
            </w:r>
          </w:p>
        </w:tc>
        <w:tc>
          <w:tcPr>
            <w:tcW w:w="18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315,836</w:t>
            </w:r>
          </w:p>
        </w:tc>
        <w:tc>
          <w:tcPr>
            <w:tcW w:w="240" w:type="dxa"/>
            <w:vAlign w:val="bottom"/>
            <w:shd w:val="clear" w:color="auto" w:fill="F0FFFF"/>
          </w:tcPr>
          <w:p>
            <w:pPr>
              <w:spacing w:after="0"/>
              <w:rPr>
                <w:sz w:val="17"/>
                <w:szCs w:val="17"/>
                <w:color w:val="auto"/>
              </w:rPr>
            </w:pPr>
          </w:p>
        </w:tc>
        <w:tc>
          <w:tcPr>
            <w:tcW w:w="11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7"/>
                <w:szCs w:val="17"/>
                <w:color w:val="auto"/>
              </w:rPr>
              <w:t>268,629</w:t>
            </w:r>
          </w:p>
        </w:tc>
        <w:tc>
          <w:tcPr>
            <w:tcW w:w="16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7"/>
                <w:szCs w:val="17"/>
                <w:color w:val="auto"/>
              </w:rPr>
              <w:t>208,395</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80" w:type="dxa"/>
            <w:vAlign w:val="bottom"/>
          </w:tcPr>
          <w:p>
            <w:pPr>
              <w:spacing w:after="0"/>
              <w:rPr>
                <w:sz w:val="2"/>
                <w:szCs w:val="2"/>
                <w:color w:val="auto"/>
              </w:rPr>
            </w:pPr>
          </w:p>
        </w:tc>
        <w:tc>
          <w:tcPr>
            <w:tcW w:w="4340" w:type="dxa"/>
            <w:vAlign w:val="bottom"/>
            <w:shd w:val="clear" w:color="auto" w:fill="F0FFFF"/>
          </w:tcPr>
          <w:p>
            <w:pPr>
              <w:spacing w:after="0"/>
              <w:rPr>
                <w:sz w:val="2"/>
                <w:szCs w:val="2"/>
                <w:color w:val="auto"/>
              </w:rPr>
            </w:pPr>
          </w:p>
        </w:tc>
        <w:tc>
          <w:tcPr>
            <w:tcW w:w="18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Borders>
              <w:right w:val="single" w:sz="8" w:color="F0FFFF"/>
            </w:tcBorders>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80" w:type="dxa"/>
            <w:vAlign w:val="bottom"/>
          </w:tcPr>
          <w:p>
            <w:pPr>
              <w:spacing w:after="0"/>
              <w:rPr>
                <w:sz w:val="17"/>
                <w:szCs w:val="17"/>
                <w:color w:val="auto"/>
              </w:rPr>
            </w:pPr>
          </w:p>
        </w:tc>
        <w:tc>
          <w:tcPr>
            <w:tcW w:w="4340" w:type="dxa"/>
            <w:vAlign w:val="bottom"/>
          </w:tcPr>
          <w:p>
            <w:pPr>
              <w:ind w:left="160"/>
              <w:spacing w:after="0"/>
              <w:rPr>
                <w:sz w:val="20"/>
                <w:szCs w:val="20"/>
                <w:color w:val="auto"/>
              </w:rPr>
            </w:pPr>
            <w:r>
              <w:rPr>
                <w:rFonts w:ascii="Arial" w:cs="Arial" w:eastAsia="Arial" w:hAnsi="Arial"/>
                <w:sz w:val="17"/>
                <w:szCs w:val="17"/>
                <w:color w:val="auto"/>
              </w:rPr>
              <w:t>Total loans</w:t>
            </w:r>
          </w:p>
        </w:tc>
        <w:tc>
          <w:tcPr>
            <w:tcW w:w="18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4,787,689</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7"/>
                <w:szCs w:val="17"/>
                <w:color w:val="auto"/>
              </w:rPr>
              <w:t>4,672,119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4,355,708</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20" w:type="dxa"/>
            <w:vAlign w:val="bottom"/>
            <w:vMerge w:val="restart"/>
          </w:tcPr>
          <w:p>
            <w:pPr>
              <w:jc w:val="right"/>
              <w:ind w:right="855"/>
              <w:spacing w:after="0"/>
              <w:rPr>
                <w:sz w:val="20"/>
                <w:szCs w:val="20"/>
                <w:color w:val="auto"/>
              </w:rPr>
            </w:pPr>
            <w:r>
              <w:rPr>
                <w:rFonts w:ascii="Arial" w:cs="Arial" w:eastAsia="Arial" w:hAnsi="Arial"/>
                <w:sz w:val="17"/>
                <w:szCs w:val="17"/>
                <w:color w:val="auto"/>
              </w:rPr>
              <w:t>46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580" w:type="dxa"/>
            <w:vAlign w:val="bottom"/>
            <w:tcBorders>
              <w:bottom w:val="single" w:sz="8" w:color="DCDCDC"/>
            </w:tcBorders>
          </w:tcPr>
          <w:p>
            <w:pPr>
              <w:spacing w:after="0"/>
              <w:rPr>
                <w:sz w:val="24"/>
                <w:szCs w:val="24"/>
                <w:color w:val="auto"/>
              </w:rPr>
            </w:pPr>
          </w:p>
        </w:tc>
        <w:tc>
          <w:tcPr>
            <w:tcW w:w="4340" w:type="dxa"/>
            <w:vAlign w:val="bottom"/>
            <w:tcBorders>
              <w:bottom w:val="single" w:sz="8" w:color="DCDCDC"/>
            </w:tcBorders>
          </w:tcPr>
          <w:p>
            <w:pPr>
              <w:spacing w:after="0"/>
              <w:rPr>
                <w:sz w:val="24"/>
                <w:szCs w:val="24"/>
                <w:color w:val="auto"/>
              </w:rPr>
            </w:pPr>
          </w:p>
        </w:tc>
        <w:tc>
          <w:tcPr>
            <w:tcW w:w="1820" w:type="dxa"/>
            <w:vAlign w:val="bottom"/>
            <w:tcBorders>
              <w:bottom w:val="single" w:sz="8" w:color="DCDCDC"/>
            </w:tcBorders>
            <w:vMerge w:val="continue"/>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58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3" w:right="239" w:bottom="1440" w:gutter="0" w:footer="0" w:header="0"/>
        </w:sectPr>
      </w:pPr>
    </w:p>
    <w:bookmarkStart w:id="48" w:name="page49"/>
    <w:bookmarkEnd w:id="48"/>
    <w:p>
      <w:pPr>
        <w:jc w:val="both"/>
        <w:spacing w:after="0" w:line="278" w:lineRule="auto"/>
        <w:rPr>
          <w:sz w:val="20"/>
          <w:szCs w:val="20"/>
          <w:color w:val="auto"/>
        </w:rPr>
      </w:pPr>
      <w:r>
        <w:rPr>
          <w:rFonts w:ascii="Arial" w:cs="Arial" w:eastAsia="Arial" w:hAnsi="Arial"/>
          <w:sz w:val="16"/>
          <w:szCs w:val="16"/>
          <w:color w:val="auto"/>
        </w:rPr>
        <w:t>Substantially all of United’s loans are to customers located in the immediate market areas of its community banks in Georgia, North Carolina, South Carolina and Tennessee, including customers who have a seasonal residence in United’s market areas. More than 75% of the loans are secured by real estate. In 2014, loan growth began to return to pre-crisis levels reflecting United’s specialized lending initiatives which resulted in increases in commercial lending. Consumer installment loans also increased due to purchases of indirect auto loans. Total loans averaged $4.73 billion in the first quarter of 2015, compared with $4.36 billion in the first quarter of 2014, an increase of 8%. At March 31, 2015, total loans were $4.79 billion, an increase of $432 million, or 10%, from March 31, 2014.</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 Quality and Risk Elements</w:t>
      </w:r>
    </w:p>
    <w:p>
      <w:pPr>
        <w:spacing w:after="0" w:line="24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and Board of Directors approved portfolio limits, establishing credit policies and procedures and enforcing the consistent application of these policies and procedures among all of the community banks. Additional information on the credit administration function is included in Item 1 under the heading </w:t>
      </w:r>
      <w:r>
        <w:rPr>
          <w:rFonts w:ascii="Arial" w:cs="Arial" w:eastAsia="Arial" w:hAnsi="Arial"/>
          <w:sz w:val="17"/>
          <w:szCs w:val="17"/>
          <w:i w:val="1"/>
          <w:iCs w:val="1"/>
          <w:color w:val="auto"/>
        </w:rPr>
        <w:t>Loan Review and Nonperforming Assets</w:t>
      </w:r>
      <w:r>
        <w:rPr>
          <w:rFonts w:ascii="Arial" w:cs="Arial" w:eastAsia="Arial" w:hAnsi="Arial"/>
          <w:sz w:val="17"/>
          <w:szCs w:val="17"/>
          <w:color w:val="auto"/>
        </w:rPr>
        <w:t xml:space="preserve"> in United’s Annual Report on Form 10-K for the year ended December 31, 2014.</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United classifies performing loans as “substandard” when there is a well-defined weakness or weaknesses that jeopardizes the repayment by the borrower and there is a distinct possibility that United could sustain some loss if the deficiency is not corrected.</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United’s home equity lines generally require the payment of interest only for a set period after origination. After this initial period, the outstanding balance begins amortizing and requires the payment of both principal and interest. At March 31, 2015, December 31, 2014 and March 31, 2014, the funded portion of home equity lines totaled $465 million, $466 million and $447 million, respectively. Approximately 3% of the home equity loans at March 31, 2015 were amortizing. Of the $465 million in balances outstanding at March 31, 2015, $291 million, or 62%, were secured by first liens. At March 31, 2015, 59% of the total available home equity lines were drawn upon.</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United monitors the performance of its home equity loans and lines secured by second liens similar to other consumer loans and utilizes assumptions specific to these loans in determining the necessary allowance. United also receives notification when the first lien holder is in the process of foreclosure and upon that notification, United obtains valuations to determine if any additional charge-offs or reserves are warranted.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performing substandard loans for the last five quarters.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700" w:type="dxa"/>
            <w:vAlign w:val="bottom"/>
          </w:tcPr>
          <w:p>
            <w:pPr>
              <w:spacing w:after="0"/>
              <w:rPr>
                <w:sz w:val="20"/>
                <w:szCs w:val="20"/>
                <w:color w:val="auto"/>
              </w:rPr>
            </w:pPr>
            <w:r>
              <w:rPr>
                <w:rFonts w:ascii="Arial" w:cs="Arial" w:eastAsia="Arial" w:hAnsi="Arial"/>
                <w:sz w:val="17"/>
                <w:szCs w:val="17"/>
                <w:b w:val="1"/>
                <w:bCs w:val="1"/>
                <w:color w:val="auto"/>
              </w:rPr>
              <w:t>Table 7 - Performing Substandard Loans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140" w:type="dxa"/>
            <w:vAlign w:val="bottom"/>
          </w:tcPr>
          <w:p>
            <w:pPr>
              <w:spacing w:after="0"/>
              <w:rPr>
                <w:sz w:val="18"/>
                <w:szCs w:val="18"/>
                <w:color w:val="auto"/>
              </w:rPr>
            </w:pPr>
          </w:p>
        </w:tc>
        <w:tc>
          <w:tcPr>
            <w:tcW w:w="1240" w:type="dxa"/>
            <w:vAlign w:val="bottom"/>
            <w:gridSpan w:val="2"/>
            <w:vMerge w:val="restart"/>
          </w:tcPr>
          <w:p>
            <w:pPr>
              <w:jc w:val="right"/>
              <w:ind w:right="440"/>
              <w:spacing w:after="0"/>
              <w:rPr>
                <w:sz w:val="20"/>
                <w:szCs w:val="20"/>
                <w:color w:val="auto"/>
              </w:rPr>
            </w:pPr>
            <w:r>
              <w:rPr>
                <w:rFonts w:ascii="Arial" w:cs="Arial" w:eastAsia="Arial" w:hAnsi="Arial"/>
                <w:sz w:val="17"/>
                <w:szCs w:val="17"/>
                <w:b w:val="1"/>
                <w:bCs w:val="1"/>
                <w:color w:val="auto"/>
                <w:w w:val="99"/>
              </w:rPr>
              <w:t>March 31,</w:t>
            </w:r>
          </w:p>
        </w:tc>
        <w:tc>
          <w:tcPr>
            <w:tcW w:w="1380" w:type="dxa"/>
            <w:vAlign w:val="bottom"/>
            <w:gridSpan w:val="3"/>
            <w:vMerge w:val="restart"/>
          </w:tcPr>
          <w:p>
            <w:pPr>
              <w:ind w:left="80"/>
              <w:spacing w:after="0"/>
              <w:rPr>
                <w:sz w:val="20"/>
                <w:szCs w:val="20"/>
                <w:color w:val="auto"/>
              </w:rPr>
            </w:pPr>
            <w:r>
              <w:rPr>
                <w:rFonts w:ascii="Arial" w:cs="Arial" w:eastAsia="Arial" w:hAnsi="Arial"/>
                <w:sz w:val="17"/>
                <w:szCs w:val="17"/>
                <w:b w:val="1"/>
                <w:bCs w:val="1"/>
                <w:color w:val="auto"/>
              </w:rPr>
              <w:t>December 31,</w:t>
            </w:r>
          </w:p>
        </w:tc>
        <w:tc>
          <w:tcPr>
            <w:tcW w:w="1380" w:type="dxa"/>
            <w:vAlign w:val="bottom"/>
            <w:gridSpan w:val="3"/>
            <w:vMerge w:val="restart"/>
          </w:tcPr>
          <w:p>
            <w:pPr>
              <w:ind w:left="60"/>
              <w:spacing w:after="0"/>
              <w:rPr>
                <w:sz w:val="20"/>
                <w:szCs w:val="20"/>
                <w:color w:val="auto"/>
              </w:rPr>
            </w:pPr>
            <w:r>
              <w:rPr>
                <w:rFonts w:ascii="Arial" w:cs="Arial" w:eastAsia="Arial" w:hAnsi="Arial"/>
                <w:sz w:val="17"/>
                <w:szCs w:val="17"/>
                <w:b w:val="1"/>
                <w:bCs w:val="1"/>
                <w:color w:val="auto"/>
              </w:rPr>
              <w:t>September 30,</w:t>
            </w:r>
          </w:p>
        </w:tc>
        <w:tc>
          <w:tcPr>
            <w:tcW w:w="180" w:type="dxa"/>
            <w:vAlign w:val="bottom"/>
          </w:tcPr>
          <w:p>
            <w:pPr>
              <w:spacing w:after="0"/>
              <w:rPr>
                <w:sz w:val="18"/>
                <w:szCs w:val="18"/>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7"/>
                <w:szCs w:val="17"/>
                <w:b w:val="1"/>
                <w:bCs w:val="1"/>
                <w:color w:val="auto"/>
                <w:w w:val="88"/>
              </w:rPr>
              <w:t>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7"/>
                <w:szCs w:val="17"/>
                <w:b w:val="1"/>
                <w:bCs w:val="1"/>
                <w:color w:val="auto"/>
                <w:w w:val="99"/>
              </w:rPr>
              <w:t>March 31,</w:t>
            </w: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2015</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2014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2014</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F0FFFF"/>
          </w:tcPr>
          <w:p>
            <w:pPr>
              <w:spacing w:after="0"/>
              <w:rPr>
                <w:sz w:val="20"/>
                <w:szCs w:val="20"/>
                <w:color w:val="auto"/>
              </w:rPr>
            </w:pPr>
            <w:r>
              <w:rPr>
                <w:rFonts w:ascii="Arial" w:cs="Arial" w:eastAsia="Arial" w:hAnsi="Arial"/>
                <w:sz w:val="17"/>
                <w:szCs w:val="17"/>
                <w:b w:val="1"/>
                <w:bCs w:val="1"/>
                <w:color w:val="auto"/>
              </w:rPr>
              <w:t>By Category</w:t>
            </w: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00" w:type="dxa"/>
            <w:vAlign w:val="bottom"/>
          </w:tcPr>
          <w:p>
            <w:pPr>
              <w:spacing w:after="0"/>
              <w:rPr>
                <w:sz w:val="20"/>
                <w:szCs w:val="20"/>
                <w:color w:val="auto"/>
              </w:rPr>
            </w:pPr>
            <w:r>
              <w:rPr>
                <w:rFonts w:ascii="Arial" w:cs="Arial" w:eastAsia="Arial" w:hAnsi="Arial"/>
                <w:sz w:val="17"/>
                <w:szCs w:val="17"/>
                <w:color w:val="auto"/>
              </w:rPr>
              <w:t>Owner occupied commercial real estate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43,887</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46,401</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49,857</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48,222</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47,526</w:t>
            </w:r>
          </w:p>
        </w:tc>
        <w:tc>
          <w:tcPr>
            <w:tcW w:w="0" w:type="dxa"/>
            <w:vAlign w:val="bottom"/>
          </w:tcPr>
          <w:p>
            <w:pPr>
              <w:spacing w:after="0"/>
              <w:rPr>
                <w:sz w:val="1"/>
                <w:szCs w:val="1"/>
                <w:color w:val="auto"/>
              </w:rPr>
            </w:pPr>
          </w:p>
        </w:tc>
      </w:tr>
      <w:tr>
        <w:trPr>
          <w:trHeight w:val="205"/>
        </w:trPr>
        <w:tc>
          <w:tcPr>
            <w:tcW w:w="4700" w:type="dxa"/>
            <w:vAlign w:val="bottom"/>
            <w:shd w:val="clear" w:color="auto" w:fill="F0FFFF"/>
          </w:tcPr>
          <w:p>
            <w:pPr>
              <w:spacing w:after="0"/>
              <w:rPr>
                <w:sz w:val="20"/>
                <w:szCs w:val="20"/>
                <w:color w:val="auto"/>
              </w:rPr>
            </w:pPr>
            <w:r>
              <w:rPr>
                <w:rFonts w:ascii="Arial" w:cs="Arial" w:eastAsia="Arial" w:hAnsi="Arial"/>
                <w:sz w:val="17"/>
                <w:szCs w:val="17"/>
                <w:color w:val="auto"/>
              </w:rPr>
              <w:t>Income producing commercial real estate</w:t>
            </w: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19,881</w:t>
            </w:r>
          </w:p>
        </w:tc>
        <w:tc>
          <w:tcPr>
            <w:tcW w:w="2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20,560</w:t>
            </w:r>
          </w:p>
        </w:tc>
        <w:tc>
          <w:tcPr>
            <w:tcW w:w="2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22,215</w:t>
            </w:r>
          </w:p>
        </w:tc>
        <w:tc>
          <w:tcPr>
            <w:tcW w:w="18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24,633</w:t>
            </w: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36,799</w:t>
            </w:r>
          </w:p>
        </w:tc>
        <w:tc>
          <w:tcPr>
            <w:tcW w:w="0" w:type="dxa"/>
            <w:vAlign w:val="bottom"/>
          </w:tcPr>
          <w:p>
            <w:pPr>
              <w:spacing w:after="0"/>
              <w:rPr>
                <w:sz w:val="1"/>
                <w:szCs w:val="1"/>
                <w:color w:val="auto"/>
              </w:rPr>
            </w:pPr>
          </w:p>
        </w:tc>
      </w:tr>
      <w:tr>
        <w:trPr>
          <w:trHeight w:val="205"/>
        </w:trPr>
        <w:tc>
          <w:tcPr>
            <w:tcW w:w="4700" w:type="dxa"/>
            <w:vAlign w:val="bottom"/>
          </w:tcPr>
          <w:p>
            <w:pPr>
              <w:spacing w:after="0"/>
              <w:rPr>
                <w:sz w:val="20"/>
                <w:szCs w:val="20"/>
                <w:color w:val="auto"/>
              </w:rPr>
            </w:pPr>
            <w:r>
              <w:rPr>
                <w:rFonts w:ascii="Arial" w:cs="Arial" w:eastAsia="Arial" w:hAnsi="Arial"/>
                <w:sz w:val="17"/>
                <w:szCs w:val="17"/>
                <w:color w:val="auto"/>
              </w:rPr>
              <w:t>Commercial &amp; industrial</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6,704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7,863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7,498</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5,647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8,141</w:t>
            </w:r>
          </w:p>
        </w:tc>
        <w:tc>
          <w:tcPr>
            <w:tcW w:w="0" w:type="dxa"/>
            <w:vAlign w:val="bottom"/>
          </w:tcPr>
          <w:p>
            <w:pPr>
              <w:spacing w:after="0"/>
              <w:rPr>
                <w:sz w:val="1"/>
                <w:szCs w:val="1"/>
                <w:color w:val="auto"/>
              </w:rPr>
            </w:pPr>
          </w:p>
        </w:tc>
      </w:tr>
      <w:tr>
        <w:trPr>
          <w:trHeight w:val="205"/>
        </w:trPr>
        <w:tc>
          <w:tcPr>
            <w:tcW w:w="4700" w:type="dxa"/>
            <w:vAlign w:val="bottom"/>
            <w:shd w:val="clear" w:color="auto" w:fill="F0FFFF"/>
          </w:tcPr>
          <w:p>
            <w:pPr>
              <w:spacing w:after="0"/>
              <w:rPr>
                <w:sz w:val="20"/>
                <w:szCs w:val="20"/>
                <w:color w:val="auto"/>
              </w:rPr>
            </w:pPr>
            <w:r>
              <w:rPr>
                <w:rFonts w:ascii="Arial" w:cs="Arial" w:eastAsia="Arial" w:hAnsi="Arial"/>
                <w:sz w:val="17"/>
                <w:szCs w:val="17"/>
                <w:color w:val="auto"/>
              </w:rPr>
              <w:t>Commercial construction</w:t>
            </w: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3,528</w:t>
            </w:r>
          </w:p>
        </w:tc>
        <w:tc>
          <w:tcPr>
            <w:tcW w:w="2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3,566</w:t>
            </w: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3,847</w:t>
            </w:r>
          </w:p>
        </w:tc>
        <w:tc>
          <w:tcPr>
            <w:tcW w:w="2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4,406</w:t>
            </w: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5,281</w:t>
            </w:r>
          </w:p>
        </w:tc>
        <w:tc>
          <w:tcPr>
            <w:tcW w:w="0" w:type="dxa"/>
            <w:vAlign w:val="bottom"/>
          </w:tcPr>
          <w:p>
            <w:pPr>
              <w:spacing w:after="0"/>
              <w:rPr>
                <w:sz w:val="1"/>
                <w:szCs w:val="1"/>
                <w:color w:val="auto"/>
              </w:rPr>
            </w:pPr>
          </w:p>
        </w:tc>
      </w:tr>
      <w:tr>
        <w:trPr>
          <w:trHeight w:val="26"/>
        </w:trPr>
        <w:tc>
          <w:tcPr>
            <w:tcW w:w="47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700" w:type="dxa"/>
            <w:vAlign w:val="bottom"/>
          </w:tcPr>
          <w:p>
            <w:pPr>
              <w:ind w:left="320"/>
              <w:spacing w:after="0"/>
              <w:rPr>
                <w:sz w:val="20"/>
                <w:szCs w:val="20"/>
                <w:color w:val="auto"/>
              </w:rPr>
            </w:pPr>
            <w:r>
              <w:rPr>
                <w:rFonts w:ascii="Arial" w:cs="Arial" w:eastAsia="Arial" w:hAnsi="Arial"/>
                <w:sz w:val="17"/>
                <w:szCs w:val="17"/>
                <w:color w:val="auto"/>
              </w:rPr>
              <w:t>Total commercial</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74,000</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78,390</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83,417</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82,908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97,747</w:t>
            </w:r>
          </w:p>
        </w:tc>
        <w:tc>
          <w:tcPr>
            <w:tcW w:w="0" w:type="dxa"/>
            <w:vAlign w:val="bottom"/>
          </w:tcPr>
          <w:p>
            <w:pPr>
              <w:spacing w:after="0"/>
              <w:rPr>
                <w:sz w:val="1"/>
                <w:szCs w:val="1"/>
                <w:color w:val="auto"/>
              </w:rPr>
            </w:pPr>
          </w:p>
        </w:tc>
      </w:tr>
      <w:tr>
        <w:trPr>
          <w:trHeight w:val="205"/>
        </w:trPr>
        <w:tc>
          <w:tcPr>
            <w:tcW w:w="4700" w:type="dxa"/>
            <w:vAlign w:val="bottom"/>
            <w:shd w:val="clear" w:color="auto" w:fill="F0FFFF"/>
          </w:tcPr>
          <w:p>
            <w:pPr>
              <w:spacing w:after="0"/>
              <w:rPr>
                <w:sz w:val="20"/>
                <w:szCs w:val="20"/>
                <w:color w:val="auto"/>
              </w:rPr>
            </w:pPr>
            <w:r>
              <w:rPr>
                <w:rFonts w:ascii="Arial" w:cs="Arial" w:eastAsia="Arial" w:hAnsi="Arial"/>
                <w:sz w:val="17"/>
                <w:szCs w:val="17"/>
                <w:color w:val="auto"/>
              </w:rPr>
              <w:t>Residential mortgage</w:t>
            </w: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30,382</w:t>
            </w:r>
          </w:p>
        </w:tc>
        <w:tc>
          <w:tcPr>
            <w:tcW w:w="2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31,831</w:t>
            </w:r>
          </w:p>
        </w:tc>
        <w:tc>
          <w:tcPr>
            <w:tcW w:w="2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42,981</w:t>
            </w:r>
          </w:p>
        </w:tc>
        <w:tc>
          <w:tcPr>
            <w:tcW w:w="18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41,856</w:t>
            </w: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43,572</w:t>
            </w:r>
          </w:p>
        </w:tc>
        <w:tc>
          <w:tcPr>
            <w:tcW w:w="0" w:type="dxa"/>
            <w:vAlign w:val="bottom"/>
          </w:tcPr>
          <w:p>
            <w:pPr>
              <w:spacing w:after="0"/>
              <w:rPr>
                <w:sz w:val="1"/>
                <w:szCs w:val="1"/>
                <w:color w:val="auto"/>
              </w:rPr>
            </w:pPr>
          </w:p>
        </w:tc>
      </w:tr>
      <w:tr>
        <w:trPr>
          <w:trHeight w:val="205"/>
        </w:trPr>
        <w:tc>
          <w:tcPr>
            <w:tcW w:w="4700" w:type="dxa"/>
            <w:vAlign w:val="bottom"/>
          </w:tcPr>
          <w:p>
            <w:pPr>
              <w:spacing w:after="0"/>
              <w:rPr>
                <w:sz w:val="20"/>
                <w:szCs w:val="20"/>
                <w:color w:val="auto"/>
              </w:rPr>
            </w:pPr>
            <w:r>
              <w:rPr>
                <w:rFonts w:ascii="Arial" w:cs="Arial" w:eastAsia="Arial" w:hAnsi="Arial"/>
                <w:sz w:val="17"/>
                <w:szCs w:val="17"/>
                <w:color w:val="auto"/>
              </w:rPr>
              <w:t>Home equity</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5,734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5,296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8,073</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7,562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7,662</w:t>
            </w:r>
          </w:p>
        </w:tc>
        <w:tc>
          <w:tcPr>
            <w:tcW w:w="0" w:type="dxa"/>
            <w:vAlign w:val="bottom"/>
          </w:tcPr>
          <w:p>
            <w:pPr>
              <w:spacing w:after="0"/>
              <w:rPr>
                <w:sz w:val="1"/>
                <w:szCs w:val="1"/>
                <w:color w:val="auto"/>
              </w:rPr>
            </w:pPr>
          </w:p>
        </w:tc>
      </w:tr>
      <w:tr>
        <w:trPr>
          <w:trHeight w:val="205"/>
        </w:trPr>
        <w:tc>
          <w:tcPr>
            <w:tcW w:w="4700" w:type="dxa"/>
            <w:vAlign w:val="bottom"/>
            <w:shd w:val="clear" w:color="auto" w:fill="F0FFFF"/>
          </w:tcPr>
          <w:p>
            <w:pPr>
              <w:spacing w:after="0"/>
              <w:rPr>
                <w:sz w:val="20"/>
                <w:szCs w:val="20"/>
                <w:color w:val="auto"/>
              </w:rPr>
            </w:pPr>
            <w:r>
              <w:rPr>
                <w:rFonts w:ascii="Arial" w:cs="Arial" w:eastAsia="Arial" w:hAnsi="Arial"/>
                <w:sz w:val="17"/>
                <w:szCs w:val="17"/>
                <w:color w:val="auto"/>
              </w:rPr>
              <w:t>Residential construction</w:t>
            </w: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9,504</w:t>
            </w:r>
          </w:p>
        </w:tc>
        <w:tc>
          <w:tcPr>
            <w:tcW w:w="2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10,920</w:t>
            </w:r>
          </w:p>
        </w:tc>
        <w:tc>
          <w:tcPr>
            <w:tcW w:w="2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11,755</w:t>
            </w:r>
          </w:p>
        </w:tc>
        <w:tc>
          <w:tcPr>
            <w:tcW w:w="18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12,872</w:t>
            </w: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12,977</w:t>
            </w:r>
          </w:p>
        </w:tc>
        <w:tc>
          <w:tcPr>
            <w:tcW w:w="0" w:type="dxa"/>
            <w:vAlign w:val="bottom"/>
          </w:tcPr>
          <w:p>
            <w:pPr>
              <w:spacing w:after="0"/>
              <w:rPr>
                <w:sz w:val="1"/>
                <w:szCs w:val="1"/>
                <w:color w:val="auto"/>
              </w:rPr>
            </w:pPr>
          </w:p>
        </w:tc>
      </w:tr>
      <w:tr>
        <w:trPr>
          <w:trHeight w:val="205"/>
        </w:trPr>
        <w:tc>
          <w:tcPr>
            <w:tcW w:w="4700" w:type="dxa"/>
            <w:vAlign w:val="bottom"/>
          </w:tcPr>
          <w:p>
            <w:pPr>
              <w:spacing w:after="0"/>
              <w:rPr>
                <w:sz w:val="20"/>
                <w:szCs w:val="20"/>
                <w:color w:val="auto"/>
              </w:rPr>
            </w:pPr>
            <w:r>
              <w:rPr>
                <w:rFonts w:ascii="Arial" w:cs="Arial" w:eastAsia="Arial" w:hAnsi="Arial"/>
                <w:sz w:val="17"/>
                <w:szCs w:val="17"/>
                <w:color w:val="auto"/>
              </w:rPr>
              <w:t>Consumer installment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1,301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1,382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2,062</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1,776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2,310</w:t>
            </w:r>
          </w:p>
        </w:tc>
        <w:tc>
          <w:tcPr>
            <w:tcW w:w="0" w:type="dxa"/>
            <w:vAlign w:val="bottom"/>
          </w:tcPr>
          <w:p>
            <w:pPr>
              <w:spacing w:after="0"/>
              <w:rPr>
                <w:sz w:val="1"/>
                <w:szCs w:val="1"/>
                <w:color w:val="auto"/>
              </w:rPr>
            </w:pPr>
          </w:p>
        </w:tc>
      </w:tr>
      <w:tr>
        <w:trPr>
          <w:trHeight w:val="205"/>
        </w:trPr>
        <w:tc>
          <w:tcPr>
            <w:tcW w:w="4700" w:type="dxa"/>
            <w:vAlign w:val="bottom"/>
            <w:shd w:val="clear" w:color="auto" w:fill="F0FFFF"/>
          </w:tcPr>
          <w:p>
            <w:pPr>
              <w:spacing w:after="0"/>
              <w:rPr>
                <w:sz w:val="20"/>
                <w:szCs w:val="20"/>
                <w:color w:val="auto"/>
              </w:rPr>
            </w:pPr>
            <w:r>
              <w:rPr>
                <w:rFonts w:ascii="Arial" w:cs="Arial" w:eastAsia="Arial" w:hAnsi="Arial"/>
                <w:sz w:val="17"/>
                <w:szCs w:val="17"/>
                <w:color w:val="auto"/>
              </w:rPr>
              <w:t>Indirect auto</w:t>
            </w: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796</w:t>
            </w:r>
          </w:p>
        </w:tc>
        <w:tc>
          <w:tcPr>
            <w:tcW w:w="2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574</w:t>
            </w:r>
          </w:p>
        </w:tc>
        <w:tc>
          <w:tcPr>
            <w:tcW w:w="2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684</w:t>
            </w:r>
          </w:p>
        </w:tc>
        <w:tc>
          <w:tcPr>
            <w:tcW w:w="18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562</w:t>
            </w: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597</w:t>
            </w:r>
          </w:p>
        </w:tc>
        <w:tc>
          <w:tcPr>
            <w:tcW w:w="0" w:type="dxa"/>
            <w:vAlign w:val="bottom"/>
          </w:tcPr>
          <w:p>
            <w:pPr>
              <w:spacing w:after="0"/>
              <w:rPr>
                <w:sz w:val="1"/>
                <w:szCs w:val="1"/>
                <w:color w:val="auto"/>
              </w:rPr>
            </w:pPr>
          </w:p>
        </w:tc>
      </w:tr>
      <w:tr>
        <w:trPr>
          <w:trHeight w:val="26"/>
        </w:trPr>
        <w:tc>
          <w:tcPr>
            <w:tcW w:w="47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700" w:type="dxa"/>
            <w:vAlign w:val="bottom"/>
          </w:tcPr>
          <w:p>
            <w:pPr>
              <w:ind w:left="320"/>
              <w:spacing w:after="0"/>
              <w:rPr>
                <w:sz w:val="20"/>
                <w:szCs w:val="20"/>
                <w:color w:val="auto"/>
              </w:rPr>
            </w:pPr>
            <w:r>
              <w:rPr>
                <w:rFonts w:ascii="Arial" w:cs="Arial" w:eastAsia="Arial" w:hAnsi="Arial"/>
                <w:sz w:val="17"/>
                <w:szCs w:val="17"/>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121,717</w:t>
            </w:r>
          </w:p>
        </w:tc>
        <w:tc>
          <w:tcPr>
            <w:tcW w:w="24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128,393</w:t>
            </w:r>
          </w:p>
        </w:tc>
        <w:tc>
          <w:tcPr>
            <w:tcW w:w="22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148,972</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147,536</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164,865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00" w:type="dxa"/>
            <w:vAlign w:val="bottom"/>
          </w:tcPr>
          <w:p>
            <w:pPr>
              <w:spacing w:after="0"/>
              <w:rPr>
                <w:sz w:val="20"/>
                <w:szCs w:val="20"/>
                <w:color w:val="auto"/>
              </w:rPr>
            </w:pPr>
            <w:r>
              <w:rPr>
                <w:rFonts w:ascii="Arial" w:cs="Arial" w:eastAsia="Arial" w:hAnsi="Arial"/>
                <w:sz w:val="17"/>
                <w:szCs w:val="17"/>
                <w:b w:val="1"/>
                <w:bCs w:val="1"/>
                <w:color w:val="auto"/>
              </w:rPr>
              <w:t>By Market</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F0FFFF"/>
          </w:tcPr>
          <w:p>
            <w:pPr>
              <w:spacing w:after="0"/>
              <w:rPr>
                <w:sz w:val="20"/>
                <w:szCs w:val="20"/>
                <w:color w:val="auto"/>
              </w:rPr>
            </w:pPr>
            <w:r>
              <w:rPr>
                <w:rFonts w:ascii="Arial" w:cs="Arial" w:eastAsia="Arial" w:hAnsi="Arial"/>
                <w:sz w:val="17"/>
                <w:szCs w:val="17"/>
                <w:color w:val="auto"/>
              </w:rPr>
              <w:t>North Georgia</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52,652</w:t>
            </w:r>
          </w:p>
        </w:tc>
        <w:tc>
          <w:tcPr>
            <w:tcW w:w="240" w:type="dxa"/>
            <w:vAlign w:val="bottom"/>
            <w:shd w:val="clear" w:color="auto" w:fill="F0FF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55,821</w:t>
            </w:r>
          </w:p>
        </w:tc>
        <w:tc>
          <w:tcPr>
            <w:tcW w:w="240" w:type="dxa"/>
            <w:vAlign w:val="bottom"/>
            <w:shd w:val="clear" w:color="auto" w:fill="F0FF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66,780</w:t>
            </w:r>
          </w:p>
        </w:tc>
        <w:tc>
          <w:tcPr>
            <w:tcW w:w="18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66,709</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69,584</w:t>
            </w:r>
          </w:p>
        </w:tc>
        <w:tc>
          <w:tcPr>
            <w:tcW w:w="0" w:type="dxa"/>
            <w:vAlign w:val="bottom"/>
          </w:tcPr>
          <w:p>
            <w:pPr>
              <w:spacing w:after="0"/>
              <w:rPr>
                <w:sz w:val="1"/>
                <w:szCs w:val="1"/>
                <w:color w:val="auto"/>
              </w:rPr>
            </w:pPr>
          </w:p>
        </w:tc>
      </w:tr>
      <w:tr>
        <w:trPr>
          <w:trHeight w:val="205"/>
        </w:trPr>
        <w:tc>
          <w:tcPr>
            <w:tcW w:w="4700" w:type="dxa"/>
            <w:vAlign w:val="bottom"/>
          </w:tcPr>
          <w:p>
            <w:pPr>
              <w:spacing w:after="0"/>
              <w:rPr>
                <w:sz w:val="20"/>
                <w:szCs w:val="20"/>
                <w:color w:val="auto"/>
              </w:rPr>
            </w:pPr>
            <w:r>
              <w:rPr>
                <w:rFonts w:ascii="Arial" w:cs="Arial" w:eastAsia="Arial" w:hAnsi="Arial"/>
                <w:sz w:val="17"/>
                <w:szCs w:val="17"/>
                <w:color w:val="auto"/>
              </w:rPr>
              <w:t>Atlanta MSA</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32,281</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31,596</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34,699</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32,975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32,008</w:t>
            </w:r>
          </w:p>
        </w:tc>
        <w:tc>
          <w:tcPr>
            <w:tcW w:w="0" w:type="dxa"/>
            <w:vAlign w:val="bottom"/>
          </w:tcPr>
          <w:p>
            <w:pPr>
              <w:spacing w:after="0"/>
              <w:rPr>
                <w:sz w:val="1"/>
                <w:szCs w:val="1"/>
                <w:color w:val="auto"/>
              </w:rPr>
            </w:pPr>
          </w:p>
        </w:tc>
      </w:tr>
      <w:tr>
        <w:trPr>
          <w:trHeight w:val="205"/>
        </w:trPr>
        <w:tc>
          <w:tcPr>
            <w:tcW w:w="4700" w:type="dxa"/>
            <w:vAlign w:val="bottom"/>
            <w:shd w:val="clear" w:color="auto" w:fill="F0FFFF"/>
          </w:tcPr>
          <w:p>
            <w:pPr>
              <w:spacing w:after="0"/>
              <w:rPr>
                <w:sz w:val="20"/>
                <w:szCs w:val="20"/>
                <w:color w:val="auto"/>
              </w:rPr>
            </w:pPr>
            <w:r>
              <w:rPr>
                <w:rFonts w:ascii="Arial" w:cs="Arial" w:eastAsia="Arial" w:hAnsi="Arial"/>
                <w:sz w:val="17"/>
                <w:szCs w:val="17"/>
                <w:color w:val="auto"/>
              </w:rPr>
              <w:t>North Carolina</w:t>
            </w: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13,871</w:t>
            </w:r>
          </w:p>
        </w:tc>
        <w:tc>
          <w:tcPr>
            <w:tcW w:w="2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16,479</w:t>
            </w:r>
          </w:p>
        </w:tc>
        <w:tc>
          <w:tcPr>
            <w:tcW w:w="2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18,465</w:t>
            </w:r>
          </w:p>
        </w:tc>
        <w:tc>
          <w:tcPr>
            <w:tcW w:w="18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19,619</w:t>
            </w: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21,735</w:t>
            </w:r>
          </w:p>
        </w:tc>
        <w:tc>
          <w:tcPr>
            <w:tcW w:w="0" w:type="dxa"/>
            <w:vAlign w:val="bottom"/>
          </w:tcPr>
          <w:p>
            <w:pPr>
              <w:spacing w:after="0"/>
              <w:rPr>
                <w:sz w:val="1"/>
                <w:szCs w:val="1"/>
                <w:color w:val="auto"/>
              </w:rPr>
            </w:pPr>
          </w:p>
        </w:tc>
      </w:tr>
      <w:tr>
        <w:trPr>
          <w:trHeight w:val="205"/>
        </w:trPr>
        <w:tc>
          <w:tcPr>
            <w:tcW w:w="4700" w:type="dxa"/>
            <w:vAlign w:val="bottom"/>
          </w:tcPr>
          <w:p>
            <w:pPr>
              <w:spacing w:after="0"/>
              <w:rPr>
                <w:sz w:val="20"/>
                <w:szCs w:val="20"/>
                <w:color w:val="auto"/>
              </w:rPr>
            </w:pPr>
            <w:r>
              <w:rPr>
                <w:rFonts w:ascii="Arial" w:cs="Arial" w:eastAsia="Arial" w:hAnsi="Arial"/>
                <w:sz w:val="17"/>
                <w:szCs w:val="17"/>
                <w:color w:val="auto"/>
              </w:rPr>
              <w:t>Coastal Georgia</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14,355</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15,642</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17,368</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17,427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18,354</w:t>
            </w:r>
          </w:p>
        </w:tc>
        <w:tc>
          <w:tcPr>
            <w:tcW w:w="0" w:type="dxa"/>
            <w:vAlign w:val="bottom"/>
          </w:tcPr>
          <w:p>
            <w:pPr>
              <w:spacing w:after="0"/>
              <w:rPr>
                <w:sz w:val="1"/>
                <w:szCs w:val="1"/>
                <w:color w:val="auto"/>
              </w:rPr>
            </w:pPr>
          </w:p>
        </w:tc>
      </w:tr>
      <w:tr>
        <w:trPr>
          <w:trHeight w:val="205"/>
        </w:trPr>
        <w:tc>
          <w:tcPr>
            <w:tcW w:w="4700" w:type="dxa"/>
            <w:vAlign w:val="bottom"/>
            <w:shd w:val="clear" w:color="auto" w:fill="F0FFFF"/>
          </w:tcPr>
          <w:p>
            <w:pPr>
              <w:spacing w:after="0"/>
              <w:rPr>
                <w:sz w:val="20"/>
                <w:szCs w:val="20"/>
                <w:color w:val="auto"/>
              </w:rPr>
            </w:pPr>
            <w:r>
              <w:rPr>
                <w:rFonts w:ascii="Arial" w:cs="Arial" w:eastAsia="Arial" w:hAnsi="Arial"/>
                <w:sz w:val="17"/>
                <w:szCs w:val="17"/>
                <w:color w:val="auto"/>
              </w:rPr>
              <w:t>Gainesville MSA</w:t>
            </w: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1,009</w:t>
            </w:r>
          </w:p>
        </w:tc>
        <w:tc>
          <w:tcPr>
            <w:tcW w:w="2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1,109</w:t>
            </w: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2,016</w:t>
            </w:r>
          </w:p>
        </w:tc>
        <w:tc>
          <w:tcPr>
            <w:tcW w:w="18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2,832</w:t>
            </w: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14,911</w:t>
            </w:r>
          </w:p>
        </w:tc>
        <w:tc>
          <w:tcPr>
            <w:tcW w:w="0" w:type="dxa"/>
            <w:vAlign w:val="bottom"/>
          </w:tcPr>
          <w:p>
            <w:pPr>
              <w:spacing w:after="0"/>
              <w:rPr>
                <w:sz w:val="1"/>
                <w:szCs w:val="1"/>
                <w:color w:val="auto"/>
              </w:rPr>
            </w:pPr>
          </w:p>
        </w:tc>
      </w:tr>
      <w:tr>
        <w:trPr>
          <w:trHeight w:val="205"/>
        </w:trPr>
        <w:tc>
          <w:tcPr>
            <w:tcW w:w="4700" w:type="dxa"/>
            <w:vAlign w:val="bottom"/>
          </w:tcPr>
          <w:p>
            <w:pPr>
              <w:spacing w:after="0"/>
              <w:rPr>
                <w:sz w:val="20"/>
                <w:szCs w:val="20"/>
                <w:color w:val="auto"/>
              </w:rPr>
            </w:pPr>
            <w:r>
              <w:rPr>
                <w:rFonts w:ascii="Arial" w:cs="Arial" w:eastAsia="Arial" w:hAnsi="Arial"/>
                <w:sz w:val="17"/>
                <w:szCs w:val="17"/>
                <w:color w:val="auto"/>
              </w:rPr>
              <w:t>East Tennessee</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5,936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5,933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7,643</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7,412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7,676</w:t>
            </w:r>
          </w:p>
        </w:tc>
        <w:tc>
          <w:tcPr>
            <w:tcW w:w="0" w:type="dxa"/>
            <w:vAlign w:val="bottom"/>
          </w:tcPr>
          <w:p>
            <w:pPr>
              <w:spacing w:after="0"/>
              <w:rPr>
                <w:sz w:val="1"/>
                <w:szCs w:val="1"/>
                <w:color w:val="auto"/>
              </w:rPr>
            </w:pPr>
          </w:p>
        </w:tc>
      </w:tr>
      <w:tr>
        <w:trPr>
          <w:trHeight w:val="205"/>
        </w:trPr>
        <w:tc>
          <w:tcPr>
            <w:tcW w:w="4700" w:type="dxa"/>
            <w:vAlign w:val="bottom"/>
            <w:shd w:val="clear" w:color="auto" w:fill="F0FFFF"/>
          </w:tcPr>
          <w:p>
            <w:pPr>
              <w:spacing w:after="0"/>
              <w:rPr>
                <w:sz w:val="20"/>
                <w:szCs w:val="20"/>
                <w:color w:val="auto"/>
              </w:rPr>
            </w:pPr>
            <w:r>
              <w:rPr>
                <w:rFonts w:ascii="Arial" w:cs="Arial" w:eastAsia="Arial" w:hAnsi="Arial"/>
                <w:sz w:val="17"/>
                <w:szCs w:val="17"/>
                <w:color w:val="auto"/>
              </w:rPr>
              <w:t>South Carolina / Specialized Lending</w:t>
            </w: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817</w:t>
            </w: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1,239</w:t>
            </w: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1,317</w:t>
            </w:r>
          </w:p>
        </w:tc>
        <w:tc>
          <w:tcPr>
            <w:tcW w:w="18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00" w:type="dxa"/>
            <w:vAlign w:val="bottom"/>
          </w:tcPr>
          <w:p>
            <w:pPr>
              <w:spacing w:after="0"/>
              <w:rPr>
                <w:sz w:val="20"/>
                <w:szCs w:val="20"/>
                <w:color w:val="auto"/>
              </w:rPr>
            </w:pPr>
            <w:r>
              <w:rPr>
                <w:rFonts w:ascii="Arial" w:cs="Arial" w:eastAsia="Arial" w:hAnsi="Arial"/>
                <w:sz w:val="17"/>
                <w:szCs w:val="17"/>
                <w:color w:val="auto"/>
              </w:rPr>
              <w:t>Indirect auto</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796</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574</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684</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562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597</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700" w:type="dxa"/>
            <w:vAlign w:val="bottom"/>
            <w:shd w:val="clear" w:color="auto" w:fill="F0FFFF"/>
          </w:tcPr>
          <w:p>
            <w:pPr>
              <w:ind w:left="80"/>
              <w:spacing w:after="0"/>
              <w:rPr>
                <w:sz w:val="20"/>
                <w:szCs w:val="20"/>
                <w:color w:val="auto"/>
              </w:rPr>
            </w:pPr>
            <w:r>
              <w:rPr>
                <w:rFonts w:ascii="Arial" w:cs="Arial" w:eastAsia="Arial" w:hAnsi="Arial"/>
                <w:sz w:val="17"/>
                <w:szCs w:val="17"/>
                <w:color w:val="auto"/>
              </w:rPr>
              <w:t>Total loans</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121,717</w:t>
            </w:r>
          </w:p>
        </w:tc>
        <w:tc>
          <w:tcPr>
            <w:tcW w:w="240" w:type="dxa"/>
            <w:vAlign w:val="bottom"/>
            <w:shd w:val="clear" w:color="auto" w:fill="F0FFFF"/>
          </w:tcPr>
          <w:p>
            <w:pPr>
              <w:spacing w:after="0"/>
              <w:rPr>
                <w:sz w:val="21"/>
                <w:szCs w:val="21"/>
                <w:color w:val="auto"/>
              </w:rPr>
            </w:pPr>
          </w:p>
        </w:tc>
        <w:tc>
          <w:tcPr>
            <w:tcW w:w="240" w:type="dxa"/>
            <w:vAlign w:val="bottom"/>
            <w:shd w:val="clear" w:color="auto" w:fill="F0FF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128,393</w:t>
            </w:r>
          </w:p>
        </w:tc>
        <w:tc>
          <w:tcPr>
            <w:tcW w:w="220" w:type="dxa"/>
            <w:vAlign w:val="bottom"/>
            <w:shd w:val="clear" w:color="auto" w:fill="F0FFFF"/>
          </w:tcPr>
          <w:p>
            <w:pPr>
              <w:spacing w:after="0"/>
              <w:rPr>
                <w:sz w:val="21"/>
                <w:szCs w:val="21"/>
                <w:color w:val="auto"/>
              </w:rPr>
            </w:pPr>
          </w:p>
        </w:tc>
        <w:tc>
          <w:tcPr>
            <w:tcW w:w="240" w:type="dxa"/>
            <w:vAlign w:val="bottom"/>
            <w:shd w:val="clear" w:color="auto" w:fill="F0FF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148,972</w:t>
            </w:r>
          </w:p>
        </w:tc>
        <w:tc>
          <w:tcPr>
            <w:tcW w:w="220" w:type="dxa"/>
            <w:vAlign w:val="bottom"/>
            <w:shd w:val="clear" w:color="auto" w:fill="F0FFFF"/>
          </w:tcPr>
          <w:p>
            <w:pPr>
              <w:spacing w:after="0"/>
              <w:rPr>
                <w:sz w:val="21"/>
                <w:szCs w:val="21"/>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147,536</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164,865</w:t>
            </w:r>
          </w:p>
        </w:tc>
        <w:tc>
          <w:tcPr>
            <w:tcW w:w="0" w:type="dxa"/>
            <w:vAlign w:val="bottom"/>
          </w:tcPr>
          <w:p>
            <w:pPr>
              <w:spacing w:after="0"/>
              <w:rPr>
                <w:sz w:val="1"/>
                <w:szCs w:val="1"/>
                <w:color w:val="auto"/>
              </w:rPr>
            </w:pPr>
          </w:p>
        </w:tc>
      </w:tr>
      <w:tr>
        <w:trPr>
          <w:trHeight w:val="632"/>
        </w:trPr>
        <w:tc>
          <w:tcPr>
            <w:tcW w:w="4700" w:type="dxa"/>
            <w:vAlign w:val="bottom"/>
            <w:tcBorders>
              <w:top w:val="single" w:sz="8" w:color="F0FFFF"/>
              <w:bottom w:val="single" w:sz="8" w:color="DCDCDC"/>
            </w:tcBorders>
          </w:tcPr>
          <w:p>
            <w:pPr>
              <w:spacing w:after="0"/>
              <w:rPr>
                <w:sz w:val="24"/>
                <w:szCs w:val="24"/>
                <w:color w:val="auto"/>
              </w:rPr>
            </w:pPr>
          </w:p>
        </w:tc>
        <w:tc>
          <w:tcPr>
            <w:tcW w:w="140" w:type="dxa"/>
            <w:vAlign w:val="bottom"/>
            <w:tcBorders>
              <w:top w:val="single" w:sz="8" w:color="auto"/>
              <w:bottom w:val="single" w:sz="8" w:color="DCDCDC"/>
            </w:tcBorders>
          </w:tcPr>
          <w:p>
            <w:pPr>
              <w:spacing w:after="0"/>
              <w:rPr>
                <w:sz w:val="24"/>
                <w:szCs w:val="24"/>
                <w:color w:val="auto"/>
              </w:rPr>
            </w:pPr>
          </w:p>
        </w:tc>
        <w:tc>
          <w:tcPr>
            <w:tcW w:w="1000" w:type="dxa"/>
            <w:vAlign w:val="bottom"/>
            <w:tcBorders>
              <w:top w:val="single" w:sz="8" w:color="auto"/>
              <w:bottom w:val="single" w:sz="8" w:color="DCDCDC"/>
            </w:tcBorders>
          </w:tcPr>
          <w:p>
            <w:pPr>
              <w:jc w:val="right"/>
              <w:spacing w:after="0"/>
              <w:rPr>
                <w:sz w:val="20"/>
                <w:szCs w:val="20"/>
                <w:color w:val="auto"/>
              </w:rPr>
            </w:pPr>
            <w:r>
              <w:rPr>
                <w:rFonts w:ascii="Arial" w:cs="Arial" w:eastAsia="Arial" w:hAnsi="Arial"/>
                <w:sz w:val="17"/>
                <w:szCs w:val="17"/>
                <w:color w:val="auto"/>
              </w:rPr>
              <w:t>47</w:t>
            </w:r>
          </w:p>
        </w:tc>
        <w:tc>
          <w:tcPr>
            <w:tcW w:w="240" w:type="dxa"/>
            <w:vAlign w:val="bottom"/>
            <w:tcBorders>
              <w:top w:val="single" w:sz="8" w:color="F0FFFF"/>
              <w:bottom w:val="single" w:sz="8" w:color="DCDCDC"/>
            </w:tcBorders>
          </w:tcPr>
          <w:p>
            <w:pPr>
              <w:spacing w:after="0"/>
              <w:rPr>
                <w:sz w:val="24"/>
                <w:szCs w:val="24"/>
                <w:color w:val="auto"/>
              </w:rPr>
            </w:pPr>
          </w:p>
        </w:tc>
        <w:tc>
          <w:tcPr>
            <w:tcW w:w="240" w:type="dxa"/>
            <w:vAlign w:val="bottom"/>
            <w:tcBorders>
              <w:top w:val="single" w:sz="8" w:color="auto"/>
              <w:bottom w:val="single" w:sz="8" w:color="DCDCDC"/>
            </w:tcBorders>
          </w:tcPr>
          <w:p>
            <w:pPr>
              <w:spacing w:after="0"/>
              <w:rPr>
                <w:sz w:val="24"/>
                <w:szCs w:val="24"/>
                <w:color w:val="auto"/>
              </w:rPr>
            </w:pPr>
          </w:p>
        </w:tc>
        <w:tc>
          <w:tcPr>
            <w:tcW w:w="920" w:type="dxa"/>
            <w:vAlign w:val="bottom"/>
            <w:tcBorders>
              <w:top w:val="single" w:sz="8" w:color="auto"/>
              <w:bottom w:val="single" w:sz="8" w:color="DCDCDC"/>
            </w:tcBorders>
          </w:tcPr>
          <w:p>
            <w:pPr>
              <w:spacing w:after="0"/>
              <w:rPr>
                <w:sz w:val="24"/>
                <w:szCs w:val="24"/>
                <w:color w:val="auto"/>
              </w:rPr>
            </w:pPr>
          </w:p>
        </w:tc>
        <w:tc>
          <w:tcPr>
            <w:tcW w:w="220" w:type="dxa"/>
            <w:vAlign w:val="bottom"/>
            <w:tcBorders>
              <w:top w:val="single" w:sz="8" w:color="F0FFFF"/>
              <w:bottom w:val="single" w:sz="8" w:color="DCDCDC"/>
            </w:tcBorders>
          </w:tcPr>
          <w:p>
            <w:pPr>
              <w:spacing w:after="0"/>
              <w:rPr>
                <w:sz w:val="24"/>
                <w:szCs w:val="24"/>
                <w:color w:val="auto"/>
              </w:rPr>
            </w:pPr>
          </w:p>
        </w:tc>
        <w:tc>
          <w:tcPr>
            <w:tcW w:w="240" w:type="dxa"/>
            <w:vAlign w:val="bottom"/>
            <w:tcBorders>
              <w:top w:val="single" w:sz="8" w:color="auto"/>
              <w:bottom w:val="single" w:sz="8" w:color="DCDCDC"/>
            </w:tcBorders>
          </w:tcPr>
          <w:p>
            <w:pPr>
              <w:spacing w:after="0"/>
              <w:rPr>
                <w:sz w:val="24"/>
                <w:szCs w:val="24"/>
                <w:color w:val="auto"/>
              </w:rPr>
            </w:pPr>
          </w:p>
        </w:tc>
        <w:tc>
          <w:tcPr>
            <w:tcW w:w="920" w:type="dxa"/>
            <w:vAlign w:val="bottom"/>
            <w:tcBorders>
              <w:top w:val="single" w:sz="8" w:color="auto"/>
              <w:bottom w:val="single" w:sz="8" w:color="DCDCDC"/>
            </w:tcBorders>
          </w:tcPr>
          <w:p>
            <w:pPr>
              <w:spacing w:after="0"/>
              <w:rPr>
                <w:sz w:val="24"/>
                <w:szCs w:val="24"/>
                <w:color w:val="auto"/>
              </w:rPr>
            </w:pPr>
          </w:p>
        </w:tc>
        <w:tc>
          <w:tcPr>
            <w:tcW w:w="220" w:type="dxa"/>
            <w:vAlign w:val="bottom"/>
            <w:tcBorders>
              <w:top w:val="single" w:sz="8" w:color="F0FFFF"/>
              <w:bottom w:val="single" w:sz="8" w:color="DCDCDC"/>
            </w:tcBorders>
          </w:tcPr>
          <w:p>
            <w:pPr>
              <w:spacing w:after="0"/>
              <w:rPr>
                <w:sz w:val="24"/>
                <w:szCs w:val="24"/>
                <w:color w:val="auto"/>
              </w:rPr>
            </w:pPr>
          </w:p>
        </w:tc>
        <w:tc>
          <w:tcPr>
            <w:tcW w:w="180" w:type="dxa"/>
            <w:vAlign w:val="bottom"/>
            <w:tcBorders>
              <w:top w:val="single" w:sz="8" w:color="auto"/>
              <w:bottom w:val="single" w:sz="8" w:color="DCDCDC"/>
            </w:tcBorders>
          </w:tcPr>
          <w:p>
            <w:pPr>
              <w:spacing w:after="0"/>
              <w:rPr>
                <w:sz w:val="24"/>
                <w:szCs w:val="24"/>
                <w:color w:val="auto"/>
              </w:rPr>
            </w:pPr>
          </w:p>
        </w:tc>
        <w:tc>
          <w:tcPr>
            <w:tcW w:w="960" w:type="dxa"/>
            <w:vAlign w:val="bottom"/>
            <w:tcBorders>
              <w:top w:val="single" w:sz="8" w:color="auto"/>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c>
          <w:tcPr>
            <w:tcW w:w="140" w:type="dxa"/>
            <w:vAlign w:val="bottom"/>
            <w:tcBorders>
              <w:top w:val="single" w:sz="8" w:color="auto"/>
              <w:bottom w:val="single" w:sz="8" w:color="DCDCDC"/>
            </w:tcBorders>
          </w:tcPr>
          <w:p>
            <w:pPr>
              <w:spacing w:after="0"/>
              <w:rPr>
                <w:sz w:val="24"/>
                <w:szCs w:val="24"/>
                <w:color w:val="auto"/>
              </w:rPr>
            </w:pPr>
          </w:p>
        </w:tc>
        <w:tc>
          <w:tcPr>
            <w:tcW w:w="980" w:type="dxa"/>
            <w:vAlign w:val="bottom"/>
            <w:tcBorders>
              <w:top w:val="single" w:sz="8" w:color="auto"/>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3" w:right="239" w:bottom="1440" w:gutter="0" w:footer="0" w:header="0"/>
        </w:sectPr>
      </w:pPr>
    </w:p>
    <w:bookmarkStart w:id="49" w:name="page50"/>
    <w:bookmarkEnd w:id="49"/>
    <w:p>
      <w:pPr>
        <w:ind w:right="140"/>
        <w:spacing w:after="0" w:line="346" w:lineRule="auto"/>
        <w:rPr>
          <w:sz w:val="20"/>
          <w:szCs w:val="20"/>
          <w:color w:val="auto"/>
        </w:rPr>
      </w:pPr>
      <w:r>
        <w:rPr>
          <w:rFonts w:ascii="Arial" w:cs="Arial" w:eastAsia="Arial" w:hAnsi="Arial"/>
          <w:sz w:val="15"/>
          <w:szCs w:val="15"/>
          <w:color w:val="auto"/>
        </w:rPr>
        <w:t>At March 31, 2015, performing substandard loans totaled $121.7 million and decreased $6.68 million from the prior quarter-end, and decreased $43.1 million from a year ago. Performing substandard loans have been on a downward trend as credit conditions have continued to improve and problem credits are resolved.</w:t>
      </w:r>
    </w:p>
    <w:p>
      <w:pPr>
        <w:spacing w:after="0" w:line="14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Reviews of substandard performing and non-performing loans, TDRs, past due loans and larger credits are conducted on a regular basis and are designed to identify risk migration and potential charges to the allowance for loan losses. These reviews are presented by the responsible lending officers and specific action plans are discussed along with the financial strength of borrowers, the value of the applicable collateral, past loan loss experience, anticipated loan losses, changes in risk profile, the effect of prevailing economic conditions on the borrower and other factors specific to the borrower and its industry. In addition to United’s internal loan review, United also uses external loan review to ensure the independence of the loan review process.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summary of the changes in the allowance for credit losses for the three months ended March 31, 2015 and 2014.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20" w:type="dxa"/>
            <w:vAlign w:val="bottom"/>
          </w:tcPr>
          <w:p>
            <w:pPr>
              <w:spacing w:after="0"/>
              <w:rPr>
                <w:sz w:val="20"/>
                <w:szCs w:val="20"/>
                <w:color w:val="auto"/>
              </w:rPr>
            </w:pPr>
            <w:r>
              <w:rPr>
                <w:rFonts w:ascii="Arial" w:cs="Arial" w:eastAsia="Arial" w:hAnsi="Arial"/>
                <w:sz w:val="17"/>
                <w:szCs w:val="17"/>
                <w:b w:val="1"/>
                <w:bCs w:val="1"/>
                <w:color w:val="auto"/>
              </w:rPr>
              <w:t>Table 8 - Allowance for Credit Losses</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80" w:type="dxa"/>
            <w:vAlign w:val="bottom"/>
            <w:gridSpan w:val="5"/>
            <w:vMerge w:val="restart"/>
          </w:tcPr>
          <w:p>
            <w:pPr>
              <w:jc w:val="right"/>
              <w:ind w:right="240"/>
              <w:spacing w:after="0"/>
              <w:rPr>
                <w:sz w:val="20"/>
                <w:szCs w:val="20"/>
                <w:color w:val="auto"/>
              </w:rPr>
            </w:pPr>
            <w:r>
              <w:rPr>
                <w:rFonts w:ascii="Arial" w:cs="Arial" w:eastAsia="Arial" w:hAnsi="Arial"/>
                <w:sz w:val="17"/>
                <w:szCs w:val="17"/>
                <w:b w:val="1"/>
                <w:bCs w:val="1"/>
                <w:color w:val="auto"/>
                <w:w w:val="92"/>
              </w:rPr>
              <w:t>Three Months Ended March 31,</w:t>
            </w:r>
          </w:p>
        </w:tc>
        <w:tc>
          <w:tcPr>
            <w:tcW w:w="0" w:type="dxa"/>
            <w:vAlign w:val="bottom"/>
          </w:tcPr>
          <w:p>
            <w:pPr>
              <w:spacing w:after="0"/>
              <w:rPr>
                <w:sz w:val="1"/>
                <w:szCs w:val="1"/>
                <w:color w:val="auto"/>
              </w:rPr>
            </w:pPr>
          </w:p>
        </w:tc>
      </w:tr>
      <w:tr>
        <w:trPr>
          <w:trHeight w:val="212"/>
        </w:trPr>
        <w:tc>
          <w:tcPr>
            <w:tcW w:w="49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8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2015</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920" w:type="dxa"/>
            <w:vAlign w:val="bottom"/>
            <w:shd w:val="clear" w:color="auto" w:fill="F0FFFF"/>
          </w:tcPr>
          <w:p>
            <w:pPr>
              <w:spacing w:after="0"/>
              <w:rPr>
                <w:sz w:val="20"/>
                <w:szCs w:val="20"/>
                <w:color w:val="auto"/>
              </w:rPr>
            </w:pPr>
            <w:r>
              <w:rPr>
                <w:rFonts w:ascii="Arial" w:cs="Arial" w:eastAsia="Arial" w:hAnsi="Arial"/>
                <w:sz w:val="17"/>
                <w:szCs w:val="17"/>
                <w:color w:val="auto"/>
              </w:rPr>
              <w:t>Allowance for loan losses at beginning of period</w:t>
            </w:r>
          </w:p>
        </w:tc>
        <w:tc>
          <w:tcPr>
            <w:tcW w:w="3920" w:type="dxa"/>
            <w:vAlign w:val="bottom"/>
            <w:gridSpan w:val="3"/>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71,619</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76,762</w:t>
            </w:r>
          </w:p>
        </w:tc>
        <w:tc>
          <w:tcPr>
            <w:tcW w:w="0" w:type="dxa"/>
            <w:vAlign w:val="bottom"/>
          </w:tcPr>
          <w:p>
            <w:pPr>
              <w:spacing w:after="0"/>
              <w:rPr>
                <w:sz w:val="1"/>
                <w:szCs w:val="1"/>
                <w:color w:val="auto"/>
              </w:rPr>
            </w:pPr>
          </w:p>
        </w:tc>
      </w:tr>
      <w:tr>
        <w:trPr>
          <w:trHeight w:val="205"/>
        </w:trPr>
        <w:tc>
          <w:tcPr>
            <w:tcW w:w="4920" w:type="dxa"/>
            <w:vAlign w:val="bottom"/>
          </w:tcPr>
          <w:p>
            <w:pPr>
              <w:spacing w:after="0"/>
              <w:rPr>
                <w:sz w:val="20"/>
                <w:szCs w:val="20"/>
                <w:color w:val="auto"/>
              </w:rPr>
            </w:pPr>
            <w:r>
              <w:rPr>
                <w:rFonts w:ascii="Arial" w:cs="Arial" w:eastAsia="Arial" w:hAnsi="Arial"/>
                <w:sz w:val="17"/>
                <w:szCs w:val="17"/>
                <w:color w:val="auto"/>
              </w:rPr>
              <w:t>Charge-offs:</w:t>
            </w:r>
          </w:p>
        </w:tc>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20" w:type="dxa"/>
            <w:vAlign w:val="bottom"/>
            <w:shd w:val="clear" w:color="auto" w:fill="F0FFFF"/>
          </w:tcPr>
          <w:p>
            <w:pPr>
              <w:ind w:left="180"/>
              <w:spacing w:after="0"/>
              <w:rPr>
                <w:sz w:val="20"/>
                <w:szCs w:val="20"/>
                <w:color w:val="auto"/>
              </w:rPr>
            </w:pPr>
            <w:r>
              <w:rPr>
                <w:rFonts w:ascii="Arial" w:cs="Arial" w:eastAsia="Arial" w:hAnsi="Arial"/>
                <w:sz w:val="17"/>
                <w:szCs w:val="17"/>
                <w:color w:val="auto"/>
              </w:rPr>
              <w:t>Owner occupied commercial real estate</w:t>
            </w:r>
          </w:p>
        </w:tc>
        <w:tc>
          <w:tcPr>
            <w:tcW w:w="37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3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368</w:t>
            </w: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341</w:t>
            </w:r>
          </w:p>
        </w:tc>
        <w:tc>
          <w:tcPr>
            <w:tcW w:w="0" w:type="dxa"/>
            <w:vAlign w:val="bottom"/>
          </w:tcPr>
          <w:p>
            <w:pPr>
              <w:spacing w:after="0"/>
              <w:rPr>
                <w:sz w:val="1"/>
                <w:szCs w:val="1"/>
                <w:color w:val="auto"/>
              </w:rPr>
            </w:pPr>
          </w:p>
        </w:tc>
      </w:tr>
      <w:tr>
        <w:trPr>
          <w:trHeight w:val="205"/>
        </w:trPr>
        <w:tc>
          <w:tcPr>
            <w:tcW w:w="4920" w:type="dxa"/>
            <w:vAlign w:val="bottom"/>
          </w:tcPr>
          <w:p>
            <w:pPr>
              <w:ind w:left="180"/>
              <w:spacing w:after="0"/>
              <w:rPr>
                <w:sz w:val="20"/>
                <w:szCs w:val="20"/>
                <w:color w:val="auto"/>
              </w:rPr>
            </w:pPr>
            <w:r>
              <w:rPr>
                <w:rFonts w:ascii="Arial" w:cs="Arial" w:eastAsia="Arial" w:hAnsi="Arial"/>
                <w:sz w:val="17"/>
                <w:szCs w:val="17"/>
                <w:color w:val="auto"/>
              </w:rPr>
              <w:t>Income producing commercial real estate</w:t>
            </w:r>
          </w:p>
        </w:tc>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248</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231</w:t>
            </w:r>
          </w:p>
        </w:tc>
        <w:tc>
          <w:tcPr>
            <w:tcW w:w="0" w:type="dxa"/>
            <w:vAlign w:val="bottom"/>
          </w:tcPr>
          <w:p>
            <w:pPr>
              <w:spacing w:after="0"/>
              <w:rPr>
                <w:sz w:val="1"/>
                <w:szCs w:val="1"/>
                <w:color w:val="auto"/>
              </w:rPr>
            </w:pPr>
          </w:p>
        </w:tc>
      </w:tr>
      <w:tr>
        <w:trPr>
          <w:trHeight w:val="205"/>
        </w:trPr>
        <w:tc>
          <w:tcPr>
            <w:tcW w:w="4920" w:type="dxa"/>
            <w:vAlign w:val="bottom"/>
            <w:shd w:val="clear" w:color="auto" w:fill="F0FFFF"/>
          </w:tcPr>
          <w:p>
            <w:pPr>
              <w:ind w:left="180"/>
              <w:spacing w:after="0"/>
              <w:rPr>
                <w:sz w:val="20"/>
                <w:szCs w:val="20"/>
                <w:color w:val="auto"/>
              </w:rPr>
            </w:pPr>
            <w:r>
              <w:rPr>
                <w:rFonts w:ascii="Arial" w:cs="Arial" w:eastAsia="Arial" w:hAnsi="Arial"/>
                <w:sz w:val="17"/>
                <w:szCs w:val="17"/>
                <w:color w:val="auto"/>
              </w:rPr>
              <w:t>Commercial &amp; industrial</w:t>
            </w:r>
          </w:p>
        </w:tc>
        <w:tc>
          <w:tcPr>
            <w:tcW w:w="37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3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469</w:t>
            </w: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963</w:t>
            </w:r>
          </w:p>
        </w:tc>
        <w:tc>
          <w:tcPr>
            <w:tcW w:w="0" w:type="dxa"/>
            <w:vAlign w:val="bottom"/>
          </w:tcPr>
          <w:p>
            <w:pPr>
              <w:spacing w:after="0"/>
              <w:rPr>
                <w:sz w:val="1"/>
                <w:szCs w:val="1"/>
                <w:color w:val="auto"/>
              </w:rPr>
            </w:pPr>
          </w:p>
        </w:tc>
      </w:tr>
      <w:tr>
        <w:trPr>
          <w:trHeight w:val="205"/>
        </w:trPr>
        <w:tc>
          <w:tcPr>
            <w:tcW w:w="4920" w:type="dxa"/>
            <w:vAlign w:val="bottom"/>
          </w:tcPr>
          <w:p>
            <w:pPr>
              <w:ind w:left="180"/>
              <w:spacing w:after="0"/>
              <w:rPr>
                <w:sz w:val="20"/>
                <w:szCs w:val="20"/>
                <w:color w:val="auto"/>
              </w:rPr>
            </w:pPr>
            <w:r>
              <w:rPr>
                <w:rFonts w:ascii="Arial" w:cs="Arial" w:eastAsia="Arial" w:hAnsi="Arial"/>
                <w:sz w:val="17"/>
                <w:szCs w:val="17"/>
                <w:color w:val="auto"/>
              </w:rPr>
              <w:t>Commercial construction</w:t>
            </w:r>
          </w:p>
        </w:tc>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4920" w:type="dxa"/>
            <w:vAlign w:val="bottom"/>
            <w:shd w:val="clear" w:color="auto" w:fill="F0FFFF"/>
          </w:tcPr>
          <w:p>
            <w:pPr>
              <w:ind w:left="180"/>
              <w:spacing w:after="0"/>
              <w:rPr>
                <w:sz w:val="20"/>
                <w:szCs w:val="20"/>
                <w:color w:val="auto"/>
              </w:rPr>
            </w:pPr>
            <w:r>
              <w:rPr>
                <w:rFonts w:ascii="Arial" w:cs="Arial" w:eastAsia="Arial" w:hAnsi="Arial"/>
                <w:sz w:val="17"/>
                <w:szCs w:val="17"/>
                <w:color w:val="auto"/>
              </w:rPr>
              <w:t>Residential mortgage</w:t>
            </w:r>
          </w:p>
        </w:tc>
        <w:tc>
          <w:tcPr>
            <w:tcW w:w="37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3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578</w:t>
            </w: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1,581</w:t>
            </w:r>
          </w:p>
        </w:tc>
        <w:tc>
          <w:tcPr>
            <w:tcW w:w="0" w:type="dxa"/>
            <w:vAlign w:val="bottom"/>
          </w:tcPr>
          <w:p>
            <w:pPr>
              <w:spacing w:after="0"/>
              <w:rPr>
                <w:sz w:val="1"/>
                <w:szCs w:val="1"/>
                <w:color w:val="auto"/>
              </w:rPr>
            </w:pPr>
          </w:p>
        </w:tc>
      </w:tr>
      <w:tr>
        <w:trPr>
          <w:trHeight w:val="205"/>
        </w:trPr>
        <w:tc>
          <w:tcPr>
            <w:tcW w:w="4920" w:type="dxa"/>
            <w:vAlign w:val="bottom"/>
          </w:tcPr>
          <w:p>
            <w:pPr>
              <w:ind w:left="180"/>
              <w:spacing w:after="0"/>
              <w:rPr>
                <w:sz w:val="20"/>
                <w:szCs w:val="20"/>
                <w:color w:val="auto"/>
              </w:rPr>
            </w:pPr>
            <w:r>
              <w:rPr>
                <w:rFonts w:ascii="Arial" w:cs="Arial" w:eastAsia="Arial" w:hAnsi="Arial"/>
                <w:sz w:val="17"/>
                <w:szCs w:val="17"/>
                <w:color w:val="auto"/>
              </w:rPr>
              <w:t>Home equity lines of credit</w:t>
            </w:r>
          </w:p>
        </w:tc>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1,003</w:t>
            </w:r>
          </w:p>
        </w:tc>
        <w:tc>
          <w:tcPr>
            <w:tcW w:w="0" w:type="dxa"/>
            <w:vAlign w:val="bottom"/>
          </w:tcPr>
          <w:p>
            <w:pPr>
              <w:spacing w:after="0"/>
              <w:rPr>
                <w:sz w:val="1"/>
                <w:szCs w:val="1"/>
                <w:color w:val="auto"/>
              </w:rPr>
            </w:pPr>
          </w:p>
        </w:tc>
      </w:tr>
      <w:tr>
        <w:trPr>
          <w:trHeight w:val="205"/>
        </w:trPr>
        <w:tc>
          <w:tcPr>
            <w:tcW w:w="4920" w:type="dxa"/>
            <w:vAlign w:val="bottom"/>
            <w:shd w:val="clear" w:color="auto" w:fill="F0FFFF"/>
          </w:tcPr>
          <w:p>
            <w:pPr>
              <w:ind w:left="180"/>
              <w:spacing w:after="0"/>
              <w:rPr>
                <w:sz w:val="20"/>
                <w:szCs w:val="20"/>
                <w:color w:val="auto"/>
              </w:rPr>
            </w:pPr>
            <w:r>
              <w:rPr>
                <w:rFonts w:ascii="Arial" w:cs="Arial" w:eastAsia="Arial" w:hAnsi="Arial"/>
                <w:sz w:val="17"/>
                <w:szCs w:val="17"/>
                <w:color w:val="auto"/>
              </w:rPr>
              <w:t>Residential construction</w:t>
            </w:r>
          </w:p>
        </w:tc>
        <w:tc>
          <w:tcPr>
            <w:tcW w:w="37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1,140</w:t>
            </w:r>
          </w:p>
        </w:tc>
        <w:tc>
          <w:tcPr>
            <w:tcW w:w="260" w:type="dxa"/>
            <w:vAlign w:val="bottom"/>
            <w:tcBorders>
              <w:right w:val="single" w:sz="8" w:color="F0FFFF"/>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304</w:t>
            </w:r>
          </w:p>
        </w:tc>
        <w:tc>
          <w:tcPr>
            <w:tcW w:w="0" w:type="dxa"/>
            <w:vAlign w:val="bottom"/>
          </w:tcPr>
          <w:p>
            <w:pPr>
              <w:spacing w:after="0"/>
              <w:rPr>
                <w:sz w:val="1"/>
                <w:szCs w:val="1"/>
                <w:color w:val="auto"/>
              </w:rPr>
            </w:pPr>
          </w:p>
        </w:tc>
      </w:tr>
      <w:tr>
        <w:trPr>
          <w:trHeight w:val="205"/>
        </w:trPr>
        <w:tc>
          <w:tcPr>
            <w:tcW w:w="4920" w:type="dxa"/>
            <w:vAlign w:val="bottom"/>
          </w:tcPr>
          <w:p>
            <w:pPr>
              <w:ind w:left="180"/>
              <w:spacing w:after="0"/>
              <w:rPr>
                <w:sz w:val="20"/>
                <w:szCs w:val="20"/>
                <w:color w:val="auto"/>
              </w:rPr>
            </w:pPr>
            <w:r>
              <w:rPr>
                <w:rFonts w:ascii="Arial" w:cs="Arial" w:eastAsia="Arial" w:hAnsi="Arial"/>
                <w:sz w:val="17"/>
                <w:szCs w:val="17"/>
                <w:color w:val="auto"/>
              </w:rPr>
              <w:t>Consumer installment</w:t>
            </w:r>
          </w:p>
        </w:tc>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326</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676</w:t>
            </w:r>
          </w:p>
        </w:tc>
        <w:tc>
          <w:tcPr>
            <w:tcW w:w="0" w:type="dxa"/>
            <w:vAlign w:val="bottom"/>
          </w:tcPr>
          <w:p>
            <w:pPr>
              <w:spacing w:after="0"/>
              <w:rPr>
                <w:sz w:val="1"/>
                <w:szCs w:val="1"/>
                <w:color w:val="auto"/>
              </w:rPr>
            </w:pPr>
          </w:p>
        </w:tc>
      </w:tr>
      <w:tr>
        <w:trPr>
          <w:trHeight w:val="211"/>
        </w:trPr>
        <w:tc>
          <w:tcPr>
            <w:tcW w:w="4920" w:type="dxa"/>
            <w:vAlign w:val="bottom"/>
            <w:shd w:val="clear" w:color="auto" w:fill="F0FFFF"/>
          </w:tcPr>
          <w:p>
            <w:pPr>
              <w:ind w:left="180"/>
              <w:spacing w:after="0"/>
              <w:rPr>
                <w:sz w:val="20"/>
                <w:szCs w:val="20"/>
                <w:color w:val="auto"/>
              </w:rPr>
            </w:pPr>
            <w:r>
              <w:rPr>
                <w:rFonts w:ascii="Arial" w:cs="Arial" w:eastAsia="Arial" w:hAnsi="Arial"/>
                <w:sz w:val="17"/>
                <w:szCs w:val="17"/>
                <w:color w:val="auto"/>
              </w:rPr>
              <w:t>Indirect auto</w:t>
            </w:r>
          </w:p>
        </w:tc>
        <w:tc>
          <w:tcPr>
            <w:tcW w:w="37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128</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11"/>
        </w:trPr>
        <w:tc>
          <w:tcPr>
            <w:tcW w:w="4920" w:type="dxa"/>
            <w:vAlign w:val="bottom"/>
            <w:tcBorders>
              <w:top w:val="single" w:sz="8" w:color="F0FFFF"/>
            </w:tcBorders>
          </w:tcPr>
          <w:p>
            <w:pPr>
              <w:ind w:left="340"/>
              <w:spacing w:after="0"/>
              <w:rPr>
                <w:sz w:val="20"/>
                <w:szCs w:val="20"/>
                <w:color w:val="auto"/>
              </w:rPr>
            </w:pPr>
            <w:r>
              <w:rPr>
                <w:rFonts w:ascii="Arial" w:cs="Arial" w:eastAsia="Arial" w:hAnsi="Arial"/>
                <w:sz w:val="17"/>
                <w:szCs w:val="17"/>
                <w:color w:val="auto"/>
              </w:rPr>
              <w:t>Total loans charged-off</w:t>
            </w:r>
          </w:p>
        </w:tc>
        <w:tc>
          <w:tcPr>
            <w:tcW w:w="37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3,352</w:t>
            </w:r>
          </w:p>
        </w:tc>
        <w:tc>
          <w:tcPr>
            <w:tcW w:w="26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5,176</w:t>
            </w:r>
          </w:p>
        </w:tc>
        <w:tc>
          <w:tcPr>
            <w:tcW w:w="1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920" w:type="dxa"/>
            <w:vAlign w:val="bottom"/>
            <w:shd w:val="clear" w:color="auto" w:fill="F0FFFF"/>
          </w:tcPr>
          <w:p>
            <w:pPr>
              <w:spacing w:after="0"/>
              <w:rPr>
                <w:sz w:val="20"/>
                <w:szCs w:val="20"/>
                <w:color w:val="auto"/>
              </w:rPr>
            </w:pPr>
            <w:r>
              <w:rPr>
                <w:rFonts w:ascii="Arial" w:cs="Arial" w:eastAsia="Arial" w:hAnsi="Arial"/>
                <w:sz w:val="17"/>
                <w:szCs w:val="17"/>
                <w:color w:val="auto"/>
              </w:rPr>
              <w:t>Recoveries:</w:t>
            </w:r>
          </w:p>
        </w:tc>
        <w:tc>
          <w:tcPr>
            <w:tcW w:w="37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20" w:type="dxa"/>
            <w:vAlign w:val="bottom"/>
          </w:tcPr>
          <w:p>
            <w:pPr>
              <w:ind w:left="180"/>
              <w:spacing w:after="0"/>
              <w:rPr>
                <w:sz w:val="20"/>
                <w:szCs w:val="20"/>
                <w:color w:val="auto"/>
              </w:rPr>
            </w:pPr>
            <w:r>
              <w:rPr>
                <w:rFonts w:ascii="Arial" w:cs="Arial" w:eastAsia="Arial" w:hAnsi="Arial"/>
                <w:sz w:val="17"/>
                <w:szCs w:val="17"/>
                <w:color w:val="auto"/>
              </w:rPr>
              <w:t>Owner occupied commercial real estate</w:t>
            </w:r>
          </w:p>
        </w:tc>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05"/>
        </w:trPr>
        <w:tc>
          <w:tcPr>
            <w:tcW w:w="4920" w:type="dxa"/>
            <w:vAlign w:val="bottom"/>
            <w:shd w:val="clear" w:color="auto" w:fill="F0FFFF"/>
          </w:tcPr>
          <w:p>
            <w:pPr>
              <w:ind w:left="180"/>
              <w:spacing w:after="0"/>
              <w:rPr>
                <w:sz w:val="20"/>
                <w:szCs w:val="20"/>
                <w:color w:val="auto"/>
              </w:rPr>
            </w:pPr>
            <w:r>
              <w:rPr>
                <w:rFonts w:ascii="Arial" w:cs="Arial" w:eastAsia="Arial" w:hAnsi="Arial"/>
                <w:sz w:val="17"/>
                <w:szCs w:val="17"/>
                <w:color w:val="auto"/>
              </w:rPr>
              <w:t>Income producing commercial real estate</w:t>
            </w:r>
          </w:p>
        </w:tc>
        <w:tc>
          <w:tcPr>
            <w:tcW w:w="37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3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7</w:t>
            </w: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4920" w:type="dxa"/>
            <w:vAlign w:val="bottom"/>
          </w:tcPr>
          <w:p>
            <w:pPr>
              <w:ind w:left="180"/>
              <w:spacing w:after="0"/>
              <w:rPr>
                <w:sz w:val="20"/>
                <w:szCs w:val="20"/>
                <w:color w:val="auto"/>
              </w:rPr>
            </w:pPr>
            <w:r>
              <w:rPr>
                <w:rFonts w:ascii="Arial" w:cs="Arial" w:eastAsia="Arial" w:hAnsi="Arial"/>
                <w:sz w:val="17"/>
                <w:szCs w:val="17"/>
                <w:color w:val="auto"/>
              </w:rPr>
              <w:t>Commercial &amp; industrial</w:t>
            </w:r>
          </w:p>
        </w:tc>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128</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205"/>
        </w:trPr>
        <w:tc>
          <w:tcPr>
            <w:tcW w:w="4920" w:type="dxa"/>
            <w:vAlign w:val="bottom"/>
            <w:shd w:val="clear" w:color="auto" w:fill="F0FFFF"/>
          </w:tcPr>
          <w:p>
            <w:pPr>
              <w:ind w:left="180"/>
              <w:spacing w:after="0"/>
              <w:rPr>
                <w:sz w:val="20"/>
                <w:szCs w:val="20"/>
                <w:color w:val="auto"/>
              </w:rPr>
            </w:pPr>
            <w:r>
              <w:rPr>
                <w:rFonts w:ascii="Arial" w:cs="Arial" w:eastAsia="Arial" w:hAnsi="Arial"/>
                <w:sz w:val="17"/>
                <w:szCs w:val="17"/>
                <w:color w:val="auto"/>
              </w:rPr>
              <w:t>Commercial construction</w:t>
            </w:r>
          </w:p>
        </w:tc>
        <w:tc>
          <w:tcPr>
            <w:tcW w:w="37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F0FFFF"/>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4920" w:type="dxa"/>
            <w:vAlign w:val="bottom"/>
          </w:tcPr>
          <w:p>
            <w:pPr>
              <w:ind w:left="180"/>
              <w:spacing w:after="0"/>
              <w:rPr>
                <w:sz w:val="20"/>
                <w:szCs w:val="20"/>
                <w:color w:val="auto"/>
              </w:rPr>
            </w:pPr>
            <w:r>
              <w:rPr>
                <w:rFonts w:ascii="Arial" w:cs="Arial" w:eastAsia="Arial" w:hAnsi="Arial"/>
                <w:sz w:val="17"/>
                <w:szCs w:val="17"/>
                <w:color w:val="auto"/>
              </w:rPr>
              <w:t>Residential mortgage</w:t>
            </w:r>
          </w:p>
        </w:tc>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162</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5"/>
        </w:trPr>
        <w:tc>
          <w:tcPr>
            <w:tcW w:w="4920" w:type="dxa"/>
            <w:vAlign w:val="bottom"/>
            <w:shd w:val="clear" w:color="auto" w:fill="F0FFFF"/>
          </w:tcPr>
          <w:p>
            <w:pPr>
              <w:ind w:left="180"/>
              <w:spacing w:after="0"/>
              <w:rPr>
                <w:sz w:val="20"/>
                <w:szCs w:val="20"/>
                <w:color w:val="auto"/>
              </w:rPr>
            </w:pPr>
            <w:r>
              <w:rPr>
                <w:rFonts w:ascii="Arial" w:cs="Arial" w:eastAsia="Arial" w:hAnsi="Arial"/>
                <w:sz w:val="17"/>
                <w:szCs w:val="17"/>
                <w:color w:val="auto"/>
              </w:rPr>
              <w:t>Home equity lines of credit</w:t>
            </w:r>
          </w:p>
        </w:tc>
        <w:tc>
          <w:tcPr>
            <w:tcW w:w="37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14</w:t>
            </w:r>
          </w:p>
        </w:tc>
        <w:tc>
          <w:tcPr>
            <w:tcW w:w="260" w:type="dxa"/>
            <w:vAlign w:val="bottom"/>
            <w:tcBorders>
              <w:right w:val="single" w:sz="8" w:color="F0FFFF"/>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5"/>
        </w:trPr>
        <w:tc>
          <w:tcPr>
            <w:tcW w:w="4920" w:type="dxa"/>
            <w:vAlign w:val="bottom"/>
          </w:tcPr>
          <w:p>
            <w:pPr>
              <w:ind w:left="180"/>
              <w:spacing w:after="0"/>
              <w:rPr>
                <w:sz w:val="20"/>
                <w:szCs w:val="20"/>
                <w:color w:val="auto"/>
              </w:rPr>
            </w:pPr>
            <w:r>
              <w:rPr>
                <w:rFonts w:ascii="Arial" w:cs="Arial" w:eastAsia="Arial" w:hAnsi="Arial"/>
                <w:sz w:val="17"/>
                <w:szCs w:val="17"/>
                <w:color w:val="auto"/>
              </w:rPr>
              <w:t>Residential construction</w:t>
            </w:r>
          </w:p>
        </w:tc>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05"/>
        </w:trPr>
        <w:tc>
          <w:tcPr>
            <w:tcW w:w="4920" w:type="dxa"/>
            <w:vAlign w:val="bottom"/>
            <w:shd w:val="clear" w:color="auto" w:fill="F0FFFF"/>
          </w:tcPr>
          <w:p>
            <w:pPr>
              <w:ind w:left="180"/>
              <w:spacing w:after="0"/>
              <w:rPr>
                <w:sz w:val="20"/>
                <w:szCs w:val="20"/>
                <w:color w:val="auto"/>
              </w:rPr>
            </w:pPr>
            <w:r>
              <w:rPr>
                <w:rFonts w:ascii="Arial" w:cs="Arial" w:eastAsia="Arial" w:hAnsi="Arial"/>
                <w:sz w:val="17"/>
                <w:szCs w:val="17"/>
                <w:color w:val="auto"/>
              </w:rPr>
              <w:t>Consumer installment</w:t>
            </w:r>
          </w:p>
        </w:tc>
        <w:tc>
          <w:tcPr>
            <w:tcW w:w="37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3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376</w:t>
            </w: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211"/>
        </w:trPr>
        <w:tc>
          <w:tcPr>
            <w:tcW w:w="4920" w:type="dxa"/>
            <w:vAlign w:val="bottom"/>
          </w:tcPr>
          <w:p>
            <w:pPr>
              <w:ind w:left="180"/>
              <w:spacing w:after="0"/>
              <w:rPr>
                <w:sz w:val="20"/>
                <w:szCs w:val="20"/>
                <w:color w:val="auto"/>
              </w:rPr>
            </w:pPr>
            <w:r>
              <w:rPr>
                <w:rFonts w:ascii="Arial" w:cs="Arial" w:eastAsia="Arial" w:hAnsi="Arial"/>
                <w:sz w:val="17"/>
                <w:szCs w:val="17"/>
                <w:color w:val="auto"/>
              </w:rPr>
              <w:t>Indirect auto</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20" w:type="dxa"/>
            <w:vAlign w:val="bottom"/>
            <w:shd w:val="clear" w:color="auto" w:fill="F0FFFF"/>
          </w:tcPr>
          <w:p>
            <w:pPr>
              <w:ind w:left="340"/>
              <w:spacing w:after="0"/>
              <w:rPr>
                <w:sz w:val="20"/>
                <w:szCs w:val="20"/>
                <w:color w:val="auto"/>
              </w:rPr>
            </w:pPr>
            <w:r>
              <w:rPr>
                <w:rFonts w:ascii="Arial" w:cs="Arial" w:eastAsia="Arial" w:hAnsi="Arial"/>
                <w:sz w:val="17"/>
                <w:szCs w:val="17"/>
                <w:color w:val="auto"/>
              </w:rPr>
              <w:t>Total recoveries</w:t>
            </w:r>
          </w:p>
        </w:tc>
        <w:tc>
          <w:tcPr>
            <w:tcW w:w="37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790</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1,137</w:t>
            </w:r>
          </w:p>
        </w:tc>
        <w:tc>
          <w:tcPr>
            <w:tcW w:w="0" w:type="dxa"/>
            <w:vAlign w:val="bottom"/>
          </w:tcPr>
          <w:p>
            <w:pPr>
              <w:spacing w:after="0"/>
              <w:rPr>
                <w:sz w:val="1"/>
                <w:szCs w:val="1"/>
                <w:color w:val="auto"/>
              </w:rPr>
            </w:pPr>
          </w:p>
        </w:tc>
      </w:tr>
      <w:tr>
        <w:trPr>
          <w:trHeight w:val="211"/>
        </w:trPr>
        <w:tc>
          <w:tcPr>
            <w:tcW w:w="4920" w:type="dxa"/>
            <w:vAlign w:val="bottom"/>
            <w:tcBorders>
              <w:top w:val="single" w:sz="8" w:color="F0FFFF"/>
            </w:tcBorders>
          </w:tcPr>
          <w:p>
            <w:pPr>
              <w:ind w:left="340"/>
              <w:spacing w:after="0"/>
              <w:rPr>
                <w:sz w:val="20"/>
                <w:szCs w:val="20"/>
                <w:color w:val="auto"/>
              </w:rPr>
            </w:pPr>
            <w:r>
              <w:rPr>
                <w:rFonts w:ascii="Arial" w:cs="Arial" w:eastAsia="Arial" w:hAnsi="Arial"/>
                <w:sz w:val="17"/>
                <w:szCs w:val="17"/>
                <w:color w:val="auto"/>
              </w:rPr>
              <w:t>Net charge-offs</w:t>
            </w:r>
          </w:p>
        </w:tc>
        <w:tc>
          <w:tcPr>
            <w:tcW w:w="37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2,562</w:t>
            </w:r>
          </w:p>
        </w:tc>
        <w:tc>
          <w:tcPr>
            <w:tcW w:w="26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4,039</w:t>
            </w:r>
          </w:p>
        </w:tc>
        <w:tc>
          <w:tcPr>
            <w:tcW w:w="1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20" w:type="dxa"/>
            <w:vAlign w:val="bottom"/>
            <w:shd w:val="clear" w:color="auto" w:fill="F0FFFF"/>
          </w:tcPr>
          <w:p>
            <w:pPr>
              <w:spacing w:after="0"/>
              <w:rPr>
                <w:sz w:val="20"/>
                <w:szCs w:val="20"/>
                <w:color w:val="auto"/>
              </w:rPr>
            </w:pPr>
            <w:r>
              <w:rPr>
                <w:rFonts w:ascii="Arial" w:cs="Arial" w:eastAsia="Arial" w:hAnsi="Arial"/>
                <w:sz w:val="17"/>
                <w:szCs w:val="17"/>
                <w:color w:val="auto"/>
              </w:rPr>
              <w:t>Provision for loan losses</w:t>
            </w:r>
          </w:p>
        </w:tc>
        <w:tc>
          <w:tcPr>
            <w:tcW w:w="37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950</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2,500</w:t>
            </w:r>
          </w:p>
        </w:tc>
        <w:tc>
          <w:tcPr>
            <w:tcW w:w="0" w:type="dxa"/>
            <w:vAlign w:val="bottom"/>
          </w:tcPr>
          <w:p>
            <w:pPr>
              <w:spacing w:after="0"/>
              <w:rPr>
                <w:sz w:val="1"/>
                <w:szCs w:val="1"/>
                <w:color w:val="auto"/>
              </w:rPr>
            </w:pPr>
          </w:p>
        </w:tc>
      </w:tr>
      <w:tr>
        <w:trPr>
          <w:trHeight w:val="205"/>
        </w:trPr>
        <w:tc>
          <w:tcPr>
            <w:tcW w:w="4920" w:type="dxa"/>
            <w:vAlign w:val="bottom"/>
            <w:tcBorders>
              <w:top w:val="single" w:sz="8" w:color="F0FFFF"/>
            </w:tcBorders>
          </w:tcPr>
          <w:p>
            <w:pPr>
              <w:spacing w:after="0"/>
              <w:rPr>
                <w:sz w:val="17"/>
                <w:szCs w:val="17"/>
                <w:color w:val="auto"/>
              </w:rPr>
            </w:pPr>
          </w:p>
        </w:tc>
        <w:tc>
          <w:tcPr>
            <w:tcW w:w="374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F0FF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920" w:type="dxa"/>
            <w:vAlign w:val="bottom"/>
            <w:shd w:val="clear" w:color="auto" w:fill="F0FFFF"/>
          </w:tcPr>
          <w:p>
            <w:pPr>
              <w:spacing w:after="0"/>
              <w:rPr>
                <w:sz w:val="20"/>
                <w:szCs w:val="20"/>
                <w:color w:val="auto"/>
              </w:rPr>
            </w:pPr>
            <w:r>
              <w:rPr>
                <w:rFonts w:ascii="Arial" w:cs="Arial" w:eastAsia="Arial" w:hAnsi="Arial"/>
                <w:sz w:val="17"/>
                <w:szCs w:val="17"/>
                <w:color w:val="auto"/>
              </w:rPr>
              <w:t>Allowance for loan losses at end of period</w:t>
            </w:r>
          </w:p>
        </w:tc>
        <w:tc>
          <w:tcPr>
            <w:tcW w:w="3920" w:type="dxa"/>
            <w:vAlign w:val="bottom"/>
            <w:gridSpan w:val="3"/>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70,007</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75,223</w:t>
            </w:r>
          </w:p>
        </w:tc>
        <w:tc>
          <w:tcPr>
            <w:tcW w:w="0" w:type="dxa"/>
            <w:vAlign w:val="bottom"/>
          </w:tcPr>
          <w:p>
            <w:pPr>
              <w:spacing w:after="0"/>
              <w:rPr>
                <w:sz w:val="1"/>
                <w:szCs w:val="1"/>
                <w:color w:val="auto"/>
              </w:rPr>
            </w:pPr>
          </w:p>
        </w:tc>
      </w:tr>
      <w:tr>
        <w:trPr>
          <w:trHeight w:val="20"/>
        </w:trPr>
        <w:tc>
          <w:tcPr>
            <w:tcW w:w="4920" w:type="dxa"/>
            <w:vAlign w:val="bottom"/>
            <w:tcBorders>
              <w:top w:val="single" w:sz="8" w:color="F0FFFF"/>
            </w:tcBorders>
            <w:shd w:val="clear" w:color="auto" w:fill="F0FFFF"/>
          </w:tcPr>
          <w:p>
            <w:pPr>
              <w:spacing w:after="0" w:line="20" w:lineRule="exact"/>
              <w:rPr>
                <w:sz w:val="1"/>
                <w:szCs w:val="1"/>
                <w:color w:val="auto"/>
              </w:rPr>
            </w:pPr>
          </w:p>
        </w:tc>
        <w:tc>
          <w:tcPr>
            <w:tcW w:w="37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tcPr>
          <w:p>
            <w:pPr>
              <w:spacing w:after="0"/>
              <w:rPr>
                <w:sz w:val="20"/>
                <w:szCs w:val="20"/>
                <w:color w:val="auto"/>
              </w:rPr>
            </w:pPr>
            <w:r>
              <w:rPr>
                <w:rFonts w:ascii="Arial" w:cs="Arial" w:eastAsia="Arial" w:hAnsi="Arial"/>
                <w:sz w:val="17"/>
                <w:szCs w:val="17"/>
                <w:color w:val="auto"/>
              </w:rPr>
              <w:t>Allowance for unfunded commitments at beginning of period</w:t>
            </w:r>
          </w:p>
        </w:tc>
        <w:tc>
          <w:tcPr>
            <w:tcW w:w="39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1,930</w:t>
            </w:r>
          </w:p>
        </w:tc>
        <w:tc>
          <w:tcPr>
            <w:tcW w:w="26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2,165</w:t>
            </w:r>
          </w:p>
        </w:tc>
        <w:tc>
          <w:tcPr>
            <w:tcW w:w="0" w:type="dxa"/>
            <w:vAlign w:val="bottom"/>
          </w:tcPr>
          <w:p>
            <w:pPr>
              <w:spacing w:after="0"/>
              <w:rPr>
                <w:sz w:val="1"/>
                <w:szCs w:val="1"/>
                <w:color w:val="auto"/>
              </w:rPr>
            </w:pPr>
          </w:p>
        </w:tc>
      </w:tr>
      <w:tr>
        <w:trPr>
          <w:trHeight w:val="211"/>
        </w:trPr>
        <w:tc>
          <w:tcPr>
            <w:tcW w:w="4920" w:type="dxa"/>
            <w:vAlign w:val="bottom"/>
            <w:shd w:val="clear" w:color="auto" w:fill="F0FFFF"/>
          </w:tcPr>
          <w:p>
            <w:pPr>
              <w:ind w:left="220"/>
              <w:spacing w:after="0"/>
              <w:rPr>
                <w:sz w:val="20"/>
                <w:szCs w:val="20"/>
                <w:color w:val="auto"/>
              </w:rPr>
            </w:pPr>
            <w:r>
              <w:rPr>
                <w:rFonts w:ascii="Arial" w:cs="Arial" w:eastAsia="Arial" w:hAnsi="Arial"/>
                <w:sz w:val="17"/>
                <w:szCs w:val="17"/>
                <w:color w:val="auto"/>
              </w:rPr>
              <w:t>Provision for losses on unfunded commitments</w:t>
            </w:r>
          </w:p>
        </w:tc>
        <w:tc>
          <w:tcPr>
            <w:tcW w:w="37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3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850</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4920" w:type="dxa"/>
            <w:vAlign w:val="bottom"/>
            <w:tcBorders>
              <w:top w:val="single" w:sz="8" w:color="F0FFFF"/>
            </w:tcBorders>
          </w:tcPr>
          <w:p>
            <w:pPr>
              <w:spacing w:after="0"/>
              <w:rPr>
                <w:sz w:val="20"/>
                <w:szCs w:val="20"/>
                <w:color w:val="auto"/>
              </w:rPr>
            </w:pPr>
            <w:r>
              <w:rPr>
                <w:rFonts w:ascii="Arial" w:cs="Arial" w:eastAsia="Arial" w:hAnsi="Arial"/>
                <w:sz w:val="17"/>
                <w:szCs w:val="17"/>
                <w:color w:val="auto"/>
              </w:rPr>
              <w:t>Allowance for unfunded commitments at end of period</w:t>
            </w:r>
          </w:p>
        </w:tc>
        <w:tc>
          <w:tcPr>
            <w:tcW w:w="37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2,780</w:t>
            </w:r>
          </w:p>
        </w:tc>
        <w:tc>
          <w:tcPr>
            <w:tcW w:w="26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2,165</w:t>
            </w:r>
          </w:p>
        </w:tc>
        <w:tc>
          <w:tcPr>
            <w:tcW w:w="1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920" w:type="dxa"/>
            <w:vAlign w:val="bottom"/>
            <w:shd w:val="clear" w:color="auto" w:fill="F0FFFF"/>
          </w:tcPr>
          <w:p>
            <w:pPr>
              <w:spacing w:after="0"/>
              <w:rPr>
                <w:sz w:val="20"/>
                <w:szCs w:val="20"/>
                <w:color w:val="auto"/>
              </w:rPr>
            </w:pPr>
            <w:r>
              <w:rPr>
                <w:rFonts w:ascii="Arial" w:cs="Arial" w:eastAsia="Arial" w:hAnsi="Arial"/>
                <w:sz w:val="17"/>
                <w:szCs w:val="17"/>
                <w:color w:val="auto"/>
              </w:rPr>
              <w:t>Allowance for credit losses</w:t>
            </w:r>
          </w:p>
        </w:tc>
        <w:tc>
          <w:tcPr>
            <w:tcW w:w="3740" w:type="dxa"/>
            <w:vAlign w:val="bottom"/>
            <w:shd w:val="clear" w:color="auto" w:fill="F0FFFF"/>
          </w:tcPr>
          <w:p>
            <w:pPr>
              <w:spacing w:after="0"/>
              <w:rPr>
                <w:sz w:val="21"/>
                <w:szCs w:val="21"/>
                <w:color w:val="auto"/>
              </w:rPr>
            </w:pP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7"/>
                <w:szCs w:val="17"/>
                <w:color w:val="auto"/>
              </w:rPr>
              <w:t>72,787</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77,388</w:t>
            </w:r>
          </w:p>
        </w:tc>
        <w:tc>
          <w:tcPr>
            <w:tcW w:w="0" w:type="dxa"/>
            <w:vAlign w:val="bottom"/>
          </w:tcPr>
          <w:p>
            <w:pPr>
              <w:spacing w:after="0"/>
              <w:rPr>
                <w:sz w:val="1"/>
                <w:szCs w:val="1"/>
                <w:color w:val="auto"/>
              </w:rPr>
            </w:pPr>
          </w:p>
        </w:tc>
      </w:tr>
      <w:tr>
        <w:trPr>
          <w:trHeight w:val="196"/>
        </w:trPr>
        <w:tc>
          <w:tcPr>
            <w:tcW w:w="492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7"/>
                <w:szCs w:val="17"/>
                <w:color w:val="auto"/>
              </w:rPr>
              <w:t>Total loans:</w:t>
            </w:r>
          </w:p>
        </w:tc>
        <w:tc>
          <w:tcPr>
            <w:tcW w:w="3740" w:type="dxa"/>
            <w:vAlign w:val="bottom"/>
            <w:tcBorders>
              <w:top w:val="single" w:sz="8" w:color="F0FFFF"/>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80" w:type="dxa"/>
            <w:vAlign w:val="bottom"/>
            <w:tcBorders>
              <w:top w:val="single" w:sz="8" w:color="auto"/>
            </w:tcBorders>
            <w:shd w:val="clear" w:color="auto" w:fill="F0FFFF"/>
          </w:tcPr>
          <w:p>
            <w:pPr>
              <w:spacing w:after="0"/>
              <w:rPr>
                <w:sz w:val="17"/>
                <w:szCs w:val="17"/>
                <w:color w:val="auto"/>
              </w:rPr>
            </w:pPr>
          </w:p>
        </w:tc>
        <w:tc>
          <w:tcPr>
            <w:tcW w:w="1040" w:type="dxa"/>
            <w:vAlign w:val="bottom"/>
            <w:tcBorders>
              <w:top w:val="single" w:sz="8" w:color="auto"/>
            </w:tcBorders>
            <w:shd w:val="clear" w:color="auto" w:fill="F0FFFF"/>
          </w:tcPr>
          <w:p>
            <w:pPr>
              <w:spacing w:after="0"/>
              <w:rPr>
                <w:sz w:val="17"/>
                <w:szCs w:val="17"/>
                <w:color w:val="auto"/>
              </w:rPr>
            </w:pPr>
          </w:p>
        </w:tc>
        <w:tc>
          <w:tcPr>
            <w:tcW w:w="260" w:type="dxa"/>
            <w:vAlign w:val="bottom"/>
            <w:tcBorders>
              <w:top w:val="single" w:sz="8" w:color="F0FFFF"/>
              <w:right w:val="single" w:sz="8" w:color="F0FFFF"/>
            </w:tcBorders>
            <w:shd w:val="clear" w:color="auto" w:fill="F0FFFF"/>
          </w:tcPr>
          <w:p>
            <w:pPr>
              <w:spacing w:after="0"/>
              <w:rPr>
                <w:sz w:val="17"/>
                <w:szCs w:val="17"/>
                <w:color w:val="auto"/>
              </w:rPr>
            </w:pPr>
          </w:p>
        </w:tc>
        <w:tc>
          <w:tcPr>
            <w:tcW w:w="240" w:type="dxa"/>
            <w:vAlign w:val="bottom"/>
            <w:tcBorders>
              <w:top w:val="single" w:sz="8" w:color="auto"/>
            </w:tcBorders>
            <w:shd w:val="clear" w:color="auto" w:fill="F0FFFF"/>
          </w:tcPr>
          <w:p>
            <w:pPr>
              <w:spacing w:after="0"/>
              <w:rPr>
                <w:sz w:val="17"/>
                <w:szCs w:val="17"/>
                <w:color w:val="auto"/>
              </w:rPr>
            </w:pPr>
          </w:p>
        </w:tc>
        <w:tc>
          <w:tcPr>
            <w:tcW w:w="900" w:type="dxa"/>
            <w:vAlign w:val="bottom"/>
            <w:tcBorders>
              <w:top w:val="single" w:sz="8" w:color="auto"/>
            </w:tcBorders>
            <w:shd w:val="clear" w:color="auto" w:fill="F0FFFF"/>
          </w:tcPr>
          <w:p>
            <w:pPr>
              <w:spacing w:after="0"/>
              <w:rPr>
                <w:sz w:val="17"/>
                <w:szCs w:val="17"/>
                <w:color w:val="auto"/>
              </w:rPr>
            </w:pPr>
          </w:p>
        </w:tc>
        <w:tc>
          <w:tcPr>
            <w:tcW w:w="140" w:type="dxa"/>
            <w:vAlign w:val="bottom"/>
            <w:tcBorders>
              <w:top w:val="single" w:sz="8" w:color="F0FFFF"/>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20" w:type="dxa"/>
            <w:vAlign w:val="bottom"/>
          </w:tcPr>
          <w:p>
            <w:pPr>
              <w:ind w:left="120"/>
              <w:spacing w:after="0"/>
              <w:rPr>
                <w:sz w:val="20"/>
                <w:szCs w:val="20"/>
                <w:color w:val="auto"/>
              </w:rPr>
            </w:pPr>
            <w:r>
              <w:rPr>
                <w:rFonts w:ascii="Arial" w:cs="Arial" w:eastAsia="Arial" w:hAnsi="Arial"/>
                <w:sz w:val="17"/>
                <w:szCs w:val="17"/>
                <w:color w:val="auto"/>
              </w:rPr>
              <w:t>At period-end</w:t>
            </w:r>
          </w:p>
        </w:tc>
        <w:tc>
          <w:tcPr>
            <w:tcW w:w="37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4,787,689</w:t>
            </w:r>
          </w:p>
        </w:tc>
        <w:tc>
          <w:tcPr>
            <w:tcW w:w="26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4,355,708</w:t>
            </w:r>
          </w:p>
        </w:tc>
        <w:tc>
          <w:tcPr>
            <w:tcW w:w="0" w:type="dxa"/>
            <w:vAlign w:val="bottom"/>
          </w:tcPr>
          <w:p>
            <w:pPr>
              <w:spacing w:after="0"/>
              <w:rPr>
                <w:sz w:val="1"/>
                <w:szCs w:val="1"/>
                <w:color w:val="auto"/>
              </w:rPr>
            </w:pPr>
          </w:p>
        </w:tc>
      </w:tr>
      <w:tr>
        <w:trPr>
          <w:trHeight w:val="205"/>
        </w:trPr>
        <w:tc>
          <w:tcPr>
            <w:tcW w:w="4920" w:type="dxa"/>
            <w:vAlign w:val="bottom"/>
            <w:shd w:val="clear" w:color="auto" w:fill="F0FFFF"/>
          </w:tcPr>
          <w:p>
            <w:pPr>
              <w:ind w:left="120"/>
              <w:spacing w:after="0"/>
              <w:rPr>
                <w:sz w:val="20"/>
                <w:szCs w:val="20"/>
                <w:color w:val="auto"/>
              </w:rPr>
            </w:pPr>
            <w:r>
              <w:rPr>
                <w:rFonts w:ascii="Arial" w:cs="Arial" w:eastAsia="Arial" w:hAnsi="Arial"/>
                <w:sz w:val="17"/>
                <w:szCs w:val="17"/>
                <w:color w:val="auto"/>
              </w:rPr>
              <w:t>Average</w:t>
            </w:r>
          </w:p>
        </w:tc>
        <w:tc>
          <w:tcPr>
            <w:tcW w:w="37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4,725,304</w:t>
            </w:r>
          </w:p>
        </w:tc>
        <w:tc>
          <w:tcPr>
            <w:tcW w:w="260" w:type="dxa"/>
            <w:vAlign w:val="bottom"/>
            <w:tcBorders>
              <w:right w:val="single" w:sz="8" w:color="F0FFFF"/>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4,335,724</w:t>
            </w:r>
          </w:p>
        </w:tc>
        <w:tc>
          <w:tcPr>
            <w:tcW w:w="0" w:type="dxa"/>
            <w:vAlign w:val="bottom"/>
          </w:tcPr>
          <w:p>
            <w:pPr>
              <w:spacing w:after="0"/>
              <w:rPr>
                <w:sz w:val="1"/>
                <w:szCs w:val="1"/>
                <w:color w:val="auto"/>
              </w:rPr>
            </w:pPr>
          </w:p>
        </w:tc>
      </w:tr>
      <w:tr>
        <w:trPr>
          <w:trHeight w:val="205"/>
        </w:trPr>
        <w:tc>
          <w:tcPr>
            <w:tcW w:w="4920" w:type="dxa"/>
            <w:vAlign w:val="bottom"/>
          </w:tcPr>
          <w:p>
            <w:pPr>
              <w:spacing w:after="0"/>
              <w:rPr>
                <w:sz w:val="20"/>
                <w:szCs w:val="20"/>
                <w:color w:val="auto"/>
              </w:rPr>
            </w:pPr>
            <w:r>
              <w:rPr>
                <w:rFonts w:ascii="Arial" w:cs="Arial" w:eastAsia="Arial" w:hAnsi="Arial"/>
                <w:sz w:val="17"/>
                <w:szCs w:val="17"/>
                <w:color w:val="auto"/>
              </w:rPr>
              <w:t>Allowance for loan losses as a percentage of period-end loans</w:t>
            </w:r>
          </w:p>
        </w:tc>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1.46%</w:t>
            </w:r>
          </w:p>
        </w:tc>
        <w:tc>
          <w:tcPr>
            <w:tcW w:w="2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205"/>
        </w:trPr>
        <w:tc>
          <w:tcPr>
            <w:tcW w:w="4920" w:type="dxa"/>
            <w:vAlign w:val="bottom"/>
            <w:shd w:val="clear" w:color="auto" w:fill="F0FFFF"/>
          </w:tcPr>
          <w:p>
            <w:pPr>
              <w:spacing w:after="0"/>
              <w:rPr>
                <w:sz w:val="20"/>
                <w:szCs w:val="20"/>
                <w:color w:val="auto"/>
              </w:rPr>
            </w:pPr>
            <w:r>
              <w:rPr>
                <w:rFonts w:ascii="Arial" w:cs="Arial" w:eastAsia="Arial" w:hAnsi="Arial"/>
                <w:sz w:val="17"/>
                <w:szCs w:val="17"/>
                <w:color w:val="auto"/>
              </w:rPr>
              <w:t>As a percentage of average loans (annualized):</w:t>
            </w:r>
          </w:p>
        </w:tc>
        <w:tc>
          <w:tcPr>
            <w:tcW w:w="37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20" w:type="dxa"/>
            <w:vAlign w:val="bottom"/>
          </w:tcPr>
          <w:p>
            <w:pPr>
              <w:ind w:left="140"/>
              <w:spacing w:after="0"/>
              <w:rPr>
                <w:sz w:val="20"/>
                <w:szCs w:val="20"/>
                <w:color w:val="auto"/>
              </w:rPr>
            </w:pPr>
            <w:r>
              <w:rPr>
                <w:rFonts w:ascii="Arial" w:cs="Arial" w:eastAsia="Arial" w:hAnsi="Arial"/>
                <w:sz w:val="17"/>
                <w:szCs w:val="17"/>
                <w:color w:val="auto"/>
              </w:rPr>
              <w:t>Net charge-offs</w:t>
            </w:r>
          </w:p>
        </w:tc>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05"/>
        </w:trPr>
        <w:tc>
          <w:tcPr>
            <w:tcW w:w="4920" w:type="dxa"/>
            <w:vAlign w:val="bottom"/>
            <w:shd w:val="clear" w:color="auto" w:fill="F0FFFF"/>
          </w:tcPr>
          <w:p>
            <w:pPr>
              <w:ind w:left="140"/>
              <w:spacing w:after="0"/>
              <w:rPr>
                <w:sz w:val="20"/>
                <w:szCs w:val="20"/>
                <w:color w:val="auto"/>
              </w:rPr>
            </w:pPr>
            <w:r>
              <w:rPr>
                <w:rFonts w:ascii="Arial" w:cs="Arial" w:eastAsia="Arial" w:hAnsi="Arial"/>
                <w:sz w:val="17"/>
                <w:szCs w:val="17"/>
                <w:color w:val="auto"/>
              </w:rPr>
              <w:t>Provision for loan losses</w:t>
            </w:r>
          </w:p>
        </w:tc>
        <w:tc>
          <w:tcPr>
            <w:tcW w:w="37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.08</w:t>
            </w:r>
          </w:p>
        </w:tc>
        <w:tc>
          <w:tcPr>
            <w:tcW w:w="260" w:type="dxa"/>
            <w:vAlign w:val="bottom"/>
            <w:tcBorders>
              <w:right w:val="single" w:sz="8" w:color="F0FFFF"/>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640"/>
        </w:trPr>
        <w:tc>
          <w:tcPr>
            <w:tcW w:w="4920" w:type="dxa"/>
            <w:vAlign w:val="bottom"/>
            <w:tcBorders>
              <w:bottom w:val="single" w:sz="8" w:color="DCDCDC"/>
            </w:tcBorders>
          </w:tcPr>
          <w:p>
            <w:pPr>
              <w:spacing w:after="0"/>
              <w:rPr>
                <w:sz w:val="24"/>
                <w:szCs w:val="24"/>
                <w:color w:val="auto"/>
              </w:rPr>
            </w:pPr>
          </w:p>
        </w:tc>
        <w:tc>
          <w:tcPr>
            <w:tcW w:w="3740" w:type="dxa"/>
            <w:vAlign w:val="bottom"/>
            <w:tcBorders>
              <w:bottom w:val="single" w:sz="8" w:color="DCDCDC"/>
            </w:tcBorders>
          </w:tcPr>
          <w:p>
            <w:pPr>
              <w:jc w:val="right"/>
              <w:ind w:right="2775"/>
              <w:spacing w:after="0"/>
              <w:rPr>
                <w:sz w:val="20"/>
                <w:szCs w:val="20"/>
                <w:color w:val="auto"/>
              </w:rPr>
            </w:pPr>
            <w:r>
              <w:rPr>
                <w:rFonts w:ascii="Arial" w:cs="Arial" w:eastAsia="Arial" w:hAnsi="Arial"/>
                <w:sz w:val="17"/>
                <w:szCs w:val="17"/>
                <w:color w:val="auto"/>
              </w:rPr>
              <w:t>48</w:t>
            </w:r>
          </w:p>
        </w:tc>
        <w:tc>
          <w:tcPr>
            <w:tcW w:w="10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3" w:right="239" w:bottom="1440" w:gutter="0" w:footer="0" w:header="0"/>
        </w:sectPr>
      </w:pPr>
    </w:p>
    <w:bookmarkStart w:id="50" w:name="page51"/>
    <w:bookmarkEnd w:id="50"/>
    <w:p>
      <w:pPr>
        <w:jc w:val="both"/>
        <w:spacing w:after="0" w:line="273" w:lineRule="auto"/>
        <w:rPr>
          <w:sz w:val="20"/>
          <w:szCs w:val="20"/>
          <w:color w:val="auto"/>
        </w:rPr>
      </w:pPr>
      <w:r>
        <w:rPr>
          <w:rFonts w:ascii="Arial" w:cs="Arial" w:eastAsia="Arial" w:hAnsi="Arial"/>
          <w:sz w:val="16"/>
          <w:szCs w:val="16"/>
          <w:color w:val="auto"/>
        </w:rPr>
        <w:t>The provision for credit losses charged to earnings is based upon management’s judgment of the amount necessary to maintain the allowance at a level appropriate to absorb probable incurred losses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The decreases in the provision and the declining level of the allowance for loan losses compared to the previous periods reflects stabilizing trends in substandard and nonperforming loans as well as charge-off levels. Further, the declining balance of the allowance for loan losses over the last several quarters reflects an overall improving trend in the credit quality of the loan portfolio. A general improvement in economic conditions in United’s market also contributed to the lower level of provision and allowance for loan losses.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allowance for credit losses, which includes a portion related to unfunded commitments, totaled $72.8 million at March 31, 2015, compared with $73.5 million at December 31, 2014, and $77.4 million at March 31, 2014. At March 31, 2015, the allowance for loan losses was $70.0 million, or 1.46% of loans, compared with $71.6 million, or 1.53% of total loans, at December 31, 2014 and $75.2 million, or 1.73% of loans, at March 31, 2014.</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Management believes that the allowance for credit losses at March 31, 2015 reflects the probable incurred losses in the loan portfolio and unfunded loan commitments. This assessment involves uncertainty and judgment; therefore, the adequacy of the allowance for credit losses cannot be determined with precision and may be subject to change in future periods. The amount of any changes could be significant if management’s assessment of loan quality or collateral values change substantially with respect to one or more loan relationships or portfolios. In addition, bank regulatory authorities, as part of their periodic examination of the Bank, may require adjustments to the provision for credit losses in future periods if, in their opinion, the results of their review warrant such additions. See the “Critical Accounting Policies” section for additional information on the allowance for loan losses.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20"/>
                <w:szCs w:val="20"/>
                <w:color w:val="auto"/>
              </w:rPr>
            </w:pPr>
            <w:r>
              <w:rPr>
                <w:rFonts w:ascii="Arial" w:cs="Arial" w:eastAsia="Arial" w:hAnsi="Arial"/>
                <w:sz w:val="17"/>
                <w:szCs w:val="17"/>
                <w:b w:val="1"/>
                <w:bCs w:val="1"/>
                <w:i w:val="1"/>
                <w:iCs w:val="1"/>
                <w:color w:val="auto"/>
              </w:rPr>
              <w:t>Nonperforming Assets</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6"/>
        </w:trPr>
        <w:tc>
          <w:tcPr>
            <w:tcW w:w="5840" w:type="dxa"/>
            <w:vAlign w:val="bottom"/>
          </w:tcPr>
          <w:p>
            <w:pPr>
              <w:spacing w:after="0"/>
              <w:rPr>
                <w:sz w:val="20"/>
                <w:szCs w:val="20"/>
                <w:color w:val="auto"/>
              </w:rPr>
            </w:pPr>
            <w:r>
              <w:rPr>
                <w:rFonts w:ascii="Arial" w:cs="Arial" w:eastAsia="Arial" w:hAnsi="Arial"/>
                <w:sz w:val="17"/>
                <w:szCs w:val="17"/>
                <w:color w:val="auto"/>
              </w:rPr>
              <w:t>The table below summarizes nonperforming assets.</w:t>
            </w: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840" w:type="dxa"/>
            <w:vAlign w:val="bottom"/>
          </w:tcPr>
          <w:p>
            <w:pPr>
              <w:spacing w:after="0"/>
              <w:rPr>
                <w:sz w:val="20"/>
                <w:szCs w:val="20"/>
                <w:color w:val="auto"/>
              </w:rPr>
            </w:pPr>
            <w:r>
              <w:rPr>
                <w:rFonts w:ascii="Arial" w:cs="Arial" w:eastAsia="Arial" w:hAnsi="Arial"/>
                <w:sz w:val="17"/>
                <w:szCs w:val="17"/>
                <w:b w:val="1"/>
                <w:bCs w:val="1"/>
                <w:color w:val="auto"/>
              </w:rPr>
              <w:t>Table 9 - Nonperforming Assets</w:t>
            </w: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40"/>
              <w:spacing w:after="0"/>
              <w:rPr>
                <w:sz w:val="20"/>
                <w:szCs w:val="20"/>
                <w:color w:val="auto"/>
              </w:rPr>
            </w:pPr>
            <w:r>
              <w:rPr>
                <w:rFonts w:ascii="Arial" w:cs="Arial" w:eastAsia="Arial" w:hAnsi="Arial"/>
                <w:sz w:val="17"/>
                <w:szCs w:val="17"/>
                <w:i w:val="1"/>
                <w:iCs w:val="1"/>
                <w:color w:val="auto"/>
              </w:rPr>
              <w:t>(in thousands)</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right"/>
              <w:ind w:right="380"/>
              <w:spacing w:after="0"/>
              <w:rPr>
                <w:sz w:val="20"/>
                <w:szCs w:val="20"/>
                <w:color w:val="auto"/>
              </w:rPr>
            </w:pPr>
            <w:r>
              <w:rPr>
                <w:rFonts w:ascii="Arial" w:cs="Arial" w:eastAsia="Arial" w:hAnsi="Arial"/>
                <w:sz w:val="17"/>
                <w:szCs w:val="17"/>
                <w:b w:val="1"/>
                <w:bCs w:val="1"/>
                <w:color w:val="auto"/>
                <w:w w:val="99"/>
              </w:rPr>
              <w:t>March 31,</w:t>
            </w:r>
          </w:p>
        </w:tc>
        <w:tc>
          <w:tcPr>
            <w:tcW w:w="60" w:type="dxa"/>
            <w:vAlign w:val="bottom"/>
          </w:tcPr>
          <w:p>
            <w:pPr>
              <w:spacing w:after="0"/>
              <w:rPr>
                <w:sz w:val="18"/>
                <w:szCs w:val="18"/>
                <w:color w:val="auto"/>
              </w:rPr>
            </w:pPr>
          </w:p>
        </w:tc>
        <w:tc>
          <w:tcPr>
            <w:tcW w:w="1320" w:type="dxa"/>
            <w:vAlign w:val="bottom"/>
            <w:gridSpan w:val="3"/>
            <w:vMerge w:val="restart"/>
          </w:tcPr>
          <w:p>
            <w:pPr>
              <w:jc w:val="right"/>
              <w:ind w:right="260"/>
              <w:spacing w:after="0"/>
              <w:rPr>
                <w:sz w:val="20"/>
                <w:szCs w:val="20"/>
                <w:color w:val="auto"/>
              </w:rPr>
            </w:pPr>
            <w:r>
              <w:rPr>
                <w:rFonts w:ascii="Arial" w:cs="Arial" w:eastAsia="Arial" w:hAnsi="Arial"/>
                <w:sz w:val="17"/>
                <w:szCs w:val="17"/>
                <w:b w:val="1"/>
                <w:bCs w:val="1"/>
                <w:color w:val="auto"/>
                <w:w w:val="94"/>
              </w:rPr>
              <w:t>December 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restart"/>
          </w:tcPr>
          <w:p>
            <w:pPr>
              <w:jc w:val="right"/>
              <w:ind w:right="340"/>
              <w:spacing w:after="0"/>
              <w:rPr>
                <w:sz w:val="20"/>
                <w:szCs w:val="20"/>
                <w:color w:val="auto"/>
              </w:rPr>
            </w:pPr>
            <w:r>
              <w:rPr>
                <w:rFonts w:ascii="Arial" w:cs="Arial" w:eastAsia="Arial" w:hAnsi="Arial"/>
                <w:sz w:val="17"/>
                <w:szCs w:val="17"/>
                <w:b w:val="1"/>
                <w:bCs w:val="1"/>
                <w:color w:val="auto"/>
                <w:w w:val="99"/>
              </w:rPr>
              <w:t>March 31,</w:t>
            </w:r>
          </w:p>
        </w:tc>
        <w:tc>
          <w:tcPr>
            <w:tcW w:w="0" w:type="dxa"/>
            <w:vAlign w:val="bottom"/>
          </w:tcPr>
          <w:p>
            <w:pPr>
              <w:spacing w:after="0"/>
              <w:rPr>
                <w:sz w:val="1"/>
                <w:szCs w:val="1"/>
                <w:color w:val="auto"/>
              </w:rPr>
            </w:pPr>
          </w:p>
        </w:tc>
      </w:tr>
      <w:tr>
        <w:trPr>
          <w:trHeight w:val="190"/>
        </w:trPr>
        <w:tc>
          <w:tcPr>
            <w:tcW w:w="58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8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840" w:type="dxa"/>
            <w:vAlign w:val="bottom"/>
            <w:shd w:val="clear" w:color="auto" w:fill="F0FFFF"/>
          </w:tcPr>
          <w:p>
            <w:pPr>
              <w:spacing w:after="0"/>
              <w:rPr>
                <w:sz w:val="20"/>
                <w:szCs w:val="20"/>
                <w:color w:val="auto"/>
              </w:rPr>
            </w:pPr>
            <w:r>
              <w:rPr>
                <w:rFonts w:ascii="Arial" w:cs="Arial" w:eastAsia="Arial" w:hAnsi="Arial"/>
                <w:sz w:val="17"/>
                <w:szCs w:val="17"/>
                <w:color w:val="auto"/>
              </w:rPr>
              <w:t>Nonperforming loans</w:t>
            </w:r>
          </w:p>
        </w:tc>
        <w:tc>
          <w:tcPr>
            <w:tcW w:w="168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19,015</w:t>
            </w:r>
          </w:p>
        </w:tc>
        <w:tc>
          <w:tcPr>
            <w:tcW w:w="300" w:type="dxa"/>
            <w:vAlign w:val="bottom"/>
            <w:gridSpan w:val="2"/>
            <w:shd w:val="clear" w:color="auto" w:fill="F0FFFF"/>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17,881</w:t>
            </w:r>
          </w:p>
        </w:tc>
        <w:tc>
          <w:tcPr>
            <w:tcW w:w="20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25,250</w:t>
            </w:r>
          </w:p>
        </w:tc>
        <w:tc>
          <w:tcPr>
            <w:tcW w:w="0" w:type="dxa"/>
            <w:vAlign w:val="bottom"/>
          </w:tcPr>
          <w:p>
            <w:pPr>
              <w:spacing w:after="0"/>
              <w:rPr>
                <w:sz w:val="1"/>
                <w:szCs w:val="1"/>
                <w:color w:val="auto"/>
              </w:rPr>
            </w:pPr>
          </w:p>
        </w:tc>
      </w:tr>
      <w:tr>
        <w:trPr>
          <w:trHeight w:val="211"/>
        </w:trPr>
        <w:tc>
          <w:tcPr>
            <w:tcW w:w="5840" w:type="dxa"/>
            <w:vAlign w:val="bottom"/>
          </w:tcPr>
          <w:p>
            <w:pPr>
              <w:spacing w:after="0"/>
              <w:rPr>
                <w:sz w:val="20"/>
                <w:szCs w:val="20"/>
                <w:color w:val="auto"/>
              </w:rPr>
            </w:pPr>
            <w:r>
              <w:rPr>
                <w:rFonts w:ascii="Arial" w:cs="Arial" w:eastAsia="Arial" w:hAnsi="Arial"/>
                <w:sz w:val="17"/>
                <w:szCs w:val="17"/>
                <w:color w:val="auto"/>
              </w:rPr>
              <w:t>Foreclosed properties (OREO)</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1,158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1,726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5,594</w:t>
            </w:r>
          </w:p>
        </w:tc>
        <w:tc>
          <w:tcPr>
            <w:tcW w:w="0" w:type="dxa"/>
            <w:vAlign w:val="bottom"/>
          </w:tcPr>
          <w:p>
            <w:pPr>
              <w:spacing w:after="0"/>
              <w:rPr>
                <w:sz w:val="1"/>
                <w:szCs w:val="1"/>
                <w:color w:val="auto"/>
              </w:rPr>
            </w:pPr>
          </w:p>
        </w:tc>
      </w:tr>
      <w:tr>
        <w:trPr>
          <w:trHeight w:val="205"/>
        </w:trPr>
        <w:tc>
          <w:tcPr>
            <w:tcW w:w="5840" w:type="dxa"/>
            <w:vAlign w:val="bottom"/>
            <w:shd w:val="clear" w:color="auto" w:fill="F0FFFF"/>
          </w:tcPr>
          <w:p>
            <w:pPr>
              <w:spacing w:after="0"/>
              <w:rPr>
                <w:sz w:val="17"/>
                <w:szCs w:val="17"/>
                <w:color w:val="auto"/>
              </w:rPr>
            </w:pPr>
          </w:p>
        </w:tc>
        <w:tc>
          <w:tcPr>
            <w:tcW w:w="1540" w:type="dxa"/>
            <w:vAlign w:val="bottom"/>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980" w:type="dxa"/>
            <w:vAlign w:val="bottom"/>
            <w:tcBorders>
              <w:top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40" w:type="dxa"/>
            <w:vAlign w:val="bottom"/>
            <w:tcBorders>
              <w:top w:val="single" w:sz="8" w:color="auto"/>
            </w:tcBorders>
            <w:shd w:val="clear" w:color="auto" w:fill="F0FFFF"/>
          </w:tcPr>
          <w:p>
            <w:pPr>
              <w:spacing w:after="0"/>
              <w:rPr>
                <w:sz w:val="17"/>
                <w:szCs w:val="17"/>
                <w:color w:val="auto"/>
              </w:rPr>
            </w:pPr>
          </w:p>
        </w:tc>
        <w:tc>
          <w:tcPr>
            <w:tcW w:w="880" w:type="dxa"/>
            <w:vAlign w:val="bottom"/>
            <w:tcBorders>
              <w:top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100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40" w:type="dxa"/>
            <w:vAlign w:val="bottom"/>
          </w:tcPr>
          <w:p>
            <w:pPr>
              <w:ind w:left="160"/>
              <w:spacing w:after="0"/>
              <w:rPr>
                <w:sz w:val="20"/>
                <w:szCs w:val="20"/>
                <w:color w:val="auto"/>
              </w:rPr>
            </w:pPr>
            <w:r>
              <w:rPr>
                <w:rFonts w:ascii="Arial" w:cs="Arial" w:eastAsia="Arial" w:hAnsi="Arial"/>
                <w:sz w:val="17"/>
                <w:szCs w:val="17"/>
                <w:color w:val="auto"/>
              </w:rPr>
              <w:t>Total nonperforming assets</w:t>
            </w:r>
          </w:p>
        </w:tc>
        <w:tc>
          <w:tcPr>
            <w:tcW w:w="16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20,173</w:t>
            </w:r>
          </w:p>
        </w:tc>
        <w:tc>
          <w:tcPr>
            <w:tcW w:w="30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19,607</w:t>
            </w: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30,844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shd w:val="clear" w:color="auto" w:fill="F0FFFF"/>
          </w:tcPr>
          <w:p>
            <w:pPr>
              <w:spacing w:after="0"/>
              <w:rPr>
                <w:sz w:val="17"/>
                <w:szCs w:val="17"/>
                <w:color w:val="auto"/>
              </w:rPr>
            </w:pPr>
          </w:p>
        </w:tc>
        <w:tc>
          <w:tcPr>
            <w:tcW w:w="15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40" w:type="dxa"/>
            <w:vAlign w:val="bottom"/>
          </w:tcPr>
          <w:p>
            <w:pPr>
              <w:spacing w:after="0"/>
              <w:rPr>
                <w:sz w:val="20"/>
                <w:szCs w:val="20"/>
                <w:color w:val="auto"/>
              </w:rPr>
            </w:pPr>
            <w:r>
              <w:rPr>
                <w:rFonts w:ascii="Arial" w:cs="Arial" w:eastAsia="Arial" w:hAnsi="Arial"/>
                <w:sz w:val="17"/>
                <w:szCs w:val="17"/>
                <w:color w:val="auto"/>
              </w:rPr>
              <w:t>Nonperforming loans as a percentage of total loans</w:t>
            </w: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.40%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.38%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05"/>
        </w:trPr>
        <w:tc>
          <w:tcPr>
            <w:tcW w:w="5840" w:type="dxa"/>
            <w:vAlign w:val="bottom"/>
            <w:shd w:val="clear" w:color="auto" w:fill="F0FFFF"/>
          </w:tcPr>
          <w:p>
            <w:pPr>
              <w:spacing w:after="0"/>
              <w:rPr>
                <w:sz w:val="20"/>
                <w:szCs w:val="20"/>
                <w:color w:val="auto"/>
              </w:rPr>
            </w:pPr>
            <w:r>
              <w:rPr>
                <w:rFonts w:ascii="Arial" w:cs="Arial" w:eastAsia="Arial" w:hAnsi="Arial"/>
                <w:sz w:val="17"/>
                <w:szCs w:val="17"/>
                <w:color w:val="auto"/>
              </w:rPr>
              <w:t>Nonperforming assets as a percentage of total loans and OREO</w:t>
            </w:r>
          </w:p>
        </w:tc>
        <w:tc>
          <w:tcPr>
            <w:tcW w:w="15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.42</w:t>
            </w:r>
          </w:p>
        </w:tc>
        <w:tc>
          <w:tcPr>
            <w:tcW w:w="2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.42</w:t>
            </w:r>
          </w:p>
        </w:tc>
        <w:tc>
          <w:tcPr>
            <w:tcW w:w="2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7"/>
                <w:szCs w:val="17"/>
                <w:color w:val="auto"/>
              </w:rPr>
              <w:t>Nonperforming assets as a percentage of total assets</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315" w:lineRule="auto"/>
        <w:rPr>
          <w:sz w:val="20"/>
          <w:szCs w:val="20"/>
          <w:color w:val="auto"/>
        </w:rPr>
      </w:pPr>
      <w:r>
        <w:rPr>
          <w:rFonts w:ascii="Arial" w:cs="Arial" w:eastAsia="Arial" w:hAnsi="Arial"/>
          <w:sz w:val="15"/>
          <w:szCs w:val="15"/>
          <w:color w:val="auto"/>
        </w:rPr>
        <w:t>At March 31, 2015, nonperforming loans were $19.0 million compared to $17.9 million at December 31, 2014 and $25.3 million at March 31, 2014. Nonperforming assets, which include nonperforming loans and foreclosed real estate, totaled $20.2 million at March 31, 2015 compared with $19.6 million at December 31, 2014 and $30.8 million at March 31, 2014. United sold $1.11 million of foreclosed properties and added $459,000 in new foreclosures during the first quarter of 2015.</w:t>
      </w:r>
    </w:p>
    <w:p>
      <w:pPr>
        <w:spacing w:after="0" w:line="16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outstanding principal.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51" w:name="page52"/>
    <w:bookmarkEnd w:id="51"/>
    <w:p>
      <w:pPr>
        <w:spacing w:after="0"/>
        <w:rPr>
          <w:sz w:val="20"/>
          <w:szCs w:val="20"/>
          <w:color w:val="auto"/>
        </w:rPr>
      </w:pPr>
      <w:r>
        <w:rPr>
          <w:rFonts w:ascii="Arial" w:cs="Arial" w:eastAsia="Arial" w:hAnsi="Arial"/>
          <w:sz w:val="17"/>
          <w:szCs w:val="17"/>
          <w:color w:val="auto"/>
        </w:rPr>
        <w:t>The following table summarizes nonperforming assets by category and market.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10 - Nonperforming Assets by Quarter</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7"/>
                <w:szCs w:val="17"/>
                <w:b w:val="1"/>
                <w:bCs w:val="1"/>
                <w:color w:val="auto"/>
                <w:w w:val="92"/>
              </w:rPr>
              <w:t>March 31, 2015</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7"/>
                <w:szCs w:val="17"/>
                <w:b w:val="1"/>
                <w:bCs w:val="1"/>
                <w:color w:val="auto"/>
              </w:rPr>
              <w:t>December 31, 2014</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7"/>
                <w:szCs w:val="17"/>
                <w:b w:val="1"/>
                <w:bCs w:val="1"/>
                <w:color w:val="auto"/>
                <w:w w:val="94"/>
              </w:rPr>
              <w:t>March 31, 2014</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89"/>
        </w:trPr>
        <w:tc>
          <w:tcPr>
            <w:tcW w:w="2080" w:type="dxa"/>
            <w:vAlign w:val="bottom"/>
          </w:tcPr>
          <w:p>
            <w:pPr>
              <w:spacing w:after="0"/>
              <w:rPr>
                <w:sz w:val="16"/>
                <w:szCs w:val="16"/>
                <w:color w:val="auto"/>
              </w:rPr>
            </w:pPr>
          </w:p>
        </w:tc>
        <w:tc>
          <w:tcPr>
            <w:tcW w:w="1060" w:type="dxa"/>
            <w:vAlign w:val="bottom"/>
            <w:gridSpan w:val="3"/>
          </w:tcPr>
          <w:p>
            <w:pPr>
              <w:spacing w:after="0" w:line="189" w:lineRule="exact"/>
              <w:rPr>
                <w:sz w:val="20"/>
                <w:szCs w:val="20"/>
                <w:color w:val="auto"/>
              </w:rPr>
            </w:pPr>
            <w:r>
              <w:rPr>
                <w:rFonts w:ascii="Arial" w:cs="Arial" w:eastAsia="Arial" w:hAnsi="Arial"/>
                <w:sz w:val="17"/>
                <w:szCs w:val="17"/>
                <w:b w:val="1"/>
                <w:bCs w:val="1"/>
                <w:color w:val="auto"/>
              </w:rPr>
              <w:t>Nonaccrual</w:t>
            </w:r>
          </w:p>
        </w:tc>
        <w:tc>
          <w:tcPr>
            <w:tcW w:w="1080" w:type="dxa"/>
            <w:vAlign w:val="bottom"/>
            <w:tcBorders>
              <w:right w:val="single" w:sz="8" w:color="auto"/>
            </w:tcBorders>
            <w:gridSpan w:val="3"/>
          </w:tcPr>
          <w:p>
            <w:pPr>
              <w:jc w:val="right"/>
              <w:ind w:right="260"/>
              <w:spacing w:after="0" w:line="189" w:lineRule="exact"/>
              <w:rPr>
                <w:sz w:val="20"/>
                <w:szCs w:val="20"/>
                <w:color w:val="auto"/>
              </w:rPr>
            </w:pPr>
            <w:r>
              <w:rPr>
                <w:rFonts w:ascii="Arial" w:cs="Arial" w:eastAsia="Arial" w:hAnsi="Arial"/>
                <w:sz w:val="17"/>
                <w:szCs w:val="17"/>
                <w:b w:val="1"/>
                <w:bCs w:val="1"/>
                <w:color w:val="auto"/>
                <w:w w:val="88"/>
              </w:rPr>
              <w:t>Foreclosed</w:t>
            </w:r>
          </w:p>
        </w:tc>
        <w:tc>
          <w:tcPr>
            <w:tcW w:w="120" w:type="dxa"/>
            <w:vAlign w:val="bottom"/>
          </w:tcPr>
          <w:p>
            <w:pPr>
              <w:spacing w:after="0"/>
              <w:rPr>
                <w:sz w:val="16"/>
                <w:szCs w:val="16"/>
                <w:color w:val="auto"/>
              </w:rPr>
            </w:pPr>
          </w:p>
        </w:tc>
        <w:tc>
          <w:tcPr>
            <w:tcW w:w="5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w w:val="98"/>
              </w:rPr>
              <w:t>Total</w:t>
            </w:r>
          </w:p>
        </w:tc>
        <w:tc>
          <w:tcPr>
            <w:tcW w:w="240" w:type="dxa"/>
            <w:vAlign w:val="bottom"/>
            <w:tcBorders>
              <w:right w:val="single" w:sz="8" w:color="auto"/>
            </w:tcBorders>
          </w:tcPr>
          <w:p>
            <w:pPr>
              <w:spacing w:after="0"/>
              <w:rPr>
                <w:sz w:val="16"/>
                <w:szCs w:val="16"/>
                <w:color w:val="auto"/>
              </w:rPr>
            </w:pPr>
          </w:p>
        </w:tc>
        <w:tc>
          <w:tcPr>
            <w:tcW w:w="1100" w:type="dxa"/>
            <w:vAlign w:val="bottom"/>
            <w:gridSpan w:val="3"/>
          </w:tcPr>
          <w:p>
            <w:pPr>
              <w:ind w:left="20"/>
              <w:spacing w:after="0" w:line="189" w:lineRule="exact"/>
              <w:rPr>
                <w:sz w:val="20"/>
                <w:szCs w:val="20"/>
                <w:color w:val="auto"/>
              </w:rPr>
            </w:pPr>
            <w:r>
              <w:rPr>
                <w:rFonts w:ascii="Arial" w:cs="Arial" w:eastAsia="Arial" w:hAnsi="Arial"/>
                <w:sz w:val="17"/>
                <w:szCs w:val="17"/>
                <w:b w:val="1"/>
                <w:bCs w:val="1"/>
                <w:color w:val="auto"/>
              </w:rPr>
              <w:t>Nonaccrual</w:t>
            </w:r>
          </w:p>
        </w:tc>
        <w:tc>
          <w:tcPr>
            <w:tcW w:w="1080" w:type="dxa"/>
            <w:vAlign w:val="bottom"/>
            <w:tcBorders>
              <w:right w:val="single" w:sz="8" w:color="auto"/>
            </w:tcBorders>
            <w:gridSpan w:val="3"/>
          </w:tcPr>
          <w:p>
            <w:pPr>
              <w:jc w:val="right"/>
              <w:ind w:right="260"/>
              <w:spacing w:after="0" w:line="189" w:lineRule="exact"/>
              <w:rPr>
                <w:sz w:val="20"/>
                <w:szCs w:val="20"/>
                <w:color w:val="auto"/>
              </w:rPr>
            </w:pPr>
            <w:r>
              <w:rPr>
                <w:rFonts w:ascii="Arial" w:cs="Arial" w:eastAsia="Arial" w:hAnsi="Arial"/>
                <w:sz w:val="17"/>
                <w:szCs w:val="17"/>
                <w:b w:val="1"/>
                <w:bCs w:val="1"/>
                <w:color w:val="auto"/>
                <w:w w:val="88"/>
              </w:rPr>
              <w:t>Foreclosed</w:t>
            </w:r>
          </w:p>
        </w:tc>
        <w:tc>
          <w:tcPr>
            <w:tcW w:w="120" w:type="dxa"/>
            <w:vAlign w:val="bottom"/>
          </w:tcPr>
          <w:p>
            <w:pPr>
              <w:spacing w:after="0"/>
              <w:rPr>
                <w:sz w:val="16"/>
                <w:szCs w:val="16"/>
                <w:color w:val="auto"/>
              </w:rPr>
            </w:pPr>
          </w:p>
        </w:tc>
        <w:tc>
          <w:tcPr>
            <w:tcW w:w="6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Total</w:t>
            </w:r>
          </w:p>
        </w:tc>
        <w:tc>
          <w:tcPr>
            <w:tcW w:w="1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ind w:left="20"/>
              <w:spacing w:after="0" w:line="189" w:lineRule="exact"/>
              <w:rPr>
                <w:sz w:val="20"/>
                <w:szCs w:val="20"/>
                <w:color w:val="auto"/>
              </w:rPr>
            </w:pPr>
            <w:r>
              <w:rPr>
                <w:rFonts w:ascii="Arial" w:cs="Arial" w:eastAsia="Arial" w:hAnsi="Arial"/>
                <w:sz w:val="17"/>
                <w:szCs w:val="17"/>
                <w:b w:val="1"/>
                <w:bCs w:val="1"/>
                <w:color w:val="auto"/>
              </w:rPr>
              <w:t>Nonaccrual</w:t>
            </w:r>
          </w:p>
        </w:tc>
        <w:tc>
          <w:tcPr>
            <w:tcW w:w="1100" w:type="dxa"/>
            <w:vAlign w:val="bottom"/>
            <w:tcBorders>
              <w:right w:val="single" w:sz="8" w:color="auto"/>
            </w:tcBorders>
            <w:gridSpan w:val="3"/>
          </w:tcPr>
          <w:p>
            <w:pPr>
              <w:jc w:val="right"/>
              <w:ind w:right="280"/>
              <w:spacing w:after="0" w:line="189" w:lineRule="exact"/>
              <w:rPr>
                <w:sz w:val="20"/>
                <w:szCs w:val="20"/>
                <w:color w:val="auto"/>
              </w:rPr>
            </w:pPr>
            <w:r>
              <w:rPr>
                <w:rFonts w:ascii="Arial" w:cs="Arial" w:eastAsia="Arial" w:hAnsi="Arial"/>
                <w:sz w:val="17"/>
                <w:szCs w:val="17"/>
                <w:b w:val="1"/>
                <w:bCs w:val="1"/>
                <w:color w:val="auto"/>
                <w:w w:val="88"/>
              </w:rPr>
              <w:t>Foreclosed</w:t>
            </w:r>
          </w:p>
        </w:tc>
        <w:tc>
          <w:tcPr>
            <w:tcW w:w="120" w:type="dxa"/>
            <w:vAlign w:val="bottom"/>
          </w:tcPr>
          <w:p>
            <w:pPr>
              <w:spacing w:after="0"/>
              <w:rPr>
                <w:sz w:val="16"/>
                <w:szCs w:val="16"/>
                <w:color w:val="auto"/>
              </w:rPr>
            </w:pPr>
          </w:p>
        </w:tc>
        <w:tc>
          <w:tcPr>
            <w:tcW w:w="60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w w:val="98"/>
              </w:rPr>
              <w:t>Total</w:t>
            </w:r>
          </w:p>
        </w:tc>
        <w:tc>
          <w:tcPr>
            <w:tcW w:w="180" w:type="dxa"/>
            <w:vAlign w:val="bottom"/>
            <w:tcBorders>
              <w:right w:val="single" w:sz="8" w:color="auto"/>
            </w:tcBorders>
          </w:tcPr>
          <w:p>
            <w:pPr>
              <w:spacing w:after="0"/>
              <w:rPr>
                <w:sz w:val="16"/>
                <w:szCs w:val="16"/>
                <w:color w:val="auto"/>
              </w:rPr>
            </w:pPr>
          </w:p>
        </w:tc>
      </w:tr>
      <w:tr>
        <w:trPr>
          <w:trHeight w:val="227"/>
        </w:trPr>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35"/>
              <w:spacing w:after="0"/>
              <w:rPr>
                <w:sz w:val="20"/>
                <w:szCs w:val="20"/>
                <w:color w:val="auto"/>
              </w:rPr>
            </w:pPr>
            <w:r>
              <w:rPr>
                <w:rFonts w:ascii="Arial" w:cs="Arial" w:eastAsia="Arial" w:hAnsi="Arial"/>
                <w:sz w:val="17"/>
                <w:szCs w:val="17"/>
                <w:b w:val="1"/>
                <w:bCs w:val="1"/>
                <w:color w:val="auto"/>
                <w:w w:val="95"/>
              </w:rPr>
              <w:t>Loans</w:t>
            </w:r>
          </w:p>
        </w:tc>
        <w:tc>
          <w:tcPr>
            <w:tcW w:w="108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7"/>
                <w:szCs w:val="17"/>
                <w:b w:val="1"/>
                <w:bCs w:val="1"/>
                <w:color w:val="auto"/>
                <w:w w:val="92"/>
              </w:rPr>
              <w:t>Properties</w:t>
            </w:r>
          </w:p>
        </w:tc>
        <w:tc>
          <w:tcPr>
            <w:tcW w:w="12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7"/>
                <w:szCs w:val="17"/>
                <w:b w:val="1"/>
                <w:bCs w:val="1"/>
                <w:color w:val="auto"/>
                <w:w w:val="88"/>
              </w:rPr>
              <w:t>NPAs</w:t>
            </w:r>
          </w:p>
        </w:tc>
        <w:tc>
          <w:tcPr>
            <w:tcW w:w="160" w:type="dxa"/>
            <w:vAlign w:val="bottom"/>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w w:val="95"/>
              </w:rPr>
              <w:t>Loans</w:t>
            </w:r>
          </w:p>
        </w:tc>
        <w:tc>
          <w:tcPr>
            <w:tcW w:w="108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7"/>
                <w:szCs w:val="17"/>
                <w:b w:val="1"/>
                <w:bCs w:val="1"/>
                <w:color w:val="auto"/>
                <w:w w:val="92"/>
              </w:rPr>
              <w:t>Properties</w:t>
            </w:r>
          </w:p>
        </w:tc>
        <w:tc>
          <w:tcPr>
            <w:tcW w:w="12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7"/>
                <w:szCs w:val="17"/>
                <w:b w:val="1"/>
                <w:bCs w:val="1"/>
                <w:color w:val="auto"/>
                <w:w w:val="96"/>
              </w:rPr>
              <w:t>NPAs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55"/>
              <w:spacing w:after="0"/>
              <w:rPr>
                <w:sz w:val="20"/>
                <w:szCs w:val="20"/>
                <w:color w:val="auto"/>
              </w:rPr>
            </w:pPr>
            <w:r>
              <w:rPr>
                <w:rFonts w:ascii="Arial" w:cs="Arial" w:eastAsia="Arial" w:hAnsi="Arial"/>
                <w:sz w:val="17"/>
                <w:szCs w:val="17"/>
                <w:b w:val="1"/>
                <w:bCs w:val="1"/>
                <w:color w:val="auto"/>
                <w:w w:val="95"/>
              </w:rPr>
              <w:t>Loans</w:t>
            </w:r>
          </w:p>
        </w:tc>
        <w:tc>
          <w:tcPr>
            <w:tcW w:w="110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7"/>
                <w:szCs w:val="17"/>
                <w:b w:val="1"/>
                <w:bCs w:val="1"/>
                <w:color w:val="auto"/>
                <w:w w:val="92"/>
              </w:rPr>
              <w:t>Properties</w:t>
            </w:r>
          </w:p>
        </w:tc>
        <w:tc>
          <w:tcPr>
            <w:tcW w:w="120" w:type="dxa"/>
            <w:vAlign w:val="bottom"/>
          </w:tcPr>
          <w:p>
            <w:pPr>
              <w:spacing w:after="0"/>
              <w:rPr>
                <w:sz w:val="19"/>
                <w:szCs w:val="19"/>
                <w:color w:val="auto"/>
              </w:rPr>
            </w:pPr>
          </w:p>
        </w:tc>
        <w:tc>
          <w:tcPr>
            <w:tcW w:w="7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7"/>
                <w:szCs w:val="17"/>
                <w:b w:val="1"/>
                <w:bCs w:val="1"/>
                <w:color w:val="auto"/>
                <w:w w:val="92"/>
              </w:rPr>
              <w:t>NPAs</w:t>
            </w:r>
          </w:p>
        </w:tc>
      </w:tr>
      <w:tr>
        <w:trPr>
          <w:trHeight w:val="205"/>
        </w:trPr>
        <w:tc>
          <w:tcPr>
            <w:tcW w:w="208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7"/>
                <w:szCs w:val="17"/>
                <w:b w:val="1"/>
                <w:bCs w:val="1"/>
                <w:color w:val="auto"/>
              </w:rPr>
              <w:t>BY CATEGORY</w:t>
            </w:r>
          </w:p>
        </w:tc>
        <w:tc>
          <w:tcPr>
            <w:tcW w:w="140" w:type="dxa"/>
            <w:vAlign w:val="bottom"/>
            <w:tcBorders>
              <w:top w:val="single" w:sz="8" w:color="auto"/>
            </w:tcBorders>
            <w:shd w:val="clear" w:color="auto" w:fill="F0FFFF"/>
          </w:tcPr>
          <w:p>
            <w:pPr>
              <w:spacing w:after="0"/>
              <w:rPr>
                <w:sz w:val="17"/>
                <w:szCs w:val="17"/>
                <w:color w:val="auto"/>
              </w:rPr>
            </w:pPr>
          </w:p>
        </w:tc>
        <w:tc>
          <w:tcPr>
            <w:tcW w:w="70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80" w:type="dxa"/>
            <w:vAlign w:val="bottom"/>
            <w:tcBorders>
              <w:top w:val="single" w:sz="8" w:color="auto"/>
            </w:tcBorders>
            <w:shd w:val="clear" w:color="auto" w:fill="F0FFFF"/>
          </w:tcPr>
          <w:p>
            <w:pPr>
              <w:spacing w:after="0"/>
              <w:rPr>
                <w:sz w:val="17"/>
                <w:szCs w:val="17"/>
                <w:color w:val="auto"/>
              </w:rPr>
            </w:pPr>
          </w:p>
        </w:tc>
        <w:tc>
          <w:tcPr>
            <w:tcW w:w="560" w:type="dxa"/>
            <w:vAlign w:val="bottom"/>
            <w:tcBorders>
              <w:top w:val="single" w:sz="8" w:color="auto"/>
            </w:tcBorders>
            <w:shd w:val="clear" w:color="auto" w:fill="F0FFFF"/>
          </w:tcPr>
          <w:p>
            <w:pPr>
              <w:spacing w:after="0"/>
              <w:rPr>
                <w:sz w:val="17"/>
                <w:szCs w:val="17"/>
                <w:color w:val="auto"/>
              </w:rPr>
            </w:pPr>
          </w:p>
        </w:tc>
        <w:tc>
          <w:tcPr>
            <w:tcW w:w="240" w:type="dxa"/>
            <w:vAlign w:val="bottom"/>
            <w:tcBorders>
              <w:right w:val="single" w:sz="8" w:color="auto"/>
            </w:tcBorders>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580" w:type="dxa"/>
            <w:vAlign w:val="bottom"/>
            <w:tcBorders>
              <w:top w:val="single" w:sz="8" w:color="auto"/>
            </w:tcBorders>
            <w:shd w:val="clear" w:color="auto" w:fill="F0FFFF"/>
          </w:tcPr>
          <w:p>
            <w:pPr>
              <w:spacing w:after="0"/>
              <w:rPr>
                <w:sz w:val="17"/>
                <w:szCs w:val="17"/>
                <w:color w:val="auto"/>
              </w:rPr>
            </w:pPr>
          </w:p>
        </w:tc>
        <w:tc>
          <w:tcPr>
            <w:tcW w:w="240" w:type="dxa"/>
            <w:vAlign w:val="bottom"/>
            <w:tcBorders>
              <w:right w:val="single" w:sz="8" w:color="auto"/>
            </w:tcBorders>
            <w:shd w:val="clear" w:color="auto" w:fill="F0FFFF"/>
          </w:tcPr>
          <w:p>
            <w:pPr>
              <w:spacing w:after="0"/>
              <w:rPr>
                <w:sz w:val="17"/>
                <w:szCs w:val="17"/>
                <w:color w:val="auto"/>
              </w:rPr>
            </w:pPr>
          </w:p>
        </w:tc>
        <w:tc>
          <w:tcPr>
            <w:tcW w:w="160" w:type="dxa"/>
            <w:vAlign w:val="bottom"/>
            <w:tcBorders>
              <w:top w:val="single" w:sz="8" w:color="auto"/>
            </w:tcBorders>
            <w:shd w:val="clear" w:color="auto" w:fill="F0FFFF"/>
          </w:tcPr>
          <w:p>
            <w:pPr>
              <w:spacing w:after="0"/>
              <w:rPr>
                <w:sz w:val="17"/>
                <w:szCs w:val="17"/>
                <w:color w:val="auto"/>
              </w:rPr>
            </w:pPr>
          </w:p>
        </w:tc>
        <w:tc>
          <w:tcPr>
            <w:tcW w:w="700" w:type="dxa"/>
            <w:vAlign w:val="bottom"/>
            <w:tcBorders>
              <w:top w:val="single" w:sz="8" w:color="auto"/>
            </w:tcBorders>
            <w:shd w:val="clear" w:color="auto" w:fill="F0FFFF"/>
          </w:tcPr>
          <w:p>
            <w:pPr>
              <w:spacing w:after="0"/>
              <w:rPr>
                <w:sz w:val="17"/>
                <w:szCs w:val="17"/>
                <w:color w:val="auto"/>
              </w:rPr>
            </w:pPr>
          </w:p>
        </w:tc>
        <w:tc>
          <w:tcPr>
            <w:tcW w:w="240" w:type="dxa"/>
            <w:vAlign w:val="bottom"/>
            <w:tcBorders>
              <w:right w:val="single" w:sz="8" w:color="F0FFFF"/>
            </w:tcBorders>
            <w:shd w:val="clear" w:color="auto" w:fill="F0FFFF"/>
          </w:tcPr>
          <w:p>
            <w:pPr>
              <w:spacing w:after="0"/>
              <w:rPr>
                <w:sz w:val="17"/>
                <w:szCs w:val="17"/>
                <w:color w:val="auto"/>
              </w:rPr>
            </w:pPr>
          </w:p>
        </w:tc>
        <w:tc>
          <w:tcPr>
            <w:tcW w:w="280" w:type="dxa"/>
            <w:vAlign w:val="bottom"/>
            <w:tcBorders>
              <w:top w:val="single" w:sz="8" w:color="auto"/>
            </w:tcBorders>
            <w:shd w:val="clear" w:color="auto" w:fill="F0FFFF"/>
          </w:tcPr>
          <w:p>
            <w:pPr>
              <w:spacing w:after="0"/>
              <w:rPr>
                <w:sz w:val="17"/>
                <w:szCs w:val="17"/>
                <w:color w:val="auto"/>
              </w:rPr>
            </w:pPr>
          </w:p>
        </w:tc>
        <w:tc>
          <w:tcPr>
            <w:tcW w:w="560" w:type="dxa"/>
            <w:vAlign w:val="bottom"/>
            <w:tcBorders>
              <w:top w:val="single" w:sz="8" w:color="auto"/>
            </w:tcBorders>
            <w:shd w:val="clear" w:color="auto" w:fill="F0FFFF"/>
          </w:tcPr>
          <w:p>
            <w:pPr>
              <w:spacing w:after="0"/>
              <w:rPr>
                <w:sz w:val="17"/>
                <w:szCs w:val="17"/>
                <w:color w:val="auto"/>
              </w:rPr>
            </w:pPr>
          </w:p>
        </w:tc>
        <w:tc>
          <w:tcPr>
            <w:tcW w:w="240" w:type="dxa"/>
            <w:vAlign w:val="bottom"/>
            <w:tcBorders>
              <w:right w:val="single" w:sz="8" w:color="auto"/>
            </w:tcBorders>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600" w:type="dxa"/>
            <w:vAlign w:val="bottom"/>
            <w:tcBorders>
              <w:top w:val="single" w:sz="8" w:color="auto"/>
            </w:tcBorders>
            <w:shd w:val="clear" w:color="auto" w:fill="F0FFFF"/>
          </w:tcPr>
          <w:p>
            <w:pPr>
              <w:spacing w:after="0"/>
              <w:rPr>
                <w:sz w:val="17"/>
                <w:szCs w:val="17"/>
                <w:color w:val="auto"/>
              </w:rPr>
            </w:pPr>
          </w:p>
        </w:tc>
        <w:tc>
          <w:tcPr>
            <w:tcW w:w="180" w:type="dxa"/>
            <w:vAlign w:val="bottom"/>
            <w:tcBorders>
              <w:right w:val="single" w:sz="8" w:color="auto"/>
            </w:tcBorders>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60" w:type="dxa"/>
            <w:vAlign w:val="bottom"/>
            <w:tcBorders>
              <w:top w:val="single" w:sz="8" w:color="auto"/>
            </w:tcBorders>
            <w:shd w:val="clear" w:color="auto" w:fill="F0FFFF"/>
          </w:tcPr>
          <w:p>
            <w:pPr>
              <w:spacing w:after="0"/>
              <w:rPr>
                <w:sz w:val="17"/>
                <w:szCs w:val="17"/>
                <w:color w:val="auto"/>
              </w:rPr>
            </w:pPr>
          </w:p>
        </w:tc>
        <w:tc>
          <w:tcPr>
            <w:tcW w:w="720" w:type="dxa"/>
            <w:vAlign w:val="bottom"/>
            <w:tcBorders>
              <w:top w:val="single" w:sz="8" w:color="auto"/>
            </w:tcBorders>
            <w:shd w:val="clear" w:color="auto" w:fill="F0FFFF"/>
          </w:tcPr>
          <w:p>
            <w:pPr>
              <w:spacing w:after="0"/>
              <w:rPr>
                <w:sz w:val="17"/>
                <w:szCs w:val="17"/>
                <w:color w:val="auto"/>
              </w:rPr>
            </w:pPr>
          </w:p>
        </w:tc>
        <w:tc>
          <w:tcPr>
            <w:tcW w:w="220" w:type="dxa"/>
            <w:vAlign w:val="bottom"/>
            <w:tcBorders>
              <w:right w:val="single" w:sz="8" w:color="F0FFFF"/>
            </w:tcBorders>
            <w:shd w:val="clear" w:color="auto" w:fill="F0FFFF"/>
          </w:tcPr>
          <w:p>
            <w:pPr>
              <w:spacing w:after="0"/>
              <w:rPr>
                <w:sz w:val="17"/>
                <w:szCs w:val="17"/>
                <w:color w:val="auto"/>
              </w:rPr>
            </w:pPr>
          </w:p>
        </w:tc>
        <w:tc>
          <w:tcPr>
            <w:tcW w:w="280" w:type="dxa"/>
            <w:vAlign w:val="bottom"/>
            <w:tcBorders>
              <w:top w:val="single" w:sz="8" w:color="auto"/>
            </w:tcBorders>
            <w:shd w:val="clear" w:color="auto" w:fill="F0FFFF"/>
          </w:tcPr>
          <w:p>
            <w:pPr>
              <w:spacing w:after="0"/>
              <w:rPr>
                <w:sz w:val="17"/>
                <w:szCs w:val="17"/>
                <w:color w:val="auto"/>
              </w:rPr>
            </w:pPr>
          </w:p>
        </w:tc>
        <w:tc>
          <w:tcPr>
            <w:tcW w:w="580" w:type="dxa"/>
            <w:vAlign w:val="bottom"/>
            <w:tcBorders>
              <w:top w:val="single" w:sz="8" w:color="auto"/>
            </w:tcBorders>
            <w:shd w:val="clear" w:color="auto" w:fill="F0FFFF"/>
          </w:tcPr>
          <w:p>
            <w:pPr>
              <w:spacing w:after="0"/>
              <w:rPr>
                <w:sz w:val="17"/>
                <w:szCs w:val="17"/>
                <w:color w:val="auto"/>
              </w:rPr>
            </w:pPr>
          </w:p>
        </w:tc>
        <w:tc>
          <w:tcPr>
            <w:tcW w:w="240" w:type="dxa"/>
            <w:vAlign w:val="bottom"/>
            <w:tcBorders>
              <w:right w:val="single" w:sz="8" w:color="auto"/>
            </w:tcBorders>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600" w:type="dxa"/>
            <w:vAlign w:val="bottom"/>
            <w:tcBorders>
              <w:top w:val="single" w:sz="8" w:color="auto"/>
            </w:tcBorders>
            <w:shd w:val="clear" w:color="auto" w:fill="F0FFFF"/>
          </w:tcPr>
          <w:p>
            <w:pPr>
              <w:spacing w:after="0"/>
              <w:rPr>
                <w:sz w:val="17"/>
                <w:szCs w:val="17"/>
                <w:color w:val="auto"/>
              </w:rPr>
            </w:pPr>
          </w:p>
        </w:tc>
        <w:tc>
          <w:tcPr>
            <w:tcW w:w="180" w:type="dxa"/>
            <w:vAlign w:val="bottom"/>
            <w:tcBorders>
              <w:right w:val="single" w:sz="8" w:color="auto"/>
            </w:tcBorders>
            <w:shd w:val="clear" w:color="auto" w:fill="F0FFFF"/>
          </w:tcPr>
          <w:p>
            <w:pPr>
              <w:spacing w:after="0"/>
              <w:rPr>
                <w:sz w:val="17"/>
                <w:szCs w:val="17"/>
                <w:color w:val="auto"/>
              </w:rPr>
            </w:pPr>
          </w:p>
        </w:tc>
      </w:tr>
      <w:tr>
        <w:trPr>
          <w:trHeight w:val="193"/>
        </w:trPr>
        <w:tc>
          <w:tcPr>
            <w:tcW w:w="2080" w:type="dxa"/>
            <w:vAlign w:val="bottom"/>
          </w:tcPr>
          <w:p>
            <w:pPr>
              <w:spacing w:after="0" w:line="193" w:lineRule="exact"/>
              <w:rPr>
                <w:sz w:val="20"/>
                <w:szCs w:val="20"/>
                <w:color w:val="auto"/>
              </w:rPr>
            </w:pPr>
            <w:r>
              <w:rPr>
                <w:rFonts w:ascii="Arial" w:cs="Arial" w:eastAsia="Arial" w:hAnsi="Arial"/>
                <w:sz w:val="17"/>
                <w:szCs w:val="17"/>
                <w:color w:val="auto"/>
                <w:w w:val="95"/>
              </w:rPr>
              <w:t>Owner occupied commercial</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r>
      <w:tr>
        <w:trPr>
          <w:trHeight w:val="217"/>
        </w:trPr>
        <w:tc>
          <w:tcPr>
            <w:tcW w:w="2080" w:type="dxa"/>
            <w:vAlign w:val="bottom"/>
          </w:tcPr>
          <w:p>
            <w:pPr>
              <w:ind w:left="160"/>
              <w:spacing w:after="0"/>
              <w:rPr>
                <w:sz w:val="20"/>
                <w:szCs w:val="20"/>
                <w:color w:val="auto"/>
              </w:rPr>
            </w:pPr>
            <w:r>
              <w:rPr>
                <w:rFonts w:ascii="Arial" w:cs="Arial" w:eastAsia="Arial" w:hAnsi="Arial"/>
                <w:sz w:val="17"/>
                <w:szCs w:val="17"/>
                <w:color w:val="auto"/>
              </w:rPr>
              <w:t>real estate</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35"/>
              <w:spacing w:after="0"/>
              <w:rPr>
                <w:sz w:val="20"/>
                <w:szCs w:val="20"/>
                <w:color w:val="auto"/>
              </w:rPr>
            </w:pPr>
            <w:r>
              <w:rPr>
                <w:rFonts w:ascii="Arial" w:cs="Arial" w:eastAsia="Arial" w:hAnsi="Arial"/>
                <w:sz w:val="17"/>
                <w:szCs w:val="17"/>
                <w:color w:val="auto"/>
              </w:rPr>
              <w:t>4,360</w:t>
            </w: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173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4,533</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4,133</w:t>
            </w: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355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4,488</w:t>
            </w:r>
          </w:p>
        </w:tc>
        <w:tc>
          <w:tcPr>
            <w:tcW w:w="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35"/>
              <w:spacing w:after="0"/>
              <w:rPr>
                <w:sz w:val="20"/>
                <w:szCs w:val="20"/>
                <w:color w:val="auto"/>
              </w:rPr>
            </w:pPr>
            <w:r>
              <w:rPr>
                <w:rFonts w:ascii="Arial" w:cs="Arial" w:eastAsia="Arial" w:hAnsi="Arial"/>
                <w:sz w:val="17"/>
                <w:szCs w:val="17"/>
                <w:color w:val="auto"/>
              </w:rPr>
              <w:t>3,868</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1,167</w:t>
            </w:r>
          </w:p>
        </w:tc>
        <w:tc>
          <w:tcPr>
            <w:tcW w:w="240" w:type="dxa"/>
            <w:vAlign w:val="bottom"/>
            <w:tcBorders>
              <w:right w:val="single" w:sz="8" w:color="auto"/>
            </w:tcBorders>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5,035</w:t>
            </w:r>
          </w:p>
        </w:tc>
      </w:tr>
      <w:tr>
        <w:trPr>
          <w:trHeight w:val="193"/>
        </w:trPr>
        <w:tc>
          <w:tcPr>
            <w:tcW w:w="2080" w:type="dxa"/>
            <w:vAlign w:val="bottom"/>
            <w:tcBorders>
              <w:right w:val="single" w:sz="8" w:color="F0FFFF"/>
            </w:tcBorders>
            <w:shd w:val="clear" w:color="auto" w:fill="F0FFFF"/>
          </w:tcPr>
          <w:p>
            <w:pPr>
              <w:spacing w:after="0" w:line="194" w:lineRule="exact"/>
              <w:rPr>
                <w:sz w:val="20"/>
                <w:szCs w:val="20"/>
                <w:color w:val="auto"/>
              </w:rPr>
            </w:pPr>
            <w:r>
              <w:rPr>
                <w:rFonts w:ascii="Arial" w:cs="Arial" w:eastAsia="Arial" w:hAnsi="Arial"/>
                <w:sz w:val="17"/>
                <w:szCs w:val="17"/>
                <w:color w:val="auto"/>
              </w:rPr>
              <w:t>Income producing</w:t>
            </w:r>
          </w:p>
        </w:tc>
        <w:tc>
          <w:tcPr>
            <w:tcW w:w="140" w:type="dxa"/>
            <w:vAlign w:val="bottom"/>
            <w:shd w:val="clear" w:color="auto" w:fill="F0FFFF"/>
          </w:tcPr>
          <w:p>
            <w:pPr>
              <w:spacing w:after="0"/>
              <w:rPr>
                <w:sz w:val="16"/>
                <w:szCs w:val="16"/>
                <w:color w:val="auto"/>
              </w:rPr>
            </w:pPr>
          </w:p>
        </w:tc>
        <w:tc>
          <w:tcPr>
            <w:tcW w:w="7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560" w:type="dxa"/>
            <w:vAlign w:val="bottom"/>
            <w:shd w:val="clear" w:color="auto" w:fill="F0FFFF"/>
          </w:tcPr>
          <w:p>
            <w:pPr>
              <w:spacing w:after="0"/>
              <w:rPr>
                <w:sz w:val="16"/>
                <w:szCs w:val="16"/>
                <w:color w:val="auto"/>
              </w:rPr>
            </w:pPr>
          </w:p>
        </w:tc>
        <w:tc>
          <w:tcPr>
            <w:tcW w:w="240" w:type="dxa"/>
            <w:vAlign w:val="bottom"/>
            <w:tcBorders>
              <w:right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580" w:type="dxa"/>
            <w:vAlign w:val="bottom"/>
            <w:shd w:val="clear" w:color="auto" w:fill="F0FFFF"/>
          </w:tcPr>
          <w:p>
            <w:pPr>
              <w:spacing w:after="0"/>
              <w:rPr>
                <w:sz w:val="16"/>
                <w:szCs w:val="16"/>
                <w:color w:val="auto"/>
              </w:rPr>
            </w:pPr>
          </w:p>
        </w:tc>
        <w:tc>
          <w:tcPr>
            <w:tcW w:w="240" w:type="dxa"/>
            <w:vAlign w:val="bottom"/>
            <w:tcBorders>
              <w:right w:val="single" w:sz="8" w:color="auto"/>
            </w:tcBorders>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00" w:type="dxa"/>
            <w:vAlign w:val="bottom"/>
            <w:shd w:val="clear" w:color="auto" w:fill="F0FFFF"/>
          </w:tcPr>
          <w:p>
            <w:pPr>
              <w:spacing w:after="0"/>
              <w:rPr>
                <w:sz w:val="16"/>
                <w:szCs w:val="16"/>
                <w:color w:val="auto"/>
              </w:rPr>
            </w:pPr>
          </w:p>
        </w:tc>
        <w:tc>
          <w:tcPr>
            <w:tcW w:w="240" w:type="dxa"/>
            <w:vAlign w:val="bottom"/>
            <w:tcBorders>
              <w:right w:val="single" w:sz="8" w:color="F0FFFF"/>
            </w:tcBorders>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560" w:type="dxa"/>
            <w:vAlign w:val="bottom"/>
            <w:shd w:val="clear" w:color="auto" w:fill="F0FFFF"/>
          </w:tcPr>
          <w:p>
            <w:pPr>
              <w:spacing w:after="0"/>
              <w:rPr>
                <w:sz w:val="16"/>
                <w:szCs w:val="16"/>
                <w:color w:val="auto"/>
              </w:rPr>
            </w:pPr>
          </w:p>
        </w:tc>
        <w:tc>
          <w:tcPr>
            <w:tcW w:w="240" w:type="dxa"/>
            <w:vAlign w:val="bottom"/>
            <w:tcBorders>
              <w:right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600" w:type="dxa"/>
            <w:vAlign w:val="bottom"/>
            <w:shd w:val="clear" w:color="auto" w:fill="F0FFFF"/>
          </w:tcPr>
          <w:p>
            <w:pPr>
              <w:spacing w:after="0"/>
              <w:rPr>
                <w:sz w:val="16"/>
                <w:szCs w:val="16"/>
                <w:color w:val="auto"/>
              </w:rPr>
            </w:pPr>
          </w:p>
        </w:tc>
        <w:tc>
          <w:tcPr>
            <w:tcW w:w="180" w:type="dxa"/>
            <w:vAlign w:val="bottom"/>
            <w:tcBorders>
              <w:right w:val="single" w:sz="8" w:color="auto"/>
            </w:tcBorders>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20" w:type="dxa"/>
            <w:vAlign w:val="bottom"/>
            <w:shd w:val="clear" w:color="auto" w:fill="F0FFFF"/>
          </w:tcPr>
          <w:p>
            <w:pPr>
              <w:spacing w:after="0"/>
              <w:rPr>
                <w:sz w:val="16"/>
                <w:szCs w:val="16"/>
                <w:color w:val="auto"/>
              </w:rPr>
            </w:pPr>
          </w:p>
        </w:tc>
        <w:tc>
          <w:tcPr>
            <w:tcW w:w="220" w:type="dxa"/>
            <w:vAlign w:val="bottom"/>
            <w:tcBorders>
              <w:right w:val="single" w:sz="8" w:color="F0FFFF"/>
            </w:tcBorders>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580" w:type="dxa"/>
            <w:vAlign w:val="bottom"/>
            <w:shd w:val="clear" w:color="auto" w:fill="F0FFFF"/>
          </w:tcPr>
          <w:p>
            <w:pPr>
              <w:spacing w:after="0"/>
              <w:rPr>
                <w:sz w:val="16"/>
                <w:szCs w:val="16"/>
                <w:color w:val="auto"/>
              </w:rPr>
            </w:pPr>
          </w:p>
        </w:tc>
        <w:tc>
          <w:tcPr>
            <w:tcW w:w="240" w:type="dxa"/>
            <w:vAlign w:val="bottom"/>
            <w:tcBorders>
              <w:right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600" w:type="dxa"/>
            <w:vAlign w:val="bottom"/>
            <w:shd w:val="clear" w:color="auto" w:fill="F0FFFF"/>
          </w:tcPr>
          <w:p>
            <w:pPr>
              <w:spacing w:after="0"/>
              <w:rPr>
                <w:sz w:val="16"/>
                <w:szCs w:val="16"/>
                <w:color w:val="auto"/>
              </w:rPr>
            </w:pPr>
          </w:p>
        </w:tc>
        <w:tc>
          <w:tcPr>
            <w:tcW w:w="180" w:type="dxa"/>
            <w:vAlign w:val="bottom"/>
            <w:tcBorders>
              <w:right w:val="single" w:sz="8" w:color="auto"/>
            </w:tcBorders>
            <w:shd w:val="clear" w:color="auto" w:fill="F0FFFF"/>
          </w:tcPr>
          <w:p>
            <w:pPr>
              <w:spacing w:after="0"/>
              <w:rPr>
                <w:sz w:val="16"/>
                <w:szCs w:val="16"/>
                <w:color w:val="auto"/>
              </w:rPr>
            </w:pPr>
          </w:p>
        </w:tc>
      </w:tr>
      <w:tr>
        <w:trPr>
          <w:trHeight w:val="218"/>
        </w:trPr>
        <w:tc>
          <w:tcPr>
            <w:tcW w:w="2080" w:type="dxa"/>
            <w:vAlign w:val="bottom"/>
            <w:tcBorders>
              <w:right w:val="single" w:sz="8" w:color="F0FFFF"/>
            </w:tcBorders>
            <w:shd w:val="clear" w:color="auto" w:fill="F0FFFF"/>
          </w:tcPr>
          <w:p>
            <w:pPr>
              <w:ind w:left="160"/>
              <w:spacing w:after="0"/>
              <w:rPr>
                <w:sz w:val="20"/>
                <w:szCs w:val="20"/>
                <w:color w:val="auto"/>
              </w:rPr>
            </w:pPr>
            <w:r>
              <w:rPr>
                <w:rFonts w:ascii="Arial" w:cs="Arial" w:eastAsia="Arial" w:hAnsi="Arial"/>
                <w:sz w:val="17"/>
                <w:szCs w:val="17"/>
                <w:color w:val="auto"/>
              </w:rPr>
              <w:t>commercial real estate</w:t>
            </w:r>
          </w:p>
        </w:tc>
        <w:tc>
          <w:tcPr>
            <w:tcW w:w="1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35"/>
              <w:spacing w:after="0"/>
              <w:rPr>
                <w:sz w:val="20"/>
                <w:szCs w:val="20"/>
                <w:color w:val="auto"/>
              </w:rPr>
            </w:pPr>
            <w:r>
              <w:rPr>
                <w:rFonts w:ascii="Arial" w:cs="Arial" w:eastAsia="Arial" w:hAnsi="Arial"/>
                <w:sz w:val="17"/>
                <w:szCs w:val="17"/>
                <w:color w:val="auto"/>
              </w:rPr>
              <w:t>835</w:t>
            </w:r>
          </w:p>
        </w:tc>
        <w:tc>
          <w:tcPr>
            <w:tcW w:w="280" w:type="dxa"/>
            <w:vAlign w:val="bottom"/>
            <w:shd w:val="clear" w:color="auto" w:fill="F0FFFF"/>
          </w:tcPr>
          <w:p>
            <w:pPr>
              <w:spacing w:after="0"/>
              <w:rPr>
                <w:sz w:val="18"/>
                <w:szCs w:val="18"/>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20" w:type="dxa"/>
            <w:vAlign w:val="bottom"/>
            <w:tcBorders>
              <w:right w:val="single" w:sz="8" w:color="auto"/>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835</w:t>
            </w:r>
          </w:p>
        </w:tc>
        <w:tc>
          <w:tcPr>
            <w:tcW w:w="160" w:type="dxa"/>
            <w:vAlign w:val="bottom"/>
            <w:shd w:val="clear" w:color="auto" w:fill="F0FFFF"/>
          </w:tcPr>
          <w:p>
            <w:pPr>
              <w:spacing w:after="0"/>
              <w:rPr>
                <w:sz w:val="18"/>
                <w:szCs w:val="18"/>
                <w:color w:val="auto"/>
              </w:rPr>
            </w:pPr>
          </w:p>
        </w:tc>
        <w:tc>
          <w:tcPr>
            <w:tcW w:w="94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717</w:t>
            </w:r>
          </w:p>
        </w:tc>
        <w:tc>
          <w:tcPr>
            <w:tcW w:w="280" w:type="dxa"/>
            <w:vAlign w:val="bottom"/>
            <w:shd w:val="clear" w:color="auto" w:fill="F0FFFF"/>
          </w:tcPr>
          <w:p>
            <w:pPr>
              <w:spacing w:after="0"/>
              <w:rPr>
                <w:sz w:val="18"/>
                <w:szCs w:val="18"/>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717</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40" w:type="dxa"/>
            <w:vAlign w:val="bottom"/>
            <w:tcBorders>
              <w:right w:val="single" w:sz="8" w:color="F0FFFF"/>
            </w:tcBorders>
            <w:gridSpan w:val="2"/>
            <w:shd w:val="clear" w:color="auto" w:fill="F0FFFF"/>
          </w:tcPr>
          <w:p>
            <w:pPr>
              <w:jc w:val="right"/>
              <w:ind w:right="135"/>
              <w:spacing w:after="0"/>
              <w:rPr>
                <w:sz w:val="20"/>
                <w:szCs w:val="20"/>
                <w:color w:val="auto"/>
              </w:rPr>
            </w:pPr>
            <w:r>
              <w:rPr>
                <w:rFonts w:ascii="Arial" w:cs="Arial" w:eastAsia="Arial" w:hAnsi="Arial"/>
                <w:sz w:val="17"/>
                <w:szCs w:val="17"/>
                <w:color w:val="auto"/>
              </w:rPr>
              <w:t>1,278</w:t>
            </w:r>
          </w:p>
        </w:tc>
        <w:tc>
          <w:tcPr>
            <w:tcW w:w="280" w:type="dxa"/>
            <w:vAlign w:val="bottom"/>
            <w:shd w:val="clear" w:color="auto" w:fill="F0FFFF"/>
          </w:tcPr>
          <w:p>
            <w:pPr>
              <w:spacing w:after="0"/>
              <w:rPr>
                <w:sz w:val="18"/>
                <w:szCs w:val="18"/>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1,645</w:t>
            </w:r>
          </w:p>
        </w:tc>
        <w:tc>
          <w:tcPr>
            <w:tcW w:w="240" w:type="dxa"/>
            <w:vAlign w:val="bottom"/>
            <w:tcBorders>
              <w:right w:val="single" w:sz="8" w:color="auto"/>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2,923</w:t>
            </w:r>
          </w:p>
        </w:tc>
      </w:tr>
      <w:tr>
        <w:trPr>
          <w:trHeight w:val="205"/>
        </w:trPr>
        <w:tc>
          <w:tcPr>
            <w:tcW w:w="2080" w:type="dxa"/>
            <w:vAlign w:val="bottom"/>
          </w:tcPr>
          <w:p>
            <w:pPr>
              <w:spacing w:after="0"/>
              <w:rPr>
                <w:sz w:val="20"/>
                <w:szCs w:val="20"/>
                <w:color w:val="auto"/>
              </w:rPr>
            </w:pPr>
            <w:r>
              <w:rPr>
                <w:rFonts w:ascii="Arial" w:cs="Arial" w:eastAsia="Arial" w:hAnsi="Arial"/>
                <w:sz w:val="17"/>
                <w:szCs w:val="17"/>
                <w:color w:val="auto"/>
              </w:rPr>
              <w:t>Commercial &amp; industrial</w:t>
            </w:r>
          </w:p>
        </w:tc>
        <w:tc>
          <w:tcPr>
            <w:tcW w:w="140" w:type="dxa"/>
            <w:vAlign w:val="bottom"/>
          </w:tcPr>
          <w:p>
            <w:pPr>
              <w:spacing w:after="0"/>
              <w:rPr>
                <w:sz w:val="17"/>
                <w:szCs w:val="17"/>
                <w:color w:val="auto"/>
              </w:rPr>
            </w:pPr>
          </w:p>
        </w:tc>
        <w:tc>
          <w:tcPr>
            <w:tcW w:w="920" w:type="dxa"/>
            <w:vAlign w:val="bottom"/>
            <w:gridSpan w:val="2"/>
          </w:tcPr>
          <w:p>
            <w:pPr>
              <w:jc w:val="right"/>
              <w:ind w:right="135"/>
              <w:spacing w:after="0"/>
              <w:rPr>
                <w:sz w:val="20"/>
                <w:szCs w:val="20"/>
                <w:color w:val="auto"/>
              </w:rPr>
            </w:pPr>
            <w:r>
              <w:rPr>
                <w:rFonts w:ascii="Arial" w:cs="Arial" w:eastAsia="Arial" w:hAnsi="Arial"/>
                <w:sz w:val="17"/>
                <w:szCs w:val="17"/>
                <w:color w:val="auto"/>
              </w:rPr>
              <w:t>1,629</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1,629</w:t>
            </w:r>
          </w:p>
        </w:tc>
        <w:tc>
          <w:tcPr>
            <w:tcW w:w="16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1,571</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1,571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35"/>
              <w:spacing w:after="0"/>
              <w:rPr>
                <w:sz w:val="20"/>
                <w:szCs w:val="20"/>
                <w:color w:val="auto"/>
              </w:rPr>
            </w:pPr>
            <w:r>
              <w:rPr>
                <w:rFonts w:ascii="Arial" w:cs="Arial" w:eastAsia="Arial" w:hAnsi="Arial"/>
                <w:sz w:val="17"/>
                <w:szCs w:val="17"/>
                <w:color w:val="auto"/>
              </w:rPr>
              <w:t>822</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822</w:t>
            </w:r>
          </w:p>
        </w:tc>
      </w:tr>
      <w:tr>
        <w:trPr>
          <w:trHeight w:val="205"/>
        </w:trPr>
        <w:tc>
          <w:tcPr>
            <w:tcW w:w="208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7"/>
                <w:szCs w:val="17"/>
                <w:color w:val="auto"/>
              </w:rPr>
              <w:t>Commercial construction</w:t>
            </w:r>
          </w:p>
        </w:tc>
        <w:tc>
          <w:tcPr>
            <w:tcW w:w="14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135"/>
              <w:spacing w:after="0"/>
              <w:rPr>
                <w:sz w:val="20"/>
                <w:szCs w:val="20"/>
                <w:color w:val="auto"/>
              </w:rPr>
            </w:pPr>
            <w:r>
              <w:rPr>
                <w:rFonts w:ascii="Arial" w:cs="Arial" w:eastAsia="Arial" w:hAnsi="Arial"/>
                <w:sz w:val="17"/>
                <w:szCs w:val="17"/>
                <w:color w:val="auto"/>
              </w:rPr>
              <w:t>60</w:t>
            </w:r>
          </w:p>
        </w:tc>
        <w:tc>
          <w:tcPr>
            <w:tcW w:w="280" w:type="dxa"/>
            <w:vAlign w:val="bottom"/>
            <w:shd w:val="clear" w:color="auto" w:fill="F0FFFF"/>
          </w:tcPr>
          <w:p>
            <w:pPr>
              <w:spacing w:after="0"/>
              <w:rPr>
                <w:sz w:val="17"/>
                <w:szCs w:val="17"/>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20" w:type="dxa"/>
            <w:vAlign w:val="bottom"/>
            <w:tcBorders>
              <w:right w:val="single" w:sz="8" w:color="auto"/>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60</w:t>
            </w:r>
          </w:p>
        </w:tc>
        <w:tc>
          <w:tcPr>
            <w:tcW w:w="160" w:type="dxa"/>
            <w:vAlign w:val="bottom"/>
            <w:shd w:val="clear" w:color="auto" w:fill="F0FFFF"/>
          </w:tcPr>
          <w:p>
            <w:pPr>
              <w:spacing w:after="0"/>
              <w:rPr>
                <w:sz w:val="17"/>
                <w:szCs w:val="17"/>
                <w:color w:val="auto"/>
              </w:rPr>
            </w:pPr>
          </w:p>
        </w:tc>
        <w:tc>
          <w:tcPr>
            <w:tcW w:w="94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83</w:t>
            </w:r>
          </w:p>
        </w:tc>
        <w:tc>
          <w:tcPr>
            <w:tcW w:w="280" w:type="dxa"/>
            <w:vAlign w:val="bottom"/>
            <w:shd w:val="clear" w:color="auto" w:fill="F0FFFF"/>
          </w:tcPr>
          <w:p>
            <w:pPr>
              <w:spacing w:after="0"/>
              <w:rPr>
                <w:sz w:val="17"/>
                <w:szCs w:val="17"/>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15</w:t>
            </w:r>
          </w:p>
        </w:tc>
        <w:tc>
          <w:tcPr>
            <w:tcW w:w="240" w:type="dxa"/>
            <w:vAlign w:val="bottom"/>
            <w:tcBorders>
              <w:right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8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98</w:t>
            </w: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40" w:type="dxa"/>
            <w:vAlign w:val="bottom"/>
            <w:tcBorders>
              <w:right w:val="single" w:sz="8" w:color="F0FFFF"/>
            </w:tcBorders>
            <w:gridSpan w:val="2"/>
            <w:shd w:val="clear" w:color="auto" w:fill="F0FFFF"/>
          </w:tcPr>
          <w:p>
            <w:pPr>
              <w:jc w:val="right"/>
              <w:ind w:right="135"/>
              <w:spacing w:after="0"/>
              <w:rPr>
                <w:sz w:val="20"/>
                <w:szCs w:val="20"/>
                <w:color w:val="auto"/>
              </w:rPr>
            </w:pPr>
            <w:r>
              <w:rPr>
                <w:rFonts w:ascii="Arial" w:cs="Arial" w:eastAsia="Arial" w:hAnsi="Arial"/>
                <w:sz w:val="17"/>
                <w:szCs w:val="17"/>
                <w:color w:val="auto"/>
              </w:rPr>
              <w:t>479</w:t>
            </w:r>
          </w:p>
        </w:tc>
        <w:tc>
          <w:tcPr>
            <w:tcW w:w="280" w:type="dxa"/>
            <w:vAlign w:val="bottom"/>
            <w:shd w:val="clear" w:color="auto" w:fill="F0FFFF"/>
          </w:tcPr>
          <w:p>
            <w:pPr>
              <w:spacing w:after="0"/>
              <w:rPr>
                <w:sz w:val="17"/>
                <w:szCs w:val="17"/>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8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479</w:t>
            </w:r>
          </w:p>
        </w:tc>
      </w:tr>
      <w:tr>
        <w:trPr>
          <w:trHeight w:val="205"/>
        </w:trPr>
        <w:tc>
          <w:tcPr>
            <w:tcW w:w="2080" w:type="dxa"/>
            <w:vAlign w:val="bottom"/>
          </w:tcPr>
          <w:p>
            <w:pPr>
              <w:ind w:left="220"/>
              <w:spacing w:after="0"/>
              <w:rPr>
                <w:sz w:val="20"/>
                <w:szCs w:val="20"/>
                <w:color w:val="auto"/>
              </w:rPr>
            </w:pPr>
            <w:r>
              <w:rPr>
                <w:rFonts w:ascii="Arial" w:cs="Arial" w:eastAsia="Arial" w:hAnsi="Arial"/>
                <w:sz w:val="17"/>
                <w:szCs w:val="17"/>
                <w:color w:val="auto"/>
              </w:rPr>
              <w:t>Total commercial</w:t>
            </w:r>
          </w:p>
        </w:tc>
        <w:tc>
          <w:tcPr>
            <w:tcW w:w="140" w:type="dxa"/>
            <w:vAlign w:val="bottom"/>
          </w:tcPr>
          <w:p>
            <w:pPr>
              <w:spacing w:after="0"/>
              <w:rPr>
                <w:sz w:val="17"/>
                <w:szCs w:val="17"/>
                <w:color w:val="auto"/>
              </w:rPr>
            </w:pPr>
          </w:p>
        </w:tc>
        <w:tc>
          <w:tcPr>
            <w:tcW w:w="920" w:type="dxa"/>
            <w:vAlign w:val="bottom"/>
            <w:gridSpan w:val="2"/>
          </w:tcPr>
          <w:p>
            <w:pPr>
              <w:jc w:val="right"/>
              <w:ind w:right="135"/>
              <w:spacing w:after="0"/>
              <w:rPr>
                <w:sz w:val="20"/>
                <w:szCs w:val="20"/>
                <w:color w:val="auto"/>
              </w:rPr>
            </w:pPr>
            <w:r>
              <w:rPr>
                <w:rFonts w:ascii="Arial" w:cs="Arial" w:eastAsia="Arial" w:hAnsi="Arial"/>
                <w:sz w:val="17"/>
                <w:szCs w:val="17"/>
                <w:color w:val="auto"/>
              </w:rPr>
              <w:t>6,884</w:t>
            </w:r>
          </w:p>
        </w:tc>
        <w:tc>
          <w:tcPr>
            <w:tcW w:w="2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173</w:t>
            </w:r>
          </w:p>
        </w:tc>
        <w:tc>
          <w:tcPr>
            <w:tcW w:w="12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7,057</w:t>
            </w:r>
          </w:p>
        </w:tc>
        <w:tc>
          <w:tcPr>
            <w:tcW w:w="16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6,504</w:t>
            </w:r>
          </w:p>
        </w:tc>
        <w:tc>
          <w:tcPr>
            <w:tcW w:w="2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370</w:t>
            </w:r>
          </w:p>
        </w:tc>
        <w:tc>
          <w:tcPr>
            <w:tcW w:w="12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6,874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35"/>
              <w:spacing w:after="0"/>
              <w:rPr>
                <w:sz w:val="20"/>
                <w:szCs w:val="20"/>
                <w:color w:val="auto"/>
              </w:rPr>
            </w:pPr>
            <w:r>
              <w:rPr>
                <w:rFonts w:ascii="Arial" w:cs="Arial" w:eastAsia="Arial" w:hAnsi="Arial"/>
                <w:sz w:val="17"/>
                <w:szCs w:val="17"/>
                <w:color w:val="auto"/>
              </w:rPr>
              <w:t>6,447</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2,812</w:t>
            </w:r>
          </w:p>
        </w:tc>
        <w:tc>
          <w:tcPr>
            <w:tcW w:w="2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9,259</w:t>
            </w:r>
          </w:p>
        </w:tc>
      </w:tr>
      <w:tr>
        <w:trPr>
          <w:trHeight w:val="205"/>
        </w:trPr>
        <w:tc>
          <w:tcPr>
            <w:tcW w:w="208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7"/>
                <w:szCs w:val="17"/>
                <w:color w:val="auto"/>
              </w:rPr>
              <w:t>Residential mortgage</w:t>
            </w:r>
          </w:p>
        </w:tc>
        <w:tc>
          <w:tcPr>
            <w:tcW w:w="14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135"/>
              <w:spacing w:after="0"/>
              <w:rPr>
                <w:sz w:val="20"/>
                <w:szCs w:val="20"/>
                <w:color w:val="auto"/>
              </w:rPr>
            </w:pPr>
            <w:r>
              <w:rPr>
                <w:rFonts w:ascii="Arial" w:cs="Arial" w:eastAsia="Arial" w:hAnsi="Arial"/>
                <w:sz w:val="17"/>
                <w:szCs w:val="17"/>
                <w:color w:val="auto"/>
              </w:rPr>
              <w:t>8,669</w:t>
            </w:r>
          </w:p>
        </w:tc>
        <w:tc>
          <w:tcPr>
            <w:tcW w:w="280" w:type="dxa"/>
            <w:vAlign w:val="bottom"/>
            <w:shd w:val="clear" w:color="auto" w:fill="F0FFFF"/>
          </w:tcPr>
          <w:p>
            <w:pPr>
              <w:spacing w:after="0"/>
              <w:rPr>
                <w:sz w:val="17"/>
                <w:szCs w:val="17"/>
                <w:color w:val="auto"/>
              </w:rPr>
            </w:pPr>
          </w:p>
        </w:tc>
        <w:tc>
          <w:tcPr>
            <w:tcW w:w="800" w:type="dxa"/>
            <w:vAlign w:val="bottom"/>
            <w:tcBorders>
              <w:right w:val="single" w:sz="8" w:color="auto"/>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796</w:t>
            </w:r>
          </w:p>
        </w:tc>
        <w:tc>
          <w:tcPr>
            <w:tcW w:w="120" w:type="dxa"/>
            <w:vAlign w:val="bottom"/>
            <w:shd w:val="clear" w:color="auto" w:fill="F0FFFF"/>
          </w:tcPr>
          <w:p>
            <w:pPr>
              <w:spacing w:after="0"/>
              <w:rPr>
                <w:sz w:val="17"/>
                <w:szCs w:val="17"/>
                <w:color w:val="auto"/>
              </w:rPr>
            </w:pPr>
          </w:p>
        </w:tc>
        <w:tc>
          <w:tcPr>
            <w:tcW w:w="820" w:type="dxa"/>
            <w:vAlign w:val="bottom"/>
            <w:tcBorders>
              <w:right w:val="single" w:sz="8" w:color="auto"/>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9,465</w:t>
            </w:r>
          </w:p>
        </w:tc>
        <w:tc>
          <w:tcPr>
            <w:tcW w:w="160" w:type="dxa"/>
            <w:vAlign w:val="bottom"/>
            <w:shd w:val="clear" w:color="auto" w:fill="F0FFFF"/>
          </w:tcPr>
          <w:p>
            <w:pPr>
              <w:spacing w:after="0"/>
              <w:rPr>
                <w:sz w:val="17"/>
                <w:szCs w:val="17"/>
                <w:color w:val="auto"/>
              </w:rPr>
            </w:pPr>
          </w:p>
        </w:tc>
        <w:tc>
          <w:tcPr>
            <w:tcW w:w="94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8,196</w:t>
            </w:r>
          </w:p>
        </w:tc>
        <w:tc>
          <w:tcPr>
            <w:tcW w:w="280" w:type="dxa"/>
            <w:vAlign w:val="bottom"/>
            <w:shd w:val="clear" w:color="auto" w:fill="F0FFFF"/>
          </w:tcPr>
          <w:p>
            <w:pPr>
              <w:spacing w:after="0"/>
              <w:rPr>
                <w:sz w:val="17"/>
                <w:szCs w:val="17"/>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1,183</w:t>
            </w:r>
          </w:p>
        </w:tc>
        <w:tc>
          <w:tcPr>
            <w:tcW w:w="240" w:type="dxa"/>
            <w:vAlign w:val="bottom"/>
            <w:tcBorders>
              <w:right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8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9,379</w:t>
            </w: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40" w:type="dxa"/>
            <w:vAlign w:val="bottom"/>
            <w:tcBorders>
              <w:right w:val="single" w:sz="8" w:color="F0FFFF"/>
            </w:tcBorders>
            <w:gridSpan w:val="2"/>
            <w:shd w:val="clear" w:color="auto" w:fill="F0FFFF"/>
          </w:tcPr>
          <w:p>
            <w:pPr>
              <w:jc w:val="right"/>
              <w:ind w:right="135"/>
              <w:spacing w:after="0"/>
              <w:rPr>
                <w:sz w:val="20"/>
                <w:szCs w:val="20"/>
                <w:color w:val="auto"/>
              </w:rPr>
            </w:pPr>
            <w:r>
              <w:rPr>
                <w:rFonts w:ascii="Arial" w:cs="Arial" w:eastAsia="Arial" w:hAnsi="Arial"/>
                <w:sz w:val="17"/>
                <w:szCs w:val="17"/>
                <w:color w:val="auto"/>
              </w:rPr>
              <w:t>13,307</w:t>
            </w:r>
          </w:p>
        </w:tc>
        <w:tc>
          <w:tcPr>
            <w:tcW w:w="280" w:type="dxa"/>
            <w:vAlign w:val="bottom"/>
            <w:shd w:val="clear" w:color="auto" w:fill="F0FFFF"/>
          </w:tcPr>
          <w:p>
            <w:pPr>
              <w:spacing w:after="0"/>
              <w:rPr>
                <w:sz w:val="17"/>
                <w:szCs w:val="17"/>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2,146</w:t>
            </w:r>
          </w:p>
        </w:tc>
        <w:tc>
          <w:tcPr>
            <w:tcW w:w="240" w:type="dxa"/>
            <w:vAlign w:val="bottom"/>
            <w:tcBorders>
              <w:right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8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15,453</w:t>
            </w:r>
          </w:p>
        </w:tc>
      </w:tr>
      <w:tr>
        <w:trPr>
          <w:trHeight w:val="205"/>
        </w:trPr>
        <w:tc>
          <w:tcPr>
            <w:tcW w:w="2080" w:type="dxa"/>
            <w:vAlign w:val="bottom"/>
          </w:tcPr>
          <w:p>
            <w:pPr>
              <w:spacing w:after="0"/>
              <w:rPr>
                <w:sz w:val="20"/>
                <w:szCs w:val="20"/>
                <w:color w:val="auto"/>
              </w:rPr>
            </w:pPr>
            <w:r>
              <w:rPr>
                <w:rFonts w:ascii="Arial" w:cs="Arial" w:eastAsia="Arial" w:hAnsi="Arial"/>
                <w:sz w:val="17"/>
                <w:szCs w:val="17"/>
                <w:color w:val="auto"/>
              </w:rPr>
              <w:t>Home equity</w:t>
            </w:r>
          </w:p>
        </w:tc>
        <w:tc>
          <w:tcPr>
            <w:tcW w:w="140" w:type="dxa"/>
            <w:vAlign w:val="bottom"/>
          </w:tcPr>
          <w:p>
            <w:pPr>
              <w:spacing w:after="0"/>
              <w:rPr>
                <w:sz w:val="17"/>
                <w:szCs w:val="17"/>
                <w:color w:val="auto"/>
              </w:rPr>
            </w:pPr>
          </w:p>
        </w:tc>
        <w:tc>
          <w:tcPr>
            <w:tcW w:w="920" w:type="dxa"/>
            <w:vAlign w:val="bottom"/>
            <w:gridSpan w:val="2"/>
          </w:tcPr>
          <w:p>
            <w:pPr>
              <w:jc w:val="right"/>
              <w:ind w:right="135"/>
              <w:spacing w:after="0"/>
              <w:rPr>
                <w:sz w:val="20"/>
                <w:szCs w:val="20"/>
                <w:color w:val="auto"/>
              </w:rPr>
            </w:pPr>
            <w:r>
              <w:rPr>
                <w:rFonts w:ascii="Arial" w:cs="Arial" w:eastAsia="Arial" w:hAnsi="Arial"/>
                <w:sz w:val="17"/>
                <w:szCs w:val="17"/>
                <w:color w:val="auto"/>
              </w:rPr>
              <w:t>693</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50</w:t>
            </w:r>
          </w:p>
        </w:tc>
        <w:tc>
          <w:tcPr>
            <w:tcW w:w="2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743</w:t>
            </w:r>
          </w:p>
        </w:tc>
        <w:tc>
          <w:tcPr>
            <w:tcW w:w="16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695</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40</w:t>
            </w:r>
          </w:p>
        </w:tc>
        <w:tc>
          <w:tcPr>
            <w:tcW w:w="2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735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35"/>
              <w:spacing w:after="0"/>
              <w:rPr>
                <w:sz w:val="20"/>
                <w:szCs w:val="20"/>
                <w:color w:val="auto"/>
              </w:rPr>
            </w:pPr>
            <w:r>
              <w:rPr>
                <w:rFonts w:ascii="Arial" w:cs="Arial" w:eastAsia="Arial" w:hAnsi="Arial"/>
                <w:sz w:val="17"/>
                <w:szCs w:val="17"/>
                <w:color w:val="auto"/>
              </w:rPr>
              <w:t>1,106</w:t>
            </w:r>
          </w:p>
        </w:tc>
        <w:tc>
          <w:tcPr>
            <w:tcW w:w="2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362</w:t>
            </w:r>
          </w:p>
        </w:tc>
        <w:tc>
          <w:tcPr>
            <w:tcW w:w="12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1,468</w:t>
            </w:r>
          </w:p>
        </w:tc>
      </w:tr>
      <w:tr>
        <w:trPr>
          <w:trHeight w:val="205"/>
        </w:trPr>
        <w:tc>
          <w:tcPr>
            <w:tcW w:w="208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7"/>
                <w:szCs w:val="17"/>
                <w:color w:val="auto"/>
              </w:rPr>
              <w:t>Residential construction</w:t>
            </w:r>
          </w:p>
        </w:tc>
        <w:tc>
          <w:tcPr>
            <w:tcW w:w="14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135"/>
              <w:spacing w:after="0"/>
              <w:rPr>
                <w:sz w:val="20"/>
                <w:szCs w:val="20"/>
                <w:color w:val="auto"/>
              </w:rPr>
            </w:pPr>
            <w:r>
              <w:rPr>
                <w:rFonts w:ascii="Arial" w:cs="Arial" w:eastAsia="Arial" w:hAnsi="Arial"/>
                <w:sz w:val="17"/>
                <w:szCs w:val="17"/>
                <w:color w:val="auto"/>
              </w:rPr>
              <w:t>2,127</w:t>
            </w:r>
          </w:p>
        </w:tc>
        <w:tc>
          <w:tcPr>
            <w:tcW w:w="280" w:type="dxa"/>
            <w:vAlign w:val="bottom"/>
            <w:shd w:val="clear" w:color="auto" w:fill="F0FFFF"/>
          </w:tcPr>
          <w:p>
            <w:pPr>
              <w:spacing w:after="0"/>
              <w:rPr>
                <w:sz w:val="17"/>
                <w:szCs w:val="17"/>
                <w:color w:val="auto"/>
              </w:rPr>
            </w:pPr>
          </w:p>
        </w:tc>
        <w:tc>
          <w:tcPr>
            <w:tcW w:w="800" w:type="dxa"/>
            <w:vAlign w:val="bottom"/>
            <w:tcBorders>
              <w:right w:val="single" w:sz="8" w:color="auto"/>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139</w:t>
            </w:r>
          </w:p>
        </w:tc>
        <w:tc>
          <w:tcPr>
            <w:tcW w:w="120" w:type="dxa"/>
            <w:vAlign w:val="bottom"/>
            <w:shd w:val="clear" w:color="auto" w:fill="F0FFFF"/>
          </w:tcPr>
          <w:p>
            <w:pPr>
              <w:spacing w:after="0"/>
              <w:rPr>
                <w:sz w:val="17"/>
                <w:szCs w:val="17"/>
                <w:color w:val="auto"/>
              </w:rPr>
            </w:pPr>
          </w:p>
        </w:tc>
        <w:tc>
          <w:tcPr>
            <w:tcW w:w="820" w:type="dxa"/>
            <w:vAlign w:val="bottom"/>
            <w:tcBorders>
              <w:right w:val="single" w:sz="8" w:color="auto"/>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2,266</w:t>
            </w:r>
          </w:p>
        </w:tc>
        <w:tc>
          <w:tcPr>
            <w:tcW w:w="160" w:type="dxa"/>
            <w:vAlign w:val="bottom"/>
            <w:shd w:val="clear" w:color="auto" w:fill="F0FFFF"/>
          </w:tcPr>
          <w:p>
            <w:pPr>
              <w:spacing w:after="0"/>
              <w:rPr>
                <w:sz w:val="17"/>
                <w:szCs w:val="17"/>
                <w:color w:val="auto"/>
              </w:rPr>
            </w:pPr>
          </w:p>
        </w:tc>
        <w:tc>
          <w:tcPr>
            <w:tcW w:w="94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2,006</w:t>
            </w:r>
          </w:p>
        </w:tc>
        <w:tc>
          <w:tcPr>
            <w:tcW w:w="280" w:type="dxa"/>
            <w:vAlign w:val="bottom"/>
            <w:shd w:val="clear" w:color="auto" w:fill="F0FFFF"/>
          </w:tcPr>
          <w:p>
            <w:pPr>
              <w:spacing w:after="0"/>
              <w:rPr>
                <w:sz w:val="17"/>
                <w:szCs w:val="17"/>
                <w:color w:val="auto"/>
              </w:rPr>
            </w:pPr>
          </w:p>
        </w:tc>
        <w:tc>
          <w:tcPr>
            <w:tcW w:w="800" w:type="dxa"/>
            <w:vAlign w:val="bottom"/>
            <w:tcBorders>
              <w:right w:val="single" w:sz="8" w:color="auto"/>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133</w:t>
            </w:r>
          </w:p>
        </w:tc>
        <w:tc>
          <w:tcPr>
            <w:tcW w:w="120" w:type="dxa"/>
            <w:vAlign w:val="bottom"/>
            <w:shd w:val="clear" w:color="auto" w:fill="F0FFFF"/>
          </w:tcPr>
          <w:p>
            <w:pPr>
              <w:spacing w:after="0"/>
              <w:rPr>
                <w:sz w:val="17"/>
                <w:szCs w:val="17"/>
                <w:color w:val="auto"/>
              </w:rPr>
            </w:pPr>
          </w:p>
        </w:tc>
        <w:tc>
          <w:tcPr>
            <w:tcW w:w="78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2,139</w:t>
            </w: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40" w:type="dxa"/>
            <w:vAlign w:val="bottom"/>
            <w:tcBorders>
              <w:right w:val="single" w:sz="8" w:color="F0FFFF"/>
            </w:tcBorders>
            <w:gridSpan w:val="2"/>
            <w:shd w:val="clear" w:color="auto" w:fill="F0FFFF"/>
          </w:tcPr>
          <w:p>
            <w:pPr>
              <w:jc w:val="right"/>
              <w:ind w:right="135"/>
              <w:spacing w:after="0"/>
              <w:rPr>
                <w:sz w:val="20"/>
                <w:szCs w:val="20"/>
                <w:color w:val="auto"/>
              </w:rPr>
            </w:pPr>
            <w:r>
              <w:rPr>
                <w:rFonts w:ascii="Arial" w:cs="Arial" w:eastAsia="Arial" w:hAnsi="Arial"/>
                <w:sz w:val="17"/>
                <w:szCs w:val="17"/>
                <w:color w:val="auto"/>
              </w:rPr>
              <w:t>3,805</w:t>
            </w:r>
          </w:p>
        </w:tc>
        <w:tc>
          <w:tcPr>
            <w:tcW w:w="280" w:type="dxa"/>
            <w:vAlign w:val="bottom"/>
            <w:shd w:val="clear" w:color="auto" w:fill="F0FFFF"/>
          </w:tcPr>
          <w:p>
            <w:pPr>
              <w:spacing w:after="0"/>
              <w:rPr>
                <w:sz w:val="17"/>
                <w:szCs w:val="17"/>
                <w:color w:val="auto"/>
              </w:rPr>
            </w:pPr>
          </w:p>
        </w:tc>
        <w:tc>
          <w:tcPr>
            <w:tcW w:w="820" w:type="dxa"/>
            <w:vAlign w:val="bottom"/>
            <w:tcBorders>
              <w:right w:val="single" w:sz="8" w:color="auto"/>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274</w:t>
            </w:r>
          </w:p>
        </w:tc>
        <w:tc>
          <w:tcPr>
            <w:tcW w:w="120" w:type="dxa"/>
            <w:vAlign w:val="bottom"/>
            <w:shd w:val="clear" w:color="auto" w:fill="F0FFFF"/>
          </w:tcPr>
          <w:p>
            <w:pPr>
              <w:spacing w:after="0"/>
              <w:rPr>
                <w:sz w:val="17"/>
                <w:szCs w:val="17"/>
                <w:color w:val="auto"/>
              </w:rPr>
            </w:pPr>
          </w:p>
        </w:tc>
        <w:tc>
          <w:tcPr>
            <w:tcW w:w="78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4,079</w:t>
            </w:r>
          </w:p>
        </w:tc>
      </w:tr>
      <w:tr>
        <w:trPr>
          <w:trHeight w:val="205"/>
        </w:trPr>
        <w:tc>
          <w:tcPr>
            <w:tcW w:w="2080" w:type="dxa"/>
            <w:vAlign w:val="bottom"/>
          </w:tcPr>
          <w:p>
            <w:pPr>
              <w:spacing w:after="0"/>
              <w:rPr>
                <w:sz w:val="20"/>
                <w:szCs w:val="20"/>
                <w:color w:val="auto"/>
              </w:rPr>
            </w:pPr>
            <w:r>
              <w:rPr>
                <w:rFonts w:ascii="Arial" w:cs="Arial" w:eastAsia="Arial" w:hAnsi="Arial"/>
                <w:sz w:val="17"/>
                <w:szCs w:val="17"/>
                <w:color w:val="auto"/>
              </w:rPr>
              <w:t>Consumer installment</w:t>
            </w:r>
          </w:p>
        </w:tc>
        <w:tc>
          <w:tcPr>
            <w:tcW w:w="140" w:type="dxa"/>
            <w:vAlign w:val="bottom"/>
          </w:tcPr>
          <w:p>
            <w:pPr>
              <w:spacing w:after="0"/>
              <w:rPr>
                <w:sz w:val="17"/>
                <w:szCs w:val="17"/>
                <w:color w:val="auto"/>
              </w:rPr>
            </w:pPr>
          </w:p>
        </w:tc>
        <w:tc>
          <w:tcPr>
            <w:tcW w:w="920" w:type="dxa"/>
            <w:vAlign w:val="bottom"/>
            <w:gridSpan w:val="2"/>
          </w:tcPr>
          <w:p>
            <w:pPr>
              <w:jc w:val="right"/>
              <w:ind w:right="135"/>
              <w:spacing w:after="0"/>
              <w:rPr>
                <w:sz w:val="20"/>
                <w:szCs w:val="20"/>
                <w:color w:val="auto"/>
              </w:rPr>
            </w:pPr>
            <w:r>
              <w:rPr>
                <w:rFonts w:ascii="Arial" w:cs="Arial" w:eastAsia="Arial" w:hAnsi="Arial"/>
                <w:sz w:val="17"/>
                <w:szCs w:val="17"/>
                <w:color w:val="auto"/>
              </w:rPr>
              <w:t>142</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142</w:t>
            </w:r>
          </w:p>
        </w:tc>
        <w:tc>
          <w:tcPr>
            <w:tcW w:w="16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134</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134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35"/>
              <w:spacing w:after="0"/>
              <w:rPr>
                <w:sz w:val="20"/>
                <w:szCs w:val="20"/>
                <w:color w:val="auto"/>
              </w:rPr>
            </w:pPr>
            <w:r>
              <w:rPr>
                <w:rFonts w:ascii="Arial" w:cs="Arial" w:eastAsia="Arial" w:hAnsi="Arial"/>
                <w:sz w:val="17"/>
                <w:szCs w:val="17"/>
                <w:color w:val="auto"/>
              </w:rPr>
              <w:t>291</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291</w:t>
            </w:r>
          </w:p>
        </w:tc>
      </w:tr>
      <w:tr>
        <w:trPr>
          <w:trHeight w:val="205"/>
        </w:trPr>
        <w:tc>
          <w:tcPr>
            <w:tcW w:w="208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7"/>
                <w:szCs w:val="17"/>
                <w:color w:val="auto"/>
              </w:rPr>
              <w:t>Indirect auto</w:t>
            </w:r>
          </w:p>
        </w:tc>
        <w:tc>
          <w:tcPr>
            <w:tcW w:w="14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135"/>
              <w:spacing w:after="0"/>
              <w:rPr>
                <w:sz w:val="20"/>
                <w:szCs w:val="20"/>
                <w:color w:val="auto"/>
              </w:rPr>
            </w:pPr>
            <w:r>
              <w:rPr>
                <w:rFonts w:ascii="Arial" w:cs="Arial" w:eastAsia="Arial" w:hAnsi="Arial"/>
                <w:sz w:val="17"/>
                <w:szCs w:val="17"/>
                <w:color w:val="auto"/>
              </w:rPr>
              <w:t>500</w:t>
            </w:r>
          </w:p>
        </w:tc>
        <w:tc>
          <w:tcPr>
            <w:tcW w:w="280" w:type="dxa"/>
            <w:vAlign w:val="bottom"/>
            <w:shd w:val="clear" w:color="auto" w:fill="F0FFFF"/>
          </w:tcPr>
          <w:p>
            <w:pPr>
              <w:spacing w:after="0"/>
              <w:rPr>
                <w:sz w:val="17"/>
                <w:szCs w:val="17"/>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20" w:type="dxa"/>
            <w:vAlign w:val="bottom"/>
            <w:tcBorders>
              <w:right w:val="single" w:sz="8" w:color="auto"/>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500</w:t>
            </w:r>
          </w:p>
        </w:tc>
        <w:tc>
          <w:tcPr>
            <w:tcW w:w="160" w:type="dxa"/>
            <w:vAlign w:val="bottom"/>
            <w:shd w:val="clear" w:color="auto" w:fill="F0FFFF"/>
          </w:tcPr>
          <w:p>
            <w:pPr>
              <w:spacing w:after="0"/>
              <w:rPr>
                <w:sz w:val="17"/>
                <w:szCs w:val="17"/>
                <w:color w:val="auto"/>
              </w:rPr>
            </w:pPr>
          </w:p>
        </w:tc>
        <w:tc>
          <w:tcPr>
            <w:tcW w:w="94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346</w:t>
            </w:r>
          </w:p>
        </w:tc>
        <w:tc>
          <w:tcPr>
            <w:tcW w:w="280" w:type="dxa"/>
            <w:vAlign w:val="bottom"/>
            <w:shd w:val="clear" w:color="auto" w:fill="F0FFFF"/>
          </w:tcPr>
          <w:p>
            <w:pPr>
              <w:spacing w:after="0"/>
              <w:rPr>
                <w:sz w:val="17"/>
                <w:szCs w:val="17"/>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8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346</w:t>
            </w: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40" w:type="dxa"/>
            <w:vAlign w:val="bottom"/>
            <w:tcBorders>
              <w:right w:val="single" w:sz="8" w:color="F0FFFF"/>
            </w:tcBorders>
            <w:gridSpan w:val="2"/>
            <w:shd w:val="clear" w:color="auto" w:fill="F0FFFF"/>
          </w:tcPr>
          <w:p>
            <w:pPr>
              <w:jc w:val="right"/>
              <w:ind w:right="135"/>
              <w:spacing w:after="0"/>
              <w:rPr>
                <w:sz w:val="20"/>
                <w:szCs w:val="20"/>
                <w:color w:val="auto"/>
              </w:rPr>
            </w:pPr>
            <w:r>
              <w:rPr>
                <w:rFonts w:ascii="Arial" w:cs="Arial" w:eastAsia="Arial" w:hAnsi="Arial"/>
                <w:sz w:val="17"/>
                <w:szCs w:val="17"/>
                <w:color w:val="auto"/>
              </w:rPr>
              <w:t>294</w:t>
            </w:r>
          </w:p>
        </w:tc>
        <w:tc>
          <w:tcPr>
            <w:tcW w:w="280" w:type="dxa"/>
            <w:vAlign w:val="bottom"/>
            <w:shd w:val="clear" w:color="auto" w:fill="F0FFFF"/>
          </w:tcPr>
          <w:p>
            <w:pPr>
              <w:spacing w:after="0"/>
              <w:rPr>
                <w:sz w:val="17"/>
                <w:szCs w:val="17"/>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8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294</w:t>
            </w:r>
          </w:p>
        </w:tc>
      </w:tr>
      <w:tr>
        <w:trPr>
          <w:trHeight w:val="26"/>
        </w:trPr>
        <w:tc>
          <w:tcPr>
            <w:tcW w:w="2080" w:type="dxa"/>
            <w:vAlign w:val="bottom"/>
            <w:tcBorders>
              <w:right w:val="single" w:sz="8" w:color="F0FFFF"/>
            </w:tcBorders>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F0FFFF"/>
          </w:tcPr>
          <w:p>
            <w:pPr>
              <w:spacing w:after="0"/>
              <w:rPr>
                <w:sz w:val="2"/>
                <w:szCs w:val="2"/>
                <w:color w:val="auto"/>
              </w:rPr>
            </w:pPr>
          </w:p>
        </w:tc>
      </w:tr>
      <w:tr>
        <w:trPr>
          <w:trHeight w:val="205"/>
        </w:trPr>
        <w:tc>
          <w:tcPr>
            <w:tcW w:w="2080" w:type="dxa"/>
            <w:vAlign w:val="bottom"/>
          </w:tcPr>
          <w:p>
            <w:pPr>
              <w:ind w:left="220"/>
              <w:spacing w:after="0"/>
              <w:rPr>
                <w:sz w:val="20"/>
                <w:szCs w:val="20"/>
                <w:color w:val="auto"/>
              </w:rPr>
            </w:pPr>
            <w:r>
              <w:rPr>
                <w:rFonts w:ascii="Arial" w:cs="Arial" w:eastAsia="Arial" w:hAnsi="Arial"/>
                <w:sz w:val="17"/>
                <w:szCs w:val="17"/>
                <w:b w:val="1"/>
                <w:bCs w:val="1"/>
                <w:color w:val="auto"/>
              </w:rPr>
              <w:t>Total NPAs</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35"/>
              <w:spacing w:after="0"/>
              <w:rPr>
                <w:sz w:val="20"/>
                <w:szCs w:val="20"/>
                <w:color w:val="auto"/>
              </w:rPr>
            </w:pPr>
            <w:r>
              <w:rPr>
                <w:rFonts w:ascii="Arial" w:cs="Arial" w:eastAsia="Arial" w:hAnsi="Arial"/>
                <w:sz w:val="17"/>
                <w:szCs w:val="17"/>
                <w:color w:val="auto"/>
              </w:rPr>
              <w:t>19,015</w:t>
            </w: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1,158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20,173</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17,881</w:t>
            </w: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1,726</w:t>
            </w:r>
          </w:p>
        </w:tc>
        <w:tc>
          <w:tcPr>
            <w:tcW w:w="240" w:type="dxa"/>
            <w:vAlign w:val="bottom"/>
            <w:tcBorders>
              <w:right w:val="single" w:sz="8" w:color="auto"/>
            </w:tcBorders>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19,607</w:t>
            </w:r>
          </w:p>
        </w:tc>
        <w:tc>
          <w:tcPr>
            <w:tcW w:w="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35"/>
              <w:spacing w:after="0"/>
              <w:rPr>
                <w:sz w:val="20"/>
                <w:szCs w:val="20"/>
                <w:color w:val="auto"/>
              </w:rPr>
            </w:pPr>
            <w:r>
              <w:rPr>
                <w:rFonts w:ascii="Arial" w:cs="Arial" w:eastAsia="Arial" w:hAnsi="Arial"/>
                <w:sz w:val="17"/>
                <w:szCs w:val="17"/>
                <w:color w:val="auto"/>
              </w:rPr>
              <w:t>25,250</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5,594</w:t>
            </w:r>
          </w:p>
        </w:tc>
        <w:tc>
          <w:tcPr>
            <w:tcW w:w="240" w:type="dxa"/>
            <w:vAlign w:val="bottom"/>
            <w:tcBorders>
              <w:right w:val="single" w:sz="8" w:color="auto"/>
            </w:tcBorders>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30,844</w:t>
            </w:r>
          </w:p>
        </w:tc>
      </w:tr>
      <w:tr>
        <w:trPr>
          <w:trHeight w:val="20"/>
        </w:trPr>
        <w:tc>
          <w:tcPr>
            <w:tcW w:w="2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r>
      <w:tr>
        <w:trPr>
          <w:trHeight w:val="228"/>
        </w:trPr>
        <w:tc>
          <w:tcPr>
            <w:tcW w:w="2080" w:type="dxa"/>
            <w:vAlign w:val="bottom"/>
            <w:tcBorders>
              <w:bottom w:val="single" w:sz="8" w:color="F0FFFF"/>
              <w:right w:val="single" w:sz="8" w:color="F0FFFF"/>
            </w:tcBorders>
            <w:shd w:val="clear" w:color="auto" w:fill="F0FFFF"/>
          </w:tcPr>
          <w:p>
            <w:pPr>
              <w:ind w:left="220"/>
              <w:spacing w:after="0"/>
              <w:rPr>
                <w:sz w:val="20"/>
                <w:szCs w:val="20"/>
                <w:color w:val="auto"/>
              </w:rPr>
            </w:pPr>
            <w:r>
              <w:rPr>
                <w:rFonts w:ascii="Arial" w:cs="Arial" w:eastAsia="Arial" w:hAnsi="Arial"/>
                <w:sz w:val="17"/>
                <w:szCs w:val="17"/>
                <w:b w:val="1"/>
                <w:bCs w:val="1"/>
                <w:color w:val="auto"/>
              </w:rPr>
              <w:t>Balance as a % of</w:t>
            </w:r>
          </w:p>
        </w:tc>
        <w:tc>
          <w:tcPr>
            <w:tcW w:w="140" w:type="dxa"/>
            <w:vAlign w:val="bottom"/>
            <w:tcBorders>
              <w:bottom w:val="single" w:sz="8" w:color="F0FFFF"/>
            </w:tcBorders>
            <w:shd w:val="clear" w:color="auto" w:fill="F0FFFF"/>
          </w:tcPr>
          <w:p>
            <w:pPr>
              <w:spacing w:after="0"/>
              <w:rPr>
                <w:sz w:val="19"/>
                <w:szCs w:val="19"/>
                <w:color w:val="auto"/>
              </w:rPr>
            </w:pPr>
          </w:p>
        </w:tc>
        <w:tc>
          <w:tcPr>
            <w:tcW w:w="7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280" w:type="dxa"/>
            <w:vAlign w:val="bottom"/>
            <w:tcBorders>
              <w:bottom w:val="single" w:sz="8" w:color="F0FFFF"/>
            </w:tcBorders>
            <w:shd w:val="clear" w:color="auto" w:fill="F0FFFF"/>
          </w:tcPr>
          <w:p>
            <w:pPr>
              <w:spacing w:after="0"/>
              <w:rPr>
                <w:sz w:val="19"/>
                <w:szCs w:val="19"/>
                <w:color w:val="auto"/>
              </w:rPr>
            </w:pPr>
          </w:p>
        </w:tc>
        <w:tc>
          <w:tcPr>
            <w:tcW w:w="56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F0FFFF"/>
              <w:right w:val="single" w:sz="8" w:color="auto"/>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58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F0FFFF"/>
              <w:right w:val="single" w:sz="8" w:color="auto"/>
            </w:tcBorders>
            <w:shd w:val="clear" w:color="auto" w:fill="F0FFFF"/>
          </w:tcPr>
          <w:p>
            <w:pPr>
              <w:spacing w:after="0"/>
              <w:rPr>
                <w:sz w:val="19"/>
                <w:szCs w:val="19"/>
                <w:color w:val="auto"/>
              </w:rPr>
            </w:pPr>
          </w:p>
        </w:tc>
        <w:tc>
          <w:tcPr>
            <w:tcW w:w="160" w:type="dxa"/>
            <w:vAlign w:val="bottom"/>
            <w:tcBorders>
              <w:bottom w:val="single" w:sz="8" w:color="F0FFFF"/>
            </w:tcBorders>
            <w:shd w:val="clear" w:color="auto" w:fill="F0FFFF"/>
          </w:tcPr>
          <w:p>
            <w:pPr>
              <w:spacing w:after="0"/>
              <w:rPr>
                <w:sz w:val="19"/>
                <w:szCs w:val="19"/>
                <w:color w:val="auto"/>
              </w:rPr>
            </w:pPr>
          </w:p>
        </w:tc>
        <w:tc>
          <w:tcPr>
            <w:tcW w:w="70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F0FFFF"/>
              <w:right w:val="single" w:sz="8" w:color="F0FFFF"/>
            </w:tcBorders>
            <w:shd w:val="clear" w:color="auto" w:fill="F0FFFF"/>
          </w:tcPr>
          <w:p>
            <w:pPr>
              <w:spacing w:after="0"/>
              <w:rPr>
                <w:sz w:val="19"/>
                <w:szCs w:val="19"/>
                <w:color w:val="auto"/>
              </w:rPr>
            </w:pPr>
          </w:p>
        </w:tc>
        <w:tc>
          <w:tcPr>
            <w:tcW w:w="280" w:type="dxa"/>
            <w:vAlign w:val="bottom"/>
            <w:tcBorders>
              <w:bottom w:val="single" w:sz="8" w:color="F0FFFF"/>
            </w:tcBorders>
            <w:shd w:val="clear" w:color="auto" w:fill="F0FFFF"/>
          </w:tcPr>
          <w:p>
            <w:pPr>
              <w:spacing w:after="0"/>
              <w:rPr>
                <w:sz w:val="19"/>
                <w:szCs w:val="19"/>
                <w:color w:val="auto"/>
              </w:rPr>
            </w:pPr>
          </w:p>
        </w:tc>
        <w:tc>
          <w:tcPr>
            <w:tcW w:w="56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F0FFFF"/>
              <w:right w:val="single" w:sz="8" w:color="auto"/>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600" w:type="dxa"/>
            <w:vAlign w:val="bottom"/>
            <w:tcBorders>
              <w:bottom w:val="single" w:sz="8" w:color="F0FFFF"/>
            </w:tcBorders>
            <w:shd w:val="clear" w:color="auto" w:fill="F0FFFF"/>
          </w:tcPr>
          <w:p>
            <w:pPr>
              <w:spacing w:after="0"/>
              <w:rPr>
                <w:sz w:val="19"/>
                <w:szCs w:val="19"/>
                <w:color w:val="auto"/>
              </w:rPr>
            </w:pPr>
          </w:p>
        </w:tc>
        <w:tc>
          <w:tcPr>
            <w:tcW w:w="180" w:type="dxa"/>
            <w:vAlign w:val="bottom"/>
            <w:tcBorders>
              <w:bottom w:val="single" w:sz="8" w:color="F0FFFF"/>
              <w:right w:val="single" w:sz="8" w:color="auto"/>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F0FFFF"/>
            </w:tcBorders>
            <w:shd w:val="clear" w:color="auto" w:fill="F0FFFF"/>
          </w:tcPr>
          <w:p>
            <w:pPr>
              <w:spacing w:after="0"/>
              <w:rPr>
                <w:sz w:val="19"/>
                <w:szCs w:val="19"/>
                <w:color w:val="auto"/>
              </w:rPr>
            </w:pPr>
          </w:p>
        </w:tc>
        <w:tc>
          <w:tcPr>
            <w:tcW w:w="72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right w:val="single" w:sz="8" w:color="F0FFFF"/>
            </w:tcBorders>
            <w:shd w:val="clear" w:color="auto" w:fill="F0FFFF"/>
          </w:tcPr>
          <w:p>
            <w:pPr>
              <w:spacing w:after="0"/>
              <w:rPr>
                <w:sz w:val="19"/>
                <w:szCs w:val="19"/>
                <w:color w:val="auto"/>
              </w:rPr>
            </w:pPr>
          </w:p>
        </w:tc>
        <w:tc>
          <w:tcPr>
            <w:tcW w:w="280" w:type="dxa"/>
            <w:vAlign w:val="bottom"/>
            <w:tcBorders>
              <w:bottom w:val="single" w:sz="8" w:color="F0FFFF"/>
            </w:tcBorders>
            <w:shd w:val="clear" w:color="auto" w:fill="F0FFFF"/>
          </w:tcPr>
          <w:p>
            <w:pPr>
              <w:spacing w:after="0"/>
              <w:rPr>
                <w:sz w:val="19"/>
                <w:szCs w:val="19"/>
                <w:color w:val="auto"/>
              </w:rPr>
            </w:pPr>
          </w:p>
        </w:tc>
        <w:tc>
          <w:tcPr>
            <w:tcW w:w="58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F0FFFF"/>
              <w:right w:val="single" w:sz="8" w:color="auto"/>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600" w:type="dxa"/>
            <w:vAlign w:val="bottom"/>
            <w:tcBorders>
              <w:bottom w:val="single" w:sz="8" w:color="F0FFFF"/>
            </w:tcBorders>
            <w:shd w:val="clear" w:color="auto" w:fill="F0FFFF"/>
          </w:tcPr>
          <w:p>
            <w:pPr>
              <w:spacing w:after="0"/>
              <w:rPr>
                <w:sz w:val="19"/>
                <w:szCs w:val="19"/>
                <w:color w:val="auto"/>
              </w:rPr>
            </w:pPr>
          </w:p>
        </w:tc>
        <w:tc>
          <w:tcPr>
            <w:tcW w:w="180" w:type="dxa"/>
            <w:vAlign w:val="bottom"/>
            <w:tcBorders>
              <w:bottom w:val="single" w:sz="8" w:color="F0FFFF"/>
              <w:right w:val="single" w:sz="8" w:color="auto"/>
            </w:tcBorders>
            <w:shd w:val="clear" w:color="auto" w:fill="F0FFFF"/>
          </w:tcPr>
          <w:p>
            <w:pPr>
              <w:spacing w:after="0"/>
              <w:rPr>
                <w:sz w:val="19"/>
                <w:szCs w:val="19"/>
                <w:color w:val="auto"/>
              </w:rPr>
            </w:pPr>
          </w:p>
        </w:tc>
      </w:tr>
      <w:tr>
        <w:trPr>
          <w:trHeight w:val="205"/>
        </w:trPr>
        <w:tc>
          <w:tcPr>
            <w:tcW w:w="2080" w:type="dxa"/>
            <w:vAlign w:val="bottom"/>
          </w:tcPr>
          <w:p>
            <w:pPr>
              <w:ind w:left="420"/>
              <w:spacing w:after="0"/>
              <w:rPr>
                <w:sz w:val="20"/>
                <w:szCs w:val="20"/>
                <w:color w:val="auto"/>
              </w:rPr>
            </w:pPr>
            <w:r>
              <w:rPr>
                <w:rFonts w:ascii="Arial" w:cs="Arial" w:eastAsia="Arial" w:hAnsi="Arial"/>
                <w:sz w:val="17"/>
                <w:szCs w:val="17"/>
                <w:b w:val="1"/>
                <w:bCs w:val="1"/>
                <w:color w:val="auto"/>
              </w:rPr>
              <w:t>Unpaid Principal</w:t>
            </w:r>
          </w:p>
        </w:tc>
        <w:tc>
          <w:tcPr>
            <w:tcW w:w="1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72.0%</w:t>
            </w:r>
          </w:p>
        </w:tc>
        <w:tc>
          <w:tcPr>
            <w:tcW w:w="2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56.6%</w:t>
            </w:r>
          </w:p>
        </w:tc>
        <w:tc>
          <w:tcPr>
            <w:tcW w:w="12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70.9%</w:t>
            </w:r>
          </w:p>
        </w:tc>
        <w:tc>
          <w:tcPr>
            <w:tcW w:w="1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69.9%</w:t>
            </w:r>
          </w:p>
        </w:tc>
        <w:tc>
          <w:tcPr>
            <w:tcW w:w="2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54.1%</w:t>
            </w:r>
          </w:p>
        </w:tc>
        <w:tc>
          <w:tcPr>
            <w:tcW w:w="12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68.1%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65.8%</w:t>
            </w:r>
          </w:p>
        </w:tc>
        <w:tc>
          <w:tcPr>
            <w:tcW w:w="2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53.9%</w:t>
            </w:r>
          </w:p>
        </w:tc>
        <w:tc>
          <w:tcPr>
            <w:tcW w:w="12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63.2%</w:t>
            </w:r>
          </w:p>
        </w:tc>
      </w:tr>
      <w:tr>
        <w:trPr>
          <w:trHeight w:val="205"/>
        </w:trPr>
        <w:tc>
          <w:tcPr>
            <w:tcW w:w="2080" w:type="dxa"/>
            <w:vAlign w:val="bottom"/>
            <w:tcBorders>
              <w:right w:val="single" w:sz="8" w:color="F0FFFF"/>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560" w:type="dxa"/>
            <w:vAlign w:val="bottom"/>
            <w:shd w:val="clear" w:color="auto" w:fill="F0FFFF"/>
          </w:tcPr>
          <w:p>
            <w:pPr>
              <w:spacing w:after="0"/>
              <w:rPr>
                <w:sz w:val="17"/>
                <w:szCs w:val="17"/>
                <w:color w:val="auto"/>
              </w:rPr>
            </w:pPr>
          </w:p>
        </w:tc>
        <w:tc>
          <w:tcPr>
            <w:tcW w:w="240" w:type="dxa"/>
            <w:vAlign w:val="bottom"/>
            <w:tcBorders>
              <w:right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240" w:type="dxa"/>
            <w:vAlign w:val="bottom"/>
            <w:tcBorders>
              <w:right w:val="single" w:sz="8" w:color="auto"/>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240" w:type="dxa"/>
            <w:vAlign w:val="bottom"/>
            <w:tcBorders>
              <w:right w:val="single" w:sz="8" w:color="F0FFFF"/>
            </w:tcBorders>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560" w:type="dxa"/>
            <w:vAlign w:val="bottom"/>
            <w:shd w:val="clear" w:color="auto" w:fill="F0FFFF"/>
          </w:tcPr>
          <w:p>
            <w:pPr>
              <w:spacing w:after="0"/>
              <w:rPr>
                <w:sz w:val="17"/>
                <w:szCs w:val="17"/>
                <w:color w:val="auto"/>
              </w:rPr>
            </w:pPr>
          </w:p>
        </w:tc>
        <w:tc>
          <w:tcPr>
            <w:tcW w:w="240" w:type="dxa"/>
            <w:vAlign w:val="bottom"/>
            <w:tcBorders>
              <w:right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00" w:type="dxa"/>
            <w:vAlign w:val="bottom"/>
            <w:shd w:val="clear" w:color="auto" w:fill="F0FFFF"/>
          </w:tcPr>
          <w:p>
            <w:pPr>
              <w:spacing w:after="0"/>
              <w:rPr>
                <w:sz w:val="17"/>
                <w:szCs w:val="17"/>
                <w:color w:val="auto"/>
              </w:rPr>
            </w:pPr>
          </w:p>
        </w:tc>
        <w:tc>
          <w:tcPr>
            <w:tcW w:w="180" w:type="dxa"/>
            <w:vAlign w:val="bottom"/>
            <w:tcBorders>
              <w:right w:val="single" w:sz="8" w:color="auto"/>
            </w:tcBorders>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20" w:type="dxa"/>
            <w:vAlign w:val="bottom"/>
            <w:tcBorders>
              <w:right w:val="single" w:sz="8" w:color="F0FFFF"/>
            </w:tcBorders>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240" w:type="dxa"/>
            <w:vAlign w:val="bottom"/>
            <w:tcBorders>
              <w:right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00" w:type="dxa"/>
            <w:vAlign w:val="bottom"/>
            <w:shd w:val="clear" w:color="auto" w:fill="F0FFFF"/>
          </w:tcPr>
          <w:p>
            <w:pPr>
              <w:spacing w:after="0"/>
              <w:rPr>
                <w:sz w:val="17"/>
                <w:szCs w:val="17"/>
                <w:color w:val="auto"/>
              </w:rPr>
            </w:pPr>
          </w:p>
        </w:tc>
        <w:tc>
          <w:tcPr>
            <w:tcW w:w="180" w:type="dxa"/>
            <w:vAlign w:val="bottom"/>
            <w:tcBorders>
              <w:right w:val="single" w:sz="8" w:color="auto"/>
            </w:tcBorders>
            <w:shd w:val="clear" w:color="auto" w:fill="F0FFFF"/>
          </w:tcPr>
          <w:p>
            <w:pPr>
              <w:spacing w:after="0"/>
              <w:rPr>
                <w:sz w:val="17"/>
                <w:szCs w:val="17"/>
                <w:color w:val="auto"/>
              </w:rPr>
            </w:pPr>
          </w:p>
        </w:tc>
      </w:tr>
      <w:tr>
        <w:trPr>
          <w:trHeight w:val="205"/>
        </w:trPr>
        <w:tc>
          <w:tcPr>
            <w:tcW w:w="2080" w:type="dxa"/>
            <w:vAlign w:val="bottom"/>
          </w:tcPr>
          <w:p>
            <w:pPr>
              <w:spacing w:after="0"/>
              <w:rPr>
                <w:sz w:val="20"/>
                <w:szCs w:val="20"/>
                <w:color w:val="auto"/>
              </w:rPr>
            </w:pPr>
            <w:r>
              <w:rPr>
                <w:rFonts w:ascii="Arial" w:cs="Arial" w:eastAsia="Arial" w:hAnsi="Arial"/>
                <w:sz w:val="17"/>
                <w:szCs w:val="17"/>
                <w:b w:val="1"/>
                <w:bCs w:val="1"/>
                <w:color w:val="auto"/>
              </w:rPr>
              <w:t>BY MARKET</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r>
      <w:tr>
        <w:trPr>
          <w:trHeight w:val="205"/>
        </w:trPr>
        <w:tc>
          <w:tcPr>
            <w:tcW w:w="208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7"/>
                <w:szCs w:val="17"/>
                <w:color w:val="auto"/>
              </w:rPr>
              <w:t>North Georgia</w:t>
            </w:r>
          </w:p>
        </w:tc>
        <w:tc>
          <w:tcPr>
            <w:tcW w:w="140" w:type="dxa"/>
            <w:vAlign w:val="bottom"/>
            <w:shd w:val="clear" w:color="auto" w:fill="F0FFFF"/>
          </w:tcPr>
          <w:p>
            <w:pPr>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F0FFFF"/>
          </w:tcPr>
          <w:p>
            <w:pPr>
              <w:jc w:val="right"/>
              <w:ind w:right="135"/>
              <w:spacing w:after="0"/>
              <w:rPr>
                <w:sz w:val="20"/>
                <w:szCs w:val="20"/>
                <w:color w:val="auto"/>
              </w:rPr>
            </w:pPr>
            <w:r>
              <w:rPr>
                <w:rFonts w:ascii="Arial" w:cs="Arial" w:eastAsia="Arial" w:hAnsi="Arial"/>
                <w:sz w:val="17"/>
                <w:szCs w:val="17"/>
                <w:color w:val="auto"/>
              </w:rPr>
              <w:t>6,101</w:t>
            </w:r>
          </w:p>
        </w:tc>
        <w:tc>
          <w:tcPr>
            <w:tcW w:w="280" w:type="dxa"/>
            <w:vAlign w:val="bottom"/>
            <w:shd w:val="clear" w:color="auto" w:fill="F0FFFF"/>
          </w:tcPr>
          <w:p>
            <w:pPr>
              <w:jc w:val="right"/>
              <w:ind w:right="122"/>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auto"/>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662</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auto"/>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6,763</w:t>
            </w:r>
          </w:p>
        </w:tc>
        <w:tc>
          <w:tcPr>
            <w:tcW w:w="160" w:type="dxa"/>
            <w:vAlign w:val="bottom"/>
            <w:shd w:val="clear" w:color="auto" w:fill="F0FFFF"/>
          </w:tcPr>
          <w:p>
            <w:pPr>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5,669</w:t>
            </w:r>
          </w:p>
        </w:tc>
        <w:tc>
          <w:tcPr>
            <w:tcW w:w="280" w:type="dxa"/>
            <w:vAlign w:val="bottom"/>
            <w:shd w:val="clear" w:color="auto" w:fill="F0FFFF"/>
          </w:tcPr>
          <w:p>
            <w:pPr>
              <w:jc w:val="right"/>
              <w:ind w:right="122"/>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auto"/>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711</w:t>
            </w:r>
          </w:p>
        </w:tc>
        <w:tc>
          <w:tcPr>
            <w:tcW w:w="12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6,380</w:t>
            </w: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F0FFFF"/>
            </w:tcBorders>
            <w:gridSpan w:val="2"/>
            <w:shd w:val="clear" w:color="auto" w:fill="F0FFFF"/>
          </w:tcPr>
          <w:p>
            <w:pPr>
              <w:jc w:val="right"/>
              <w:ind w:right="135"/>
              <w:spacing w:after="0"/>
              <w:rPr>
                <w:sz w:val="20"/>
                <w:szCs w:val="20"/>
                <w:color w:val="auto"/>
              </w:rPr>
            </w:pPr>
            <w:r>
              <w:rPr>
                <w:rFonts w:ascii="Arial" w:cs="Arial" w:eastAsia="Arial" w:hAnsi="Arial"/>
                <w:sz w:val="17"/>
                <w:szCs w:val="17"/>
                <w:color w:val="auto"/>
              </w:rPr>
              <w:t>12,166</w:t>
            </w:r>
          </w:p>
        </w:tc>
        <w:tc>
          <w:tcPr>
            <w:tcW w:w="280" w:type="dxa"/>
            <w:vAlign w:val="bottom"/>
            <w:shd w:val="clear" w:color="auto" w:fill="F0FFFF"/>
          </w:tcPr>
          <w:p>
            <w:pPr>
              <w:jc w:val="right"/>
              <w:ind w:right="95"/>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2,058</w:t>
            </w:r>
          </w:p>
        </w:tc>
        <w:tc>
          <w:tcPr>
            <w:tcW w:w="240" w:type="dxa"/>
            <w:vAlign w:val="bottom"/>
            <w:tcBorders>
              <w:right w:val="single" w:sz="8" w:color="auto"/>
            </w:tcBorders>
            <w:shd w:val="clear" w:color="auto" w:fill="F0FFFF"/>
          </w:tcPr>
          <w:p>
            <w:pPr>
              <w:spacing w:after="0"/>
              <w:rPr>
                <w:sz w:val="17"/>
                <w:szCs w:val="17"/>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14,224</w:t>
            </w:r>
          </w:p>
        </w:tc>
      </w:tr>
      <w:tr>
        <w:trPr>
          <w:trHeight w:val="205"/>
        </w:trPr>
        <w:tc>
          <w:tcPr>
            <w:tcW w:w="2080" w:type="dxa"/>
            <w:vAlign w:val="bottom"/>
          </w:tcPr>
          <w:p>
            <w:pPr>
              <w:spacing w:after="0"/>
              <w:rPr>
                <w:sz w:val="20"/>
                <w:szCs w:val="20"/>
                <w:color w:val="auto"/>
              </w:rPr>
            </w:pPr>
            <w:r>
              <w:rPr>
                <w:rFonts w:ascii="Arial" w:cs="Arial" w:eastAsia="Arial" w:hAnsi="Arial"/>
                <w:sz w:val="17"/>
                <w:szCs w:val="17"/>
                <w:color w:val="auto"/>
              </w:rPr>
              <w:t>Atlanta MSA</w:t>
            </w:r>
          </w:p>
        </w:tc>
        <w:tc>
          <w:tcPr>
            <w:tcW w:w="140" w:type="dxa"/>
            <w:vAlign w:val="bottom"/>
          </w:tcPr>
          <w:p>
            <w:pPr>
              <w:spacing w:after="0"/>
              <w:rPr>
                <w:sz w:val="17"/>
                <w:szCs w:val="17"/>
                <w:color w:val="auto"/>
              </w:rPr>
            </w:pPr>
          </w:p>
        </w:tc>
        <w:tc>
          <w:tcPr>
            <w:tcW w:w="920" w:type="dxa"/>
            <w:vAlign w:val="bottom"/>
            <w:gridSpan w:val="2"/>
          </w:tcPr>
          <w:p>
            <w:pPr>
              <w:jc w:val="right"/>
              <w:ind w:right="135"/>
              <w:spacing w:after="0"/>
              <w:rPr>
                <w:sz w:val="20"/>
                <w:szCs w:val="20"/>
                <w:color w:val="auto"/>
              </w:rPr>
            </w:pPr>
            <w:r>
              <w:rPr>
                <w:rFonts w:ascii="Arial" w:cs="Arial" w:eastAsia="Arial" w:hAnsi="Arial"/>
                <w:sz w:val="17"/>
                <w:szCs w:val="17"/>
                <w:color w:val="auto"/>
              </w:rPr>
              <w:t>1,903</w:t>
            </w:r>
          </w:p>
        </w:tc>
        <w:tc>
          <w:tcPr>
            <w:tcW w:w="2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227</w:t>
            </w:r>
          </w:p>
        </w:tc>
        <w:tc>
          <w:tcPr>
            <w:tcW w:w="12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2,130</w:t>
            </w:r>
          </w:p>
        </w:tc>
        <w:tc>
          <w:tcPr>
            <w:tcW w:w="16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1,837</w:t>
            </w:r>
          </w:p>
        </w:tc>
        <w:tc>
          <w:tcPr>
            <w:tcW w:w="2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372</w:t>
            </w:r>
          </w:p>
        </w:tc>
        <w:tc>
          <w:tcPr>
            <w:tcW w:w="12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2,209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35"/>
              <w:spacing w:after="0"/>
              <w:rPr>
                <w:sz w:val="20"/>
                <w:szCs w:val="20"/>
                <w:color w:val="auto"/>
              </w:rPr>
            </w:pPr>
            <w:r>
              <w:rPr>
                <w:rFonts w:ascii="Arial" w:cs="Arial" w:eastAsia="Arial" w:hAnsi="Arial"/>
                <w:sz w:val="17"/>
                <w:szCs w:val="17"/>
                <w:color w:val="auto"/>
              </w:rPr>
              <w:t>2,916</w:t>
            </w:r>
          </w:p>
        </w:tc>
        <w:tc>
          <w:tcPr>
            <w:tcW w:w="2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904</w:t>
            </w:r>
          </w:p>
        </w:tc>
        <w:tc>
          <w:tcPr>
            <w:tcW w:w="12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3,820</w:t>
            </w:r>
          </w:p>
        </w:tc>
      </w:tr>
      <w:tr>
        <w:trPr>
          <w:trHeight w:val="205"/>
        </w:trPr>
        <w:tc>
          <w:tcPr>
            <w:tcW w:w="208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7"/>
                <w:szCs w:val="17"/>
                <w:color w:val="auto"/>
              </w:rPr>
              <w:t>North Carolina</w:t>
            </w:r>
          </w:p>
        </w:tc>
        <w:tc>
          <w:tcPr>
            <w:tcW w:w="14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135"/>
              <w:spacing w:after="0"/>
              <w:rPr>
                <w:sz w:val="20"/>
                <w:szCs w:val="20"/>
                <w:color w:val="auto"/>
              </w:rPr>
            </w:pPr>
            <w:r>
              <w:rPr>
                <w:rFonts w:ascii="Arial" w:cs="Arial" w:eastAsia="Arial" w:hAnsi="Arial"/>
                <w:sz w:val="17"/>
                <w:szCs w:val="17"/>
                <w:color w:val="auto"/>
              </w:rPr>
              <w:t>5,321</w:t>
            </w:r>
          </w:p>
        </w:tc>
        <w:tc>
          <w:tcPr>
            <w:tcW w:w="280" w:type="dxa"/>
            <w:vAlign w:val="bottom"/>
            <w:shd w:val="clear" w:color="auto" w:fill="F0FFFF"/>
          </w:tcPr>
          <w:p>
            <w:pPr>
              <w:spacing w:after="0"/>
              <w:rPr>
                <w:sz w:val="17"/>
                <w:szCs w:val="17"/>
                <w:color w:val="auto"/>
              </w:rPr>
            </w:pPr>
          </w:p>
        </w:tc>
        <w:tc>
          <w:tcPr>
            <w:tcW w:w="800" w:type="dxa"/>
            <w:vAlign w:val="bottom"/>
            <w:tcBorders>
              <w:right w:val="single" w:sz="8" w:color="auto"/>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159</w:t>
            </w:r>
          </w:p>
        </w:tc>
        <w:tc>
          <w:tcPr>
            <w:tcW w:w="120" w:type="dxa"/>
            <w:vAlign w:val="bottom"/>
            <w:shd w:val="clear" w:color="auto" w:fill="F0FFFF"/>
          </w:tcPr>
          <w:p>
            <w:pPr>
              <w:spacing w:after="0"/>
              <w:rPr>
                <w:sz w:val="17"/>
                <w:szCs w:val="17"/>
                <w:color w:val="auto"/>
              </w:rPr>
            </w:pPr>
          </w:p>
        </w:tc>
        <w:tc>
          <w:tcPr>
            <w:tcW w:w="820" w:type="dxa"/>
            <w:vAlign w:val="bottom"/>
            <w:tcBorders>
              <w:right w:val="single" w:sz="8" w:color="auto"/>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5,480</w:t>
            </w:r>
          </w:p>
        </w:tc>
        <w:tc>
          <w:tcPr>
            <w:tcW w:w="160" w:type="dxa"/>
            <w:vAlign w:val="bottom"/>
            <w:shd w:val="clear" w:color="auto" w:fill="F0FFFF"/>
          </w:tcPr>
          <w:p>
            <w:pPr>
              <w:spacing w:after="0"/>
              <w:rPr>
                <w:sz w:val="17"/>
                <w:szCs w:val="17"/>
                <w:color w:val="auto"/>
              </w:rPr>
            </w:pPr>
          </w:p>
        </w:tc>
        <w:tc>
          <w:tcPr>
            <w:tcW w:w="94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5,221</w:t>
            </w:r>
          </w:p>
        </w:tc>
        <w:tc>
          <w:tcPr>
            <w:tcW w:w="280" w:type="dxa"/>
            <w:vAlign w:val="bottom"/>
            <w:shd w:val="clear" w:color="auto" w:fill="F0FFFF"/>
          </w:tcPr>
          <w:p>
            <w:pPr>
              <w:spacing w:after="0"/>
              <w:rPr>
                <w:sz w:val="17"/>
                <w:szCs w:val="17"/>
                <w:color w:val="auto"/>
              </w:rPr>
            </w:pPr>
          </w:p>
        </w:tc>
        <w:tc>
          <w:tcPr>
            <w:tcW w:w="800" w:type="dxa"/>
            <w:vAlign w:val="bottom"/>
            <w:tcBorders>
              <w:right w:val="single" w:sz="8" w:color="auto"/>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234</w:t>
            </w:r>
          </w:p>
        </w:tc>
        <w:tc>
          <w:tcPr>
            <w:tcW w:w="120" w:type="dxa"/>
            <w:vAlign w:val="bottom"/>
            <w:shd w:val="clear" w:color="auto" w:fill="F0FFFF"/>
          </w:tcPr>
          <w:p>
            <w:pPr>
              <w:spacing w:after="0"/>
              <w:rPr>
                <w:sz w:val="17"/>
                <w:szCs w:val="17"/>
                <w:color w:val="auto"/>
              </w:rPr>
            </w:pPr>
          </w:p>
        </w:tc>
        <w:tc>
          <w:tcPr>
            <w:tcW w:w="78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5,455</w:t>
            </w: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40" w:type="dxa"/>
            <w:vAlign w:val="bottom"/>
            <w:tcBorders>
              <w:right w:val="single" w:sz="8" w:color="F0FFFF"/>
            </w:tcBorders>
            <w:gridSpan w:val="2"/>
            <w:shd w:val="clear" w:color="auto" w:fill="F0FFFF"/>
          </w:tcPr>
          <w:p>
            <w:pPr>
              <w:jc w:val="right"/>
              <w:ind w:right="135"/>
              <w:spacing w:after="0"/>
              <w:rPr>
                <w:sz w:val="20"/>
                <w:szCs w:val="20"/>
                <w:color w:val="auto"/>
              </w:rPr>
            </w:pPr>
            <w:r>
              <w:rPr>
                <w:rFonts w:ascii="Arial" w:cs="Arial" w:eastAsia="Arial" w:hAnsi="Arial"/>
                <w:sz w:val="17"/>
                <w:szCs w:val="17"/>
                <w:color w:val="auto"/>
              </w:rPr>
              <w:t>6,501</w:t>
            </w:r>
          </w:p>
        </w:tc>
        <w:tc>
          <w:tcPr>
            <w:tcW w:w="280" w:type="dxa"/>
            <w:vAlign w:val="bottom"/>
            <w:shd w:val="clear" w:color="auto" w:fill="F0FFFF"/>
          </w:tcPr>
          <w:p>
            <w:pPr>
              <w:spacing w:after="0"/>
              <w:rPr>
                <w:sz w:val="17"/>
                <w:szCs w:val="17"/>
                <w:color w:val="auto"/>
              </w:rPr>
            </w:pPr>
          </w:p>
        </w:tc>
        <w:tc>
          <w:tcPr>
            <w:tcW w:w="820" w:type="dxa"/>
            <w:vAlign w:val="bottom"/>
            <w:tcBorders>
              <w:right w:val="single" w:sz="8" w:color="auto"/>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866</w:t>
            </w:r>
          </w:p>
        </w:tc>
        <w:tc>
          <w:tcPr>
            <w:tcW w:w="120" w:type="dxa"/>
            <w:vAlign w:val="bottom"/>
            <w:shd w:val="clear" w:color="auto" w:fill="F0FFFF"/>
          </w:tcPr>
          <w:p>
            <w:pPr>
              <w:spacing w:after="0"/>
              <w:rPr>
                <w:sz w:val="17"/>
                <w:szCs w:val="17"/>
                <w:color w:val="auto"/>
              </w:rPr>
            </w:pPr>
          </w:p>
        </w:tc>
        <w:tc>
          <w:tcPr>
            <w:tcW w:w="78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7,367</w:t>
            </w:r>
          </w:p>
        </w:tc>
      </w:tr>
      <w:tr>
        <w:trPr>
          <w:trHeight w:val="205"/>
        </w:trPr>
        <w:tc>
          <w:tcPr>
            <w:tcW w:w="2080" w:type="dxa"/>
            <w:vAlign w:val="bottom"/>
          </w:tcPr>
          <w:p>
            <w:pPr>
              <w:spacing w:after="0"/>
              <w:rPr>
                <w:sz w:val="20"/>
                <w:szCs w:val="20"/>
                <w:color w:val="auto"/>
              </w:rPr>
            </w:pPr>
            <w:r>
              <w:rPr>
                <w:rFonts w:ascii="Arial" w:cs="Arial" w:eastAsia="Arial" w:hAnsi="Arial"/>
                <w:sz w:val="17"/>
                <w:szCs w:val="17"/>
                <w:color w:val="auto"/>
              </w:rPr>
              <w:t>Coastal Georgia</w:t>
            </w:r>
          </w:p>
        </w:tc>
        <w:tc>
          <w:tcPr>
            <w:tcW w:w="140" w:type="dxa"/>
            <w:vAlign w:val="bottom"/>
          </w:tcPr>
          <w:p>
            <w:pPr>
              <w:spacing w:after="0"/>
              <w:rPr>
                <w:sz w:val="17"/>
                <w:szCs w:val="17"/>
                <w:color w:val="auto"/>
              </w:rPr>
            </w:pPr>
          </w:p>
        </w:tc>
        <w:tc>
          <w:tcPr>
            <w:tcW w:w="920" w:type="dxa"/>
            <w:vAlign w:val="bottom"/>
            <w:gridSpan w:val="2"/>
          </w:tcPr>
          <w:p>
            <w:pPr>
              <w:jc w:val="right"/>
              <w:ind w:right="135"/>
              <w:spacing w:after="0"/>
              <w:rPr>
                <w:sz w:val="20"/>
                <w:szCs w:val="20"/>
                <w:color w:val="auto"/>
              </w:rPr>
            </w:pPr>
            <w:r>
              <w:rPr>
                <w:rFonts w:ascii="Arial" w:cs="Arial" w:eastAsia="Arial" w:hAnsi="Arial"/>
                <w:sz w:val="17"/>
                <w:szCs w:val="17"/>
                <w:color w:val="auto"/>
              </w:rPr>
              <w:t>901</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901</w:t>
            </w:r>
          </w:p>
        </w:tc>
        <w:tc>
          <w:tcPr>
            <w:tcW w:w="16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799</w:t>
            </w:r>
          </w:p>
        </w:tc>
        <w:tc>
          <w:tcPr>
            <w:tcW w:w="2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105</w:t>
            </w:r>
          </w:p>
        </w:tc>
        <w:tc>
          <w:tcPr>
            <w:tcW w:w="12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904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35"/>
              <w:spacing w:after="0"/>
              <w:rPr>
                <w:sz w:val="20"/>
                <w:szCs w:val="20"/>
                <w:color w:val="auto"/>
              </w:rPr>
            </w:pPr>
            <w:r>
              <w:rPr>
                <w:rFonts w:ascii="Arial" w:cs="Arial" w:eastAsia="Arial" w:hAnsi="Arial"/>
                <w:sz w:val="17"/>
                <w:szCs w:val="17"/>
                <w:color w:val="auto"/>
              </w:rPr>
              <w:t>800</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1,607</w:t>
            </w:r>
          </w:p>
        </w:tc>
        <w:tc>
          <w:tcPr>
            <w:tcW w:w="2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2,407</w:t>
            </w:r>
          </w:p>
        </w:tc>
      </w:tr>
      <w:tr>
        <w:trPr>
          <w:trHeight w:val="205"/>
        </w:trPr>
        <w:tc>
          <w:tcPr>
            <w:tcW w:w="208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7"/>
                <w:szCs w:val="17"/>
                <w:color w:val="auto"/>
              </w:rPr>
              <w:t>Gainesville MSA</w:t>
            </w:r>
          </w:p>
        </w:tc>
        <w:tc>
          <w:tcPr>
            <w:tcW w:w="14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135"/>
              <w:spacing w:after="0"/>
              <w:rPr>
                <w:sz w:val="20"/>
                <w:szCs w:val="20"/>
                <w:color w:val="auto"/>
              </w:rPr>
            </w:pPr>
            <w:r>
              <w:rPr>
                <w:rFonts w:ascii="Arial" w:cs="Arial" w:eastAsia="Arial" w:hAnsi="Arial"/>
                <w:sz w:val="17"/>
                <w:szCs w:val="17"/>
                <w:color w:val="auto"/>
              </w:rPr>
              <w:t>781</w:t>
            </w:r>
          </w:p>
        </w:tc>
        <w:tc>
          <w:tcPr>
            <w:tcW w:w="280" w:type="dxa"/>
            <w:vAlign w:val="bottom"/>
            <w:shd w:val="clear" w:color="auto" w:fill="F0FFFF"/>
          </w:tcPr>
          <w:p>
            <w:pPr>
              <w:spacing w:after="0"/>
              <w:rPr>
                <w:sz w:val="17"/>
                <w:szCs w:val="17"/>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22</w:t>
            </w:r>
          </w:p>
        </w:tc>
        <w:tc>
          <w:tcPr>
            <w:tcW w:w="240" w:type="dxa"/>
            <w:vAlign w:val="bottom"/>
            <w:tcBorders>
              <w:right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20" w:type="dxa"/>
            <w:vAlign w:val="bottom"/>
            <w:tcBorders>
              <w:right w:val="single" w:sz="8" w:color="auto"/>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803</w:t>
            </w:r>
          </w:p>
        </w:tc>
        <w:tc>
          <w:tcPr>
            <w:tcW w:w="160" w:type="dxa"/>
            <w:vAlign w:val="bottom"/>
            <w:shd w:val="clear" w:color="auto" w:fill="F0FFFF"/>
          </w:tcPr>
          <w:p>
            <w:pPr>
              <w:spacing w:after="0"/>
              <w:rPr>
                <w:sz w:val="17"/>
                <w:szCs w:val="17"/>
                <w:color w:val="auto"/>
              </w:rPr>
            </w:pPr>
          </w:p>
        </w:tc>
        <w:tc>
          <w:tcPr>
            <w:tcW w:w="94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1,310</w:t>
            </w:r>
          </w:p>
        </w:tc>
        <w:tc>
          <w:tcPr>
            <w:tcW w:w="280" w:type="dxa"/>
            <w:vAlign w:val="bottom"/>
            <w:shd w:val="clear" w:color="auto" w:fill="F0FFFF"/>
          </w:tcPr>
          <w:p>
            <w:pPr>
              <w:spacing w:after="0"/>
              <w:rPr>
                <w:sz w:val="17"/>
                <w:szCs w:val="17"/>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81</w:t>
            </w:r>
          </w:p>
        </w:tc>
        <w:tc>
          <w:tcPr>
            <w:tcW w:w="240" w:type="dxa"/>
            <w:vAlign w:val="bottom"/>
            <w:tcBorders>
              <w:right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8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1,391</w:t>
            </w: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40" w:type="dxa"/>
            <w:vAlign w:val="bottom"/>
            <w:tcBorders>
              <w:right w:val="single" w:sz="8" w:color="F0FFFF"/>
            </w:tcBorders>
            <w:gridSpan w:val="2"/>
            <w:shd w:val="clear" w:color="auto" w:fill="F0FFFF"/>
          </w:tcPr>
          <w:p>
            <w:pPr>
              <w:jc w:val="right"/>
              <w:ind w:right="135"/>
              <w:spacing w:after="0"/>
              <w:rPr>
                <w:sz w:val="20"/>
                <w:szCs w:val="20"/>
                <w:color w:val="auto"/>
              </w:rPr>
            </w:pPr>
            <w:r>
              <w:rPr>
                <w:rFonts w:ascii="Arial" w:cs="Arial" w:eastAsia="Arial" w:hAnsi="Arial"/>
                <w:sz w:val="17"/>
                <w:szCs w:val="17"/>
                <w:color w:val="auto"/>
              </w:rPr>
              <w:t>1,145</w:t>
            </w:r>
          </w:p>
        </w:tc>
        <w:tc>
          <w:tcPr>
            <w:tcW w:w="280" w:type="dxa"/>
            <w:vAlign w:val="bottom"/>
            <w:shd w:val="clear" w:color="auto" w:fill="F0FFFF"/>
          </w:tcPr>
          <w:p>
            <w:pPr>
              <w:spacing w:after="0"/>
              <w:rPr>
                <w:sz w:val="17"/>
                <w:szCs w:val="17"/>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8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1,145</w:t>
            </w:r>
          </w:p>
        </w:tc>
      </w:tr>
      <w:tr>
        <w:trPr>
          <w:trHeight w:val="205"/>
        </w:trPr>
        <w:tc>
          <w:tcPr>
            <w:tcW w:w="2080" w:type="dxa"/>
            <w:vAlign w:val="bottom"/>
          </w:tcPr>
          <w:p>
            <w:pPr>
              <w:spacing w:after="0"/>
              <w:rPr>
                <w:sz w:val="20"/>
                <w:szCs w:val="20"/>
                <w:color w:val="auto"/>
              </w:rPr>
            </w:pPr>
            <w:r>
              <w:rPr>
                <w:rFonts w:ascii="Arial" w:cs="Arial" w:eastAsia="Arial" w:hAnsi="Arial"/>
                <w:sz w:val="17"/>
                <w:szCs w:val="17"/>
                <w:color w:val="auto"/>
              </w:rPr>
              <w:t>East Tennessee</w:t>
            </w:r>
          </w:p>
        </w:tc>
        <w:tc>
          <w:tcPr>
            <w:tcW w:w="140" w:type="dxa"/>
            <w:vAlign w:val="bottom"/>
          </w:tcPr>
          <w:p>
            <w:pPr>
              <w:spacing w:after="0"/>
              <w:rPr>
                <w:sz w:val="17"/>
                <w:szCs w:val="17"/>
                <w:color w:val="auto"/>
              </w:rPr>
            </w:pPr>
          </w:p>
        </w:tc>
        <w:tc>
          <w:tcPr>
            <w:tcW w:w="920" w:type="dxa"/>
            <w:vAlign w:val="bottom"/>
            <w:gridSpan w:val="2"/>
          </w:tcPr>
          <w:p>
            <w:pPr>
              <w:jc w:val="right"/>
              <w:ind w:right="135"/>
              <w:spacing w:after="0"/>
              <w:rPr>
                <w:sz w:val="20"/>
                <w:szCs w:val="20"/>
                <w:color w:val="auto"/>
              </w:rPr>
            </w:pPr>
            <w:r>
              <w:rPr>
                <w:rFonts w:ascii="Arial" w:cs="Arial" w:eastAsia="Arial" w:hAnsi="Arial"/>
                <w:sz w:val="17"/>
                <w:szCs w:val="17"/>
                <w:color w:val="auto"/>
              </w:rPr>
              <w:t>1,808</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30</w:t>
            </w:r>
          </w:p>
        </w:tc>
        <w:tc>
          <w:tcPr>
            <w:tcW w:w="2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1,838</w:t>
            </w:r>
          </w:p>
        </w:tc>
        <w:tc>
          <w:tcPr>
            <w:tcW w:w="16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1,414</w:t>
            </w:r>
          </w:p>
        </w:tc>
        <w:tc>
          <w:tcPr>
            <w:tcW w:w="280" w:type="dxa"/>
            <w:vAlign w:val="bottom"/>
          </w:tcPr>
          <w:p>
            <w:pPr>
              <w:spacing w:after="0"/>
              <w:rPr>
                <w:sz w:val="17"/>
                <w:szCs w:val="17"/>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201</w:t>
            </w:r>
          </w:p>
        </w:tc>
        <w:tc>
          <w:tcPr>
            <w:tcW w:w="12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1,615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35"/>
              <w:spacing w:after="0"/>
              <w:rPr>
                <w:sz w:val="20"/>
                <w:szCs w:val="20"/>
                <w:color w:val="auto"/>
              </w:rPr>
            </w:pPr>
            <w:r>
              <w:rPr>
                <w:rFonts w:ascii="Arial" w:cs="Arial" w:eastAsia="Arial" w:hAnsi="Arial"/>
                <w:sz w:val="17"/>
                <w:szCs w:val="17"/>
                <w:color w:val="auto"/>
              </w:rPr>
              <w:t>1,428</w:t>
            </w:r>
          </w:p>
        </w:tc>
        <w:tc>
          <w:tcPr>
            <w:tcW w:w="2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159</w:t>
            </w:r>
          </w:p>
        </w:tc>
        <w:tc>
          <w:tcPr>
            <w:tcW w:w="12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1,587</w:t>
            </w:r>
          </w:p>
        </w:tc>
      </w:tr>
      <w:tr>
        <w:trPr>
          <w:trHeight w:val="193"/>
        </w:trPr>
        <w:tc>
          <w:tcPr>
            <w:tcW w:w="2080" w:type="dxa"/>
            <w:vAlign w:val="bottom"/>
            <w:tcBorders>
              <w:right w:val="single" w:sz="8" w:color="F0FFFF"/>
            </w:tcBorders>
            <w:shd w:val="clear" w:color="auto" w:fill="F0FFFF"/>
          </w:tcPr>
          <w:p>
            <w:pPr>
              <w:spacing w:after="0" w:line="193" w:lineRule="exact"/>
              <w:rPr>
                <w:sz w:val="20"/>
                <w:szCs w:val="20"/>
                <w:color w:val="auto"/>
              </w:rPr>
            </w:pPr>
            <w:r>
              <w:rPr>
                <w:rFonts w:ascii="Arial" w:cs="Arial" w:eastAsia="Arial" w:hAnsi="Arial"/>
                <w:sz w:val="17"/>
                <w:szCs w:val="17"/>
                <w:color w:val="auto"/>
                <w:w w:val="95"/>
              </w:rPr>
              <w:t>South Carolina / Specialized</w:t>
            </w:r>
          </w:p>
        </w:tc>
        <w:tc>
          <w:tcPr>
            <w:tcW w:w="140" w:type="dxa"/>
            <w:vAlign w:val="bottom"/>
            <w:shd w:val="clear" w:color="auto" w:fill="F0FFFF"/>
          </w:tcPr>
          <w:p>
            <w:pPr>
              <w:spacing w:after="0"/>
              <w:rPr>
                <w:sz w:val="16"/>
                <w:szCs w:val="16"/>
                <w:color w:val="auto"/>
              </w:rPr>
            </w:pPr>
          </w:p>
        </w:tc>
        <w:tc>
          <w:tcPr>
            <w:tcW w:w="7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560" w:type="dxa"/>
            <w:vAlign w:val="bottom"/>
            <w:shd w:val="clear" w:color="auto" w:fill="F0FFFF"/>
          </w:tcPr>
          <w:p>
            <w:pPr>
              <w:spacing w:after="0"/>
              <w:rPr>
                <w:sz w:val="16"/>
                <w:szCs w:val="16"/>
                <w:color w:val="auto"/>
              </w:rPr>
            </w:pPr>
          </w:p>
        </w:tc>
        <w:tc>
          <w:tcPr>
            <w:tcW w:w="240" w:type="dxa"/>
            <w:vAlign w:val="bottom"/>
            <w:tcBorders>
              <w:right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580" w:type="dxa"/>
            <w:vAlign w:val="bottom"/>
            <w:shd w:val="clear" w:color="auto" w:fill="F0FFFF"/>
          </w:tcPr>
          <w:p>
            <w:pPr>
              <w:spacing w:after="0"/>
              <w:rPr>
                <w:sz w:val="16"/>
                <w:szCs w:val="16"/>
                <w:color w:val="auto"/>
              </w:rPr>
            </w:pPr>
          </w:p>
        </w:tc>
        <w:tc>
          <w:tcPr>
            <w:tcW w:w="240" w:type="dxa"/>
            <w:vAlign w:val="bottom"/>
            <w:tcBorders>
              <w:right w:val="single" w:sz="8" w:color="auto"/>
            </w:tcBorders>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00" w:type="dxa"/>
            <w:vAlign w:val="bottom"/>
            <w:shd w:val="clear" w:color="auto" w:fill="F0FFFF"/>
          </w:tcPr>
          <w:p>
            <w:pPr>
              <w:spacing w:after="0"/>
              <w:rPr>
                <w:sz w:val="16"/>
                <w:szCs w:val="16"/>
                <w:color w:val="auto"/>
              </w:rPr>
            </w:pPr>
          </w:p>
        </w:tc>
        <w:tc>
          <w:tcPr>
            <w:tcW w:w="240" w:type="dxa"/>
            <w:vAlign w:val="bottom"/>
            <w:tcBorders>
              <w:right w:val="single" w:sz="8" w:color="F0FFFF"/>
            </w:tcBorders>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560" w:type="dxa"/>
            <w:vAlign w:val="bottom"/>
            <w:shd w:val="clear" w:color="auto" w:fill="F0FFFF"/>
          </w:tcPr>
          <w:p>
            <w:pPr>
              <w:spacing w:after="0"/>
              <w:rPr>
                <w:sz w:val="16"/>
                <w:szCs w:val="16"/>
                <w:color w:val="auto"/>
              </w:rPr>
            </w:pPr>
          </w:p>
        </w:tc>
        <w:tc>
          <w:tcPr>
            <w:tcW w:w="240" w:type="dxa"/>
            <w:vAlign w:val="bottom"/>
            <w:tcBorders>
              <w:right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600" w:type="dxa"/>
            <w:vAlign w:val="bottom"/>
            <w:shd w:val="clear" w:color="auto" w:fill="F0FFFF"/>
          </w:tcPr>
          <w:p>
            <w:pPr>
              <w:spacing w:after="0"/>
              <w:rPr>
                <w:sz w:val="16"/>
                <w:szCs w:val="16"/>
                <w:color w:val="auto"/>
              </w:rPr>
            </w:pPr>
          </w:p>
        </w:tc>
        <w:tc>
          <w:tcPr>
            <w:tcW w:w="180" w:type="dxa"/>
            <w:vAlign w:val="bottom"/>
            <w:tcBorders>
              <w:right w:val="single" w:sz="8" w:color="auto"/>
            </w:tcBorders>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20" w:type="dxa"/>
            <w:vAlign w:val="bottom"/>
            <w:shd w:val="clear" w:color="auto" w:fill="F0FFFF"/>
          </w:tcPr>
          <w:p>
            <w:pPr>
              <w:spacing w:after="0"/>
              <w:rPr>
                <w:sz w:val="16"/>
                <w:szCs w:val="16"/>
                <w:color w:val="auto"/>
              </w:rPr>
            </w:pPr>
          </w:p>
        </w:tc>
        <w:tc>
          <w:tcPr>
            <w:tcW w:w="220" w:type="dxa"/>
            <w:vAlign w:val="bottom"/>
            <w:tcBorders>
              <w:right w:val="single" w:sz="8" w:color="F0FFFF"/>
            </w:tcBorders>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580" w:type="dxa"/>
            <w:vAlign w:val="bottom"/>
            <w:shd w:val="clear" w:color="auto" w:fill="F0FFFF"/>
          </w:tcPr>
          <w:p>
            <w:pPr>
              <w:spacing w:after="0"/>
              <w:rPr>
                <w:sz w:val="16"/>
                <w:szCs w:val="16"/>
                <w:color w:val="auto"/>
              </w:rPr>
            </w:pPr>
          </w:p>
        </w:tc>
        <w:tc>
          <w:tcPr>
            <w:tcW w:w="240" w:type="dxa"/>
            <w:vAlign w:val="bottom"/>
            <w:tcBorders>
              <w:right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600" w:type="dxa"/>
            <w:vAlign w:val="bottom"/>
            <w:shd w:val="clear" w:color="auto" w:fill="F0FFFF"/>
          </w:tcPr>
          <w:p>
            <w:pPr>
              <w:spacing w:after="0"/>
              <w:rPr>
                <w:sz w:val="16"/>
                <w:szCs w:val="16"/>
                <w:color w:val="auto"/>
              </w:rPr>
            </w:pPr>
          </w:p>
        </w:tc>
        <w:tc>
          <w:tcPr>
            <w:tcW w:w="180" w:type="dxa"/>
            <w:vAlign w:val="bottom"/>
            <w:tcBorders>
              <w:right w:val="single" w:sz="8" w:color="auto"/>
            </w:tcBorders>
            <w:shd w:val="clear" w:color="auto" w:fill="F0FFFF"/>
          </w:tcPr>
          <w:p>
            <w:pPr>
              <w:spacing w:after="0"/>
              <w:rPr>
                <w:sz w:val="16"/>
                <w:szCs w:val="16"/>
                <w:color w:val="auto"/>
              </w:rPr>
            </w:pPr>
          </w:p>
        </w:tc>
      </w:tr>
      <w:tr>
        <w:trPr>
          <w:trHeight w:val="218"/>
        </w:trPr>
        <w:tc>
          <w:tcPr>
            <w:tcW w:w="2080" w:type="dxa"/>
            <w:vAlign w:val="bottom"/>
            <w:tcBorders>
              <w:right w:val="single" w:sz="8" w:color="F0FFFF"/>
            </w:tcBorders>
            <w:shd w:val="clear" w:color="auto" w:fill="F0FFFF"/>
          </w:tcPr>
          <w:p>
            <w:pPr>
              <w:ind w:left="160"/>
              <w:spacing w:after="0"/>
              <w:rPr>
                <w:sz w:val="20"/>
                <w:szCs w:val="20"/>
                <w:color w:val="auto"/>
              </w:rPr>
            </w:pPr>
            <w:r>
              <w:rPr>
                <w:rFonts w:ascii="Arial" w:cs="Arial" w:eastAsia="Arial" w:hAnsi="Arial"/>
                <w:sz w:val="17"/>
                <w:szCs w:val="17"/>
                <w:color w:val="auto"/>
              </w:rPr>
              <w:t>Lending</w:t>
            </w:r>
          </w:p>
        </w:tc>
        <w:tc>
          <w:tcPr>
            <w:tcW w:w="1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35"/>
              <w:spacing w:after="0"/>
              <w:rPr>
                <w:sz w:val="20"/>
                <w:szCs w:val="20"/>
                <w:color w:val="auto"/>
              </w:rPr>
            </w:pPr>
            <w:r>
              <w:rPr>
                <w:rFonts w:ascii="Arial" w:cs="Arial" w:eastAsia="Arial" w:hAnsi="Arial"/>
                <w:sz w:val="17"/>
                <w:szCs w:val="17"/>
                <w:color w:val="auto"/>
              </w:rPr>
              <w:t>1,700</w:t>
            </w:r>
          </w:p>
        </w:tc>
        <w:tc>
          <w:tcPr>
            <w:tcW w:w="280" w:type="dxa"/>
            <w:vAlign w:val="bottom"/>
            <w:shd w:val="clear" w:color="auto" w:fill="F0FFFF"/>
          </w:tcPr>
          <w:p>
            <w:pPr>
              <w:spacing w:after="0"/>
              <w:rPr>
                <w:sz w:val="18"/>
                <w:szCs w:val="18"/>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58</w:t>
            </w:r>
          </w:p>
        </w:tc>
        <w:tc>
          <w:tcPr>
            <w:tcW w:w="240" w:type="dxa"/>
            <w:vAlign w:val="bottom"/>
            <w:tcBorders>
              <w:right w:val="single" w:sz="8" w:color="auto"/>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20" w:type="dxa"/>
            <w:vAlign w:val="bottom"/>
            <w:tcBorders>
              <w:right w:val="single" w:sz="8" w:color="auto"/>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1,758</w:t>
            </w:r>
          </w:p>
        </w:tc>
        <w:tc>
          <w:tcPr>
            <w:tcW w:w="160" w:type="dxa"/>
            <w:vAlign w:val="bottom"/>
            <w:shd w:val="clear" w:color="auto" w:fill="F0FFFF"/>
          </w:tcPr>
          <w:p>
            <w:pPr>
              <w:spacing w:after="0"/>
              <w:rPr>
                <w:sz w:val="18"/>
                <w:szCs w:val="18"/>
                <w:color w:val="auto"/>
              </w:rPr>
            </w:pPr>
          </w:p>
        </w:tc>
        <w:tc>
          <w:tcPr>
            <w:tcW w:w="94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1,285</w:t>
            </w:r>
          </w:p>
        </w:tc>
        <w:tc>
          <w:tcPr>
            <w:tcW w:w="280" w:type="dxa"/>
            <w:vAlign w:val="bottom"/>
            <w:shd w:val="clear" w:color="auto" w:fill="F0FFFF"/>
          </w:tcPr>
          <w:p>
            <w:pPr>
              <w:spacing w:after="0"/>
              <w:rPr>
                <w:sz w:val="18"/>
                <w:szCs w:val="18"/>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22</w:t>
            </w:r>
          </w:p>
        </w:tc>
        <w:tc>
          <w:tcPr>
            <w:tcW w:w="240" w:type="dxa"/>
            <w:vAlign w:val="bottom"/>
            <w:tcBorders>
              <w:right w:val="single" w:sz="8" w:color="auto"/>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1,307</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40" w:type="dxa"/>
            <w:vAlign w:val="bottom"/>
            <w:tcBorders>
              <w:right w:val="single" w:sz="8" w:color="F0FFFF"/>
            </w:tcBorders>
            <w:gridSpan w:val="2"/>
            <w:shd w:val="clear" w:color="auto" w:fill="F0FFFF"/>
          </w:tcPr>
          <w:p>
            <w:pPr>
              <w:jc w:val="right"/>
              <w:ind w:right="135"/>
              <w:spacing w:after="0"/>
              <w:rPr>
                <w:sz w:val="20"/>
                <w:szCs w:val="20"/>
                <w:color w:val="auto"/>
              </w:rPr>
            </w:pPr>
            <w:r>
              <w:rPr>
                <w:rFonts w:ascii="Arial" w:cs="Arial" w:eastAsia="Arial" w:hAnsi="Arial"/>
                <w:sz w:val="17"/>
                <w:szCs w:val="17"/>
                <w:color w:val="auto"/>
              </w:rPr>
              <w:t>-</w:t>
            </w:r>
          </w:p>
        </w:tc>
        <w:tc>
          <w:tcPr>
            <w:tcW w:w="280" w:type="dxa"/>
            <w:vAlign w:val="bottom"/>
            <w:shd w:val="clear" w:color="auto" w:fill="F0FFFF"/>
          </w:tcPr>
          <w:p>
            <w:pPr>
              <w:spacing w:after="0"/>
              <w:rPr>
                <w:sz w:val="18"/>
                <w:szCs w:val="18"/>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w:t>
            </w:r>
          </w:p>
        </w:tc>
      </w:tr>
      <w:tr>
        <w:trPr>
          <w:trHeight w:val="205"/>
        </w:trPr>
        <w:tc>
          <w:tcPr>
            <w:tcW w:w="2080" w:type="dxa"/>
            <w:vAlign w:val="bottom"/>
          </w:tcPr>
          <w:p>
            <w:pPr>
              <w:spacing w:after="0"/>
              <w:rPr>
                <w:sz w:val="20"/>
                <w:szCs w:val="20"/>
                <w:color w:val="auto"/>
              </w:rPr>
            </w:pPr>
            <w:r>
              <w:rPr>
                <w:rFonts w:ascii="Arial" w:cs="Arial" w:eastAsia="Arial" w:hAnsi="Arial"/>
                <w:sz w:val="17"/>
                <w:szCs w:val="17"/>
                <w:color w:val="auto"/>
              </w:rPr>
              <w:t>Indirect auto</w:t>
            </w:r>
          </w:p>
        </w:tc>
        <w:tc>
          <w:tcPr>
            <w:tcW w:w="140" w:type="dxa"/>
            <w:vAlign w:val="bottom"/>
          </w:tcPr>
          <w:p>
            <w:pPr>
              <w:spacing w:after="0"/>
              <w:rPr>
                <w:sz w:val="17"/>
                <w:szCs w:val="17"/>
                <w:color w:val="auto"/>
              </w:rPr>
            </w:pPr>
          </w:p>
        </w:tc>
        <w:tc>
          <w:tcPr>
            <w:tcW w:w="920" w:type="dxa"/>
            <w:vAlign w:val="bottom"/>
            <w:gridSpan w:val="2"/>
          </w:tcPr>
          <w:p>
            <w:pPr>
              <w:jc w:val="right"/>
              <w:ind w:right="135"/>
              <w:spacing w:after="0"/>
              <w:rPr>
                <w:sz w:val="20"/>
                <w:szCs w:val="20"/>
                <w:color w:val="auto"/>
              </w:rPr>
            </w:pPr>
            <w:r>
              <w:rPr>
                <w:rFonts w:ascii="Arial" w:cs="Arial" w:eastAsia="Arial" w:hAnsi="Arial"/>
                <w:sz w:val="17"/>
                <w:szCs w:val="17"/>
                <w:color w:val="auto"/>
              </w:rPr>
              <w:t>500</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500</w:t>
            </w:r>
          </w:p>
        </w:tc>
        <w:tc>
          <w:tcPr>
            <w:tcW w:w="16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346</w:t>
            </w: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346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35"/>
              <w:spacing w:after="0"/>
              <w:rPr>
                <w:sz w:val="20"/>
                <w:szCs w:val="20"/>
                <w:color w:val="auto"/>
              </w:rPr>
            </w:pPr>
            <w:r>
              <w:rPr>
                <w:rFonts w:ascii="Arial" w:cs="Arial" w:eastAsia="Arial" w:hAnsi="Arial"/>
                <w:sz w:val="17"/>
                <w:szCs w:val="17"/>
                <w:color w:val="auto"/>
              </w:rPr>
              <w:t>294</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294</w:t>
            </w:r>
          </w:p>
        </w:tc>
      </w:tr>
      <w:tr>
        <w:trPr>
          <w:trHeight w:val="26"/>
        </w:trPr>
        <w:tc>
          <w:tcPr>
            <w:tcW w:w="2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r>
      <w:tr>
        <w:trPr>
          <w:trHeight w:val="225"/>
        </w:trPr>
        <w:tc>
          <w:tcPr>
            <w:tcW w:w="2080" w:type="dxa"/>
            <w:vAlign w:val="bottom"/>
            <w:tcBorders>
              <w:right w:val="single" w:sz="8" w:color="F0FFFF"/>
            </w:tcBorders>
            <w:shd w:val="clear" w:color="auto" w:fill="F0FFFF"/>
          </w:tcPr>
          <w:p>
            <w:pPr>
              <w:ind w:left="220"/>
              <w:spacing w:after="0"/>
              <w:rPr>
                <w:sz w:val="20"/>
                <w:szCs w:val="20"/>
                <w:color w:val="auto"/>
              </w:rPr>
            </w:pPr>
            <w:r>
              <w:rPr>
                <w:rFonts w:ascii="Arial" w:cs="Arial" w:eastAsia="Arial" w:hAnsi="Arial"/>
                <w:sz w:val="17"/>
                <w:szCs w:val="17"/>
                <w:b w:val="1"/>
                <w:bCs w:val="1"/>
                <w:color w:val="auto"/>
              </w:rPr>
              <w:t>Total NPAs</w:t>
            </w:r>
          </w:p>
        </w:tc>
        <w:tc>
          <w:tcPr>
            <w:tcW w:w="140" w:type="dxa"/>
            <w:vAlign w:val="bottom"/>
            <w:shd w:val="clear" w:color="auto" w:fill="F0FFFF"/>
          </w:tcPr>
          <w:p>
            <w:pPr>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F0FFFF"/>
          </w:tcPr>
          <w:p>
            <w:pPr>
              <w:jc w:val="right"/>
              <w:ind w:right="135"/>
              <w:spacing w:after="0"/>
              <w:rPr>
                <w:sz w:val="20"/>
                <w:szCs w:val="20"/>
                <w:color w:val="auto"/>
              </w:rPr>
            </w:pPr>
            <w:r>
              <w:rPr>
                <w:rFonts w:ascii="Arial" w:cs="Arial" w:eastAsia="Arial" w:hAnsi="Arial"/>
                <w:sz w:val="17"/>
                <w:szCs w:val="17"/>
                <w:color w:val="auto"/>
              </w:rPr>
              <w:t>19,015</w:t>
            </w:r>
          </w:p>
        </w:tc>
        <w:tc>
          <w:tcPr>
            <w:tcW w:w="280" w:type="dxa"/>
            <w:vAlign w:val="bottom"/>
            <w:shd w:val="clear" w:color="auto" w:fill="F0FFFF"/>
          </w:tcPr>
          <w:p>
            <w:pPr>
              <w:jc w:val="right"/>
              <w:ind w:right="122"/>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auto"/>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1,158</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auto"/>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20,173</w:t>
            </w:r>
          </w:p>
        </w:tc>
        <w:tc>
          <w:tcPr>
            <w:tcW w:w="160" w:type="dxa"/>
            <w:vAlign w:val="bottom"/>
            <w:shd w:val="clear" w:color="auto" w:fill="F0FFFF"/>
          </w:tcPr>
          <w:p>
            <w:pPr>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17,881</w:t>
            </w:r>
          </w:p>
        </w:tc>
        <w:tc>
          <w:tcPr>
            <w:tcW w:w="280" w:type="dxa"/>
            <w:vAlign w:val="bottom"/>
            <w:shd w:val="clear" w:color="auto" w:fill="F0FFFF"/>
          </w:tcPr>
          <w:p>
            <w:pPr>
              <w:jc w:val="right"/>
              <w:ind w:right="122"/>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1,726</w:t>
            </w:r>
          </w:p>
        </w:tc>
        <w:tc>
          <w:tcPr>
            <w:tcW w:w="240" w:type="dxa"/>
            <w:vAlign w:val="bottom"/>
            <w:tcBorders>
              <w:right w:val="single" w:sz="8" w:color="auto"/>
            </w:tcBorders>
            <w:shd w:val="clear" w:color="auto" w:fill="F0FFFF"/>
          </w:tcPr>
          <w:p>
            <w:pPr>
              <w:spacing w:after="0"/>
              <w:rPr>
                <w:sz w:val="19"/>
                <w:szCs w:val="19"/>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19,607</w:t>
            </w:r>
          </w:p>
        </w:tc>
        <w:tc>
          <w:tcPr>
            <w:tcW w:w="8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F0FFFF"/>
            </w:tcBorders>
            <w:gridSpan w:val="2"/>
            <w:shd w:val="clear" w:color="auto" w:fill="F0FFFF"/>
          </w:tcPr>
          <w:p>
            <w:pPr>
              <w:jc w:val="right"/>
              <w:ind w:right="135"/>
              <w:spacing w:after="0"/>
              <w:rPr>
                <w:sz w:val="20"/>
                <w:szCs w:val="20"/>
                <w:color w:val="auto"/>
              </w:rPr>
            </w:pPr>
            <w:r>
              <w:rPr>
                <w:rFonts w:ascii="Arial" w:cs="Arial" w:eastAsia="Arial" w:hAnsi="Arial"/>
                <w:sz w:val="17"/>
                <w:szCs w:val="17"/>
                <w:color w:val="auto"/>
              </w:rPr>
              <w:t>25,250</w:t>
            </w:r>
          </w:p>
        </w:tc>
        <w:tc>
          <w:tcPr>
            <w:tcW w:w="280" w:type="dxa"/>
            <w:vAlign w:val="bottom"/>
            <w:shd w:val="clear" w:color="auto" w:fill="F0FFFF"/>
          </w:tcPr>
          <w:p>
            <w:pPr>
              <w:jc w:val="right"/>
              <w:ind w:right="95"/>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5,594</w:t>
            </w:r>
          </w:p>
        </w:tc>
        <w:tc>
          <w:tcPr>
            <w:tcW w:w="240" w:type="dxa"/>
            <w:vAlign w:val="bottom"/>
            <w:tcBorders>
              <w:right w:val="single" w:sz="8" w:color="auto"/>
            </w:tcBorders>
            <w:shd w:val="clear" w:color="auto" w:fill="F0FFFF"/>
          </w:tcPr>
          <w:p>
            <w:pPr>
              <w:spacing w:after="0"/>
              <w:rPr>
                <w:sz w:val="19"/>
                <w:szCs w:val="19"/>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30,844</w:t>
            </w:r>
          </w:p>
        </w:tc>
      </w:tr>
      <w:tr>
        <w:trPr>
          <w:trHeight w:val="20"/>
        </w:trPr>
        <w:tc>
          <w:tcPr>
            <w:tcW w:w="208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right w:val="single" w:sz="8" w:color="auto"/>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right w:val="single" w:sz="8" w:color="auto"/>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right w:val="single" w:sz="8" w:color="auto"/>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right w:val="single" w:sz="8" w:color="auto"/>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right w:val="single" w:sz="8" w:color="auto"/>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right w:val="single" w:sz="8" w:color="auto"/>
            </w:tcBorders>
            <w:shd w:val="clear" w:color="auto" w:fill="F0FFFF"/>
          </w:tcPr>
          <w:p>
            <w:pPr>
              <w:spacing w:after="0" w:line="20" w:lineRule="exact"/>
              <w:rPr>
                <w:sz w:val="1"/>
                <w:szCs w:val="1"/>
                <w:color w:val="auto"/>
              </w:rPr>
            </w:pPr>
          </w:p>
        </w:tc>
      </w:tr>
    </w:tbl>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Nonperforming assets have decreased in nearly every category and market from a year ago and the beginning of the year. The decreases reflect improving credit conditions.</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At March 31,2015, December 31, 2014, and March 31, 2014, United had $86.4 million, $85.1 million and $85.9 million, respectively, in loans with terms that have been modified in TDRs. Included therein were $4.14 million, $3.78 million and $7.98 million, respectively, of TDRs that were not performing in accordance with their modified terms and were included in nonperforming loans. The remaining TDRs with an aggregate balance of $82.3 million, $81.3 million and $77.9 million, respectively, were performing according to their modified terms and are therefore not considered to be nonperforming assets.</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 xml:space="preserve">At March 31, 2015, December 31, 2014 and March 31, 2014, there were $107 million, $106 million and $105 million, respectively, of loans classified as impaired under the definition outlined in the Accounting Standards Codification, including TDRs which are by definition considered impaired. Included in impaired loans at March 31, 2015, December 31, 2014 and March 31, 2014 was $29.9 million, $25.5 million and $30.7 million, respectively, that did not require specific reserves or had previously been charged down to net realizable value. The balance of impaired loans at March 31, 2015, December 31, 2014 and March 31, 2014 of $77.0 million, $81.0 million and $74.4 million, respectively, had specific reserves that totaled $7.59 million, $9.88 million and $8.40 million, respectively. The average recorded investment in impaired loans for the first quarters of 2015 and 2014 was $108 million and $108 million, respectively. For the three ended March 31, 2015, United recognized $1.24 million in interest revenue on impaired loans compared to $1.22 million for the same period of the prior year. United’s policy is to discontinue the recognition of interest revenue for loans classified as impaired under ASC 310-10-35, </w:t>
      </w:r>
      <w:r>
        <w:rPr>
          <w:rFonts w:ascii="Arial" w:cs="Arial" w:eastAsia="Arial" w:hAnsi="Arial"/>
          <w:sz w:val="16"/>
          <w:szCs w:val="16"/>
          <w:i w:val="1"/>
          <w:iCs w:val="1"/>
          <w:color w:val="auto"/>
        </w:rPr>
        <w:t>Receivables,</w:t>
      </w:r>
      <w:r>
        <w:rPr>
          <w:rFonts w:ascii="Arial" w:cs="Arial" w:eastAsia="Arial" w:hAnsi="Arial"/>
          <w:sz w:val="16"/>
          <w:szCs w:val="16"/>
          <w:color w:val="auto"/>
        </w:rPr>
        <w:t xml:space="preserve"> when a loan meets the criteria for nonaccrual status. Impaired loans increased 10% from March 31, 2015 to March 31, 2014, due primarily to the higher level of TDRs.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83" w:right="239" w:bottom="1440" w:gutter="0" w:footer="0" w:header="0"/>
        </w:sectPr>
      </w:pPr>
    </w:p>
    <w:bookmarkStart w:id="52" w:name="page53"/>
    <w:bookmarkEnd w:id="52"/>
    <w:p>
      <w:pPr>
        <w:spacing w:after="0"/>
        <w:rPr>
          <w:sz w:val="20"/>
          <w:szCs w:val="20"/>
          <w:color w:val="auto"/>
        </w:rPr>
      </w:pPr>
      <w:r>
        <w:rPr>
          <w:rFonts w:ascii="Arial" w:cs="Arial" w:eastAsia="Arial" w:hAnsi="Arial"/>
          <w:sz w:val="17"/>
          <w:szCs w:val="17"/>
          <w:color w:val="auto"/>
        </w:rPr>
        <w:t>The table below summarizes activity in nonperforming assets by quarter.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11 - Activity in Nonperforming Assets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5"/>
            <w:vMerge w:val="restart"/>
          </w:tcPr>
          <w:p>
            <w:pPr>
              <w:jc w:val="center"/>
              <w:ind w:right="80"/>
              <w:spacing w:after="0"/>
              <w:rPr>
                <w:sz w:val="20"/>
                <w:szCs w:val="20"/>
                <w:color w:val="auto"/>
              </w:rPr>
            </w:pPr>
            <w:r>
              <w:rPr>
                <w:rFonts w:ascii="Arial" w:cs="Arial" w:eastAsia="Arial" w:hAnsi="Arial"/>
                <w:sz w:val="17"/>
                <w:szCs w:val="17"/>
                <w:b w:val="1"/>
                <w:bCs w:val="1"/>
                <w:color w:val="auto"/>
                <w:w w:val="94"/>
              </w:rPr>
              <w:t>First Quarter 2015</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80" w:type="dxa"/>
            <w:vAlign w:val="bottom"/>
            <w:gridSpan w:val="4"/>
            <w:vMerge w:val="restart"/>
          </w:tcPr>
          <w:p>
            <w:pPr>
              <w:jc w:val="right"/>
              <w:ind w:right="40"/>
              <w:spacing w:after="0"/>
              <w:rPr>
                <w:sz w:val="20"/>
                <w:szCs w:val="20"/>
                <w:color w:val="auto"/>
              </w:rPr>
            </w:pPr>
            <w:r>
              <w:rPr>
                <w:rFonts w:ascii="Arial" w:cs="Arial" w:eastAsia="Arial" w:hAnsi="Arial"/>
                <w:sz w:val="17"/>
                <w:szCs w:val="17"/>
                <w:b w:val="1"/>
                <w:bCs w:val="1"/>
                <w:color w:val="auto"/>
                <w:w w:val="97"/>
              </w:rPr>
              <w:t>First Quarter 2014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5"/>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40"/>
              <w:spacing w:after="0" w:line="189" w:lineRule="exact"/>
              <w:rPr>
                <w:sz w:val="20"/>
                <w:szCs w:val="20"/>
                <w:color w:val="auto"/>
              </w:rPr>
            </w:pPr>
            <w:r>
              <w:rPr>
                <w:rFonts w:ascii="Arial" w:cs="Arial" w:eastAsia="Arial" w:hAnsi="Arial"/>
                <w:sz w:val="17"/>
                <w:szCs w:val="17"/>
                <w:b w:val="1"/>
                <w:bCs w:val="1"/>
                <w:color w:val="auto"/>
                <w:w w:val="92"/>
              </w:rPr>
              <w:t>Nonaccrual</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center"/>
              <w:ind w:right="260"/>
              <w:spacing w:after="0" w:line="189" w:lineRule="exact"/>
              <w:rPr>
                <w:sz w:val="20"/>
                <w:szCs w:val="20"/>
                <w:color w:val="auto"/>
              </w:rPr>
            </w:pPr>
            <w:r>
              <w:rPr>
                <w:rFonts w:ascii="Arial" w:cs="Arial" w:eastAsia="Arial" w:hAnsi="Arial"/>
                <w:sz w:val="17"/>
                <w:szCs w:val="17"/>
                <w:b w:val="1"/>
                <w:bCs w:val="1"/>
                <w:color w:val="auto"/>
                <w:w w:val="85"/>
              </w:rPr>
              <w:t>Foreclosed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295"/>
              <w:spacing w:after="0" w:line="189" w:lineRule="exact"/>
              <w:rPr>
                <w:sz w:val="20"/>
                <w:szCs w:val="20"/>
                <w:color w:val="auto"/>
              </w:rPr>
            </w:pPr>
            <w:r>
              <w:rPr>
                <w:rFonts w:ascii="Arial" w:cs="Arial" w:eastAsia="Arial" w:hAnsi="Arial"/>
                <w:sz w:val="17"/>
                <w:szCs w:val="17"/>
                <w:b w:val="1"/>
                <w:bCs w:val="1"/>
                <w:color w:val="auto"/>
              </w:rPr>
              <w:t>Total</w:t>
            </w: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w w:val="92"/>
              </w:rPr>
              <w:t>Nonaccrual</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ind w:left="40"/>
              <w:spacing w:after="0" w:line="189" w:lineRule="exact"/>
              <w:rPr>
                <w:sz w:val="20"/>
                <w:szCs w:val="20"/>
                <w:color w:val="auto"/>
              </w:rPr>
            </w:pPr>
            <w:r>
              <w:rPr>
                <w:rFonts w:ascii="Arial" w:cs="Arial" w:eastAsia="Arial" w:hAnsi="Arial"/>
                <w:sz w:val="17"/>
                <w:szCs w:val="17"/>
                <w:b w:val="1"/>
                <w:bCs w:val="1"/>
                <w:color w:val="auto"/>
              </w:rPr>
              <w:t>Foreclosed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295"/>
              <w:spacing w:after="0" w:line="189" w:lineRule="exact"/>
              <w:rPr>
                <w:sz w:val="20"/>
                <w:szCs w:val="20"/>
                <w:color w:val="auto"/>
              </w:rPr>
            </w:pPr>
            <w:r>
              <w:rPr>
                <w:rFonts w:ascii="Arial" w:cs="Arial" w:eastAsia="Arial" w:hAnsi="Arial"/>
                <w:sz w:val="17"/>
                <w:szCs w:val="17"/>
                <w:b w:val="1"/>
                <w:bCs w:val="1"/>
                <w:color w:val="auto"/>
              </w:rPr>
              <w:t>Total</w:t>
            </w:r>
          </w:p>
        </w:tc>
        <w:tc>
          <w:tcPr>
            <w:tcW w:w="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Loans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90"/>
              </w:rPr>
              <w:t>Properties</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NPAs</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Loans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Properties</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NPAs</w:t>
            </w: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640" w:type="dxa"/>
            <w:vAlign w:val="bottom"/>
            <w:shd w:val="clear" w:color="auto" w:fill="F0FFFF"/>
          </w:tcPr>
          <w:p>
            <w:pPr>
              <w:spacing w:after="0"/>
              <w:rPr>
                <w:sz w:val="20"/>
                <w:szCs w:val="20"/>
                <w:color w:val="auto"/>
              </w:rPr>
            </w:pPr>
            <w:r>
              <w:rPr>
                <w:rFonts w:ascii="Arial" w:cs="Arial" w:eastAsia="Arial" w:hAnsi="Arial"/>
                <w:sz w:val="17"/>
                <w:szCs w:val="17"/>
                <w:b w:val="1"/>
                <w:bCs w:val="1"/>
                <w:color w:val="auto"/>
              </w:rPr>
              <w:t>Beginning Balance</w:t>
            </w:r>
          </w:p>
        </w:tc>
        <w:tc>
          <w:tcPr>
            <w:tcW w:w="80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17,881</w:t>
            </w:r>
          </w:p>
        </w:tc>
        <w:tc>
          <w:tcPr>
            <w:tcW w:w="28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1,726</w:t>
            </w:r>
          </w:p>
        </w:tc>
        <w:tc>
          <w:tcPr>
            <w:tcW w:w="140" w:type="dxa"/>
            <w:vAlign w:val="bottom"/>
            <w:tcBorders>
              <w:right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19,607</w:t>
            </w: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26,819</w:t>
            </w:r>
          </w:p>
        </w:tc>
        <w:tc>
          <w:tcPr>
            <w:tcW w:w="360" w:type="dxa"/>
            <w:vAlign w:val="bottom"/>
            <w:tcBorders>
              <w:left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4,221</w:t>
            </w:r>
          </w:p>
        </w:tc>
        <w:tc>
          <w:tcPr>
            <w:tcW w:w="30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auto"/>
            </w:tcBorders>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31,040</w:t>
            </w:r>
          </w:p>
        </w:tc>
        <w:tc>
          <w:tcPr>
            <w:tcW w:w="0" w:type="dxa"/>
            <w:vAlign w:val="bottom"/>
          </w:tcPr>
          <w:p>
            <w:pPr>
              <w:spacing w:after="0"/>
              <w:rPr>
                <w:sz w:val="1"/>
                <w:szCs w:val="1"/>
                <w:color w:val="auto"/>
              </w:rPr>
            </w:pPr>
          </w:p>
        </w:tc>
      </w:tr>
      <w:tr>
        <w:trPr>
          <w:trHeight w:val="205"/>
        </w:trPr>
        <w:tc>
          <w:tcPr>
            <w:tcW w:w="2640" w:type="dxa"/>
            <w:vAlign w:val="bottom"/>
          </w:tcPr>
          <w:p>
            <w:pPr>
              <w:spacing w:after="0"/>
              <w:rPr>
                <w:sz w:val="20"/>
                <w:szCs w:val="20"/>
                <w:color w:val="auto"/>
              </w:rPr>
            </w:pPr>
            <w:r>
              <w:rPr>
                <w:rFonts w:ascii="Arial" w:cs="Arial" w:eastAsia="Arial" w:hAnsi="Arial"/>
                <w:sz w:val="17"/>
                <w:szCs w:val="17"/>
                <w:color w:val="auto"/>
              </w:rPr>
              <w:t>Loans placed on non-accrual</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5,944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5,944</w:t>
            </w: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9,303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9,303</w:t>
            </w:r>
          </w:p>
        </w:tc>
        <w:tc>
          <w:tcPr>
            <w:tcW w:w="0" w:type="dxa"/>
            <w:vAlign w:val="bottom"/>
          </w:tcPr>
          <w:p>
            <w:pPr>
              <w:spacing w:after="0"/>
              <w:rPr>
                <w:sz w:val="1"/>
                <w:szCs w:val="1"/>
                <w:color w:val="auto"/>
              </w:rPr>
            </w:pPr>
          </w:p>
        </w:tc>
      </w:tr>
      <w:tr>
        <w:trPr>
          <w:trHeight w:val="205"/>
        </w:trPr>
        <w:tc>
          <w:tcPr>
            <w:tcW w:w="2640" w:type="dxa"/>
            <w:vAlign w:val="bottom"/>
            <w:shd w:val="clear" w:color="auto" w:fill="F0FFFF"/>
          </w:tcPr>
          <w:p>
            <w:pPr>
              <w:spacing w:after="0"/>
              <w:rPr>
                <w:sz w:val="20"/>
                <w:szCs w:val="20"/>
                <w:color w:val="auto"/>
              </w:rPr>
            </w:pPr>
            <w:r>
              <w:rPr>
                <w:rFonts w:ascii="Arial" w:cs="Arial" w:eastAsia="Arial" w:hAnsi="Arial"/>
                <w:sz w:val="17"/>
                <w:szCs w:val="17"/>
                <w:color w:val="auto"/>
              </w:rPr>
              <w:t>Payments received</w:t>
            </w:r>
          </w:p>
        </w:tc>
        <w:tc>
          <w:tcPr>
            <w:tcW w:w="6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(1,513)</w:t>
            </w:r>
          </w:p>
        </w:tc>
        <w:tc>
          <w:tcPr>
            <w:tcW w:w="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40" w:type="dxa"/>
            <w:vAlign w:val="bottom"/>
            <w:tcBorders>
              <w:right w:val="single" w:sz="8" w:color="auto"/>
            </w:tcBorders>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(1,513)</w:t>
            </w: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(1,666)</w:t>
            </w:r>
          </w:p>
        </w:tc>
        <w:tc>
          <w:tcPr>
            <w:tcW w:w="220" w:type="dxa"/>
            <w:vAlign w:val="bottom"/>
            <w:tcBorders>
              <w:left w:val="single" w:sz="8" w:color="F0FFFF"/>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2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tcBorders>
              <w:right w:val="single" w:sz="8" w:color="auto"/>
            </w:tcBorders>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(1,666)</w:t>
            </w:r>
          </w:p>
        </w:tc>
        <w:tc>
          <w:tcPr>
            <w:tcW w:w="0" w:type="dxa"/>
            <w:vAlign w:val="bottom"/>
          </w:tcPr>
          <w:p>
            <w:pPr>
              <w:spacing w:after="0"/>
              <w:rPr>
                <w:sz w:val="1"/>
                <w:szCs w:val="1"/>
                <w:color w:val="auto"/>
              </w:rPr>
            </w:pPr>
          </w:p>
        </w:tc>
      </w:tr>
      <w:tr>
        <w:trPr>
          <w:trHeight w:val="205"/>
        </w:trPr>
        <w:tc>
          <w:tcPr>
            <w:tcW w:w="2640" w:type="dxa"/>
            <w:vAlign w:val="bottom"/>
          </w:tcPr>
          <w:p>
            <w:pPr>
              <w:spacing w:after="0"/>
              <w:rPr>
                <w:sz w:val="20"/>
                <w:szCs w:val="20"/>
                <w:color w:val="auto"/>
              </w:rPr>
            </w:pPr>
            <w:r>
              <w:rPr>
                <w:rFonts w:ascii="Arial" w:cs="Arial" w:eastAsia="Arial" w:hAnsi="Arial"/>
                <w:sz w:val="17"/>
                <w:szCs w:val="17"/>
                <w:color w:val="auto"/>
              </w:rPr>
              <w:t>Loan charge-offs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(2,838)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(2,838)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(4,839)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(4,839)</w:t>
            </w:r>
          </w:p>
        </w:tc>
        <w:tc>
          <w:tcPr>
            <w:tcW w:w="0" w:type="dxa"/>
            <w:vAlign w:val="bottom"/>
          </w:tcPr>
          <w:p>
            <w:pPr>
              <w:spacing w:after="0"/>
              <w:rPr>
                <w:sz w:val="1"/>
                <w:szCs w:val="1"/>
                <w:color w:val="auto"/>
              </w:rPr>
            </w:pPr>
          </w:p>
        </w:tc>
      </w:tr>
      <w:tr>
        <w:trPr>
          <w:trHeight w:val="205"/>
        </w:trPr>
        <w:tc>
          <w:tcPr>
            <w:tcW w:w="2640" w:type="dxa"/>
            <w:vAlign w:val="bottom"/>
            <w:shd w:val="clear" w:color="auto" w:fill="F0FFFF"/>
          </w:tcPr>
          <w:p>
            <w:pPr>
              <w:spacing w:after="0"/>
              <w:rPr>
                <w:sz w:val="20"/>
                <w:szCs w:val="20"/>
                <w:color w:val="auto"/>
              </w:rPr>
            </w:pPr>
            <w:r>
              <w:rPr>
                <w:rFonts w:ascii="Arial" w:cs="Arial" w:eastAsia="Arial" w:hAnsi="Arial"/>
                <w:sz w:val="17"/>
                <w:szCs w:val="17"/>
                <w:color w:val="auto"/>
              </w:rPr>
              <w:t>Foreclosures</w:t>
            </w:r>
          </w:p>
        </w:tc>
        <w:tc>
          <w:tcPr>
            <w:tcW w:w="6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20"/>
              <w:spacing w:after="0"/>
              <w:rPr>
                <w:sz w:val="20"/>
                <w:szCs w:val="20"/>
                <w:color w:val="auto"/>
              </w:rPr>
            </w:pPr>
            <w:r>
              <w:rPr>
                <w:rFonts w:ascii="Arial" w:cs="Arial" w:eastAsia="Arial" w:hAnsi="Arial"/>
                <w:sz w:val="17"/>
                <w:szCs w:val="17"/>
                <w:color w:val="auto"/>
              </w:rPr>
              <w:t>(459)</w:t>
            </w:r>
          </w:p>
        </w:tc>
        <w:tc>
          <w:tcPr>
            <w:tcW w:w="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6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459</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(4,367)</w:t>
            </w:r>
          </w:p>
        </w:tc>
        <w:tc>
          <w:tcPr>
            <w:tcW w:w="220" w:type="dxa"/>
            <w:vAlign w:val="bottom"/>
            <w:tcBorders>
              <w:left w:val="single" w:sz="8" w:color="F0FFFF"/>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2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4,367</w:t>
            </w:r>
          </w:p>
        </w:tc>
        <w:tc>
          <w:tcPr>
            <w:tcW w:w="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40" w:type="dxa"/>
            <w:vAlign w:val="bottom"/>
          </w:tcPr>
          <w:p>
            <w:pPr>
              <w:spacing w:after="0"/>
              <w:rPr>
                <w:sz w:val="20"/>
                <w:szCs w:val="20"/>
                <w:color w:val="auto"/>
              </w:rPr>
            </w:pPr>
            <w:r>
              <w:rPr>
                <w:rFonts w:ascii="Arial" w:cs="Arial" w:eastAsia="Arial" w:hAnsi="Arial"/>
                <w:sz w:val="17"/>
                <w:szCs w:val="17"/>
                <w:color w:val="auto"/>
              </w:rPr>
              <w:t>Property sales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(1,108)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(1,108)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(3,238)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(3,238)</w:t>
            </w:r>
          </w:p>
        </w:tc>
        <w:tc>
          <w:tcPr>
            <w:tcW w:w="0" w:type="dxa"/>
            <w:vAlign w:val="bottom"/>
          </w:tcPr>
          <w:p>
            <w:pPr>
              <w:spacing w:after="0"/>
              <w:rPr>
                <w:sz w:val="1"/>
                <w:szCs w:val="1"/>
                <w:color w:val="auto"/>
              </w:rPr>
            </w:pPr>
          </w:p>
        </w:tc>
      </w:tr>
      <w:tr>
        <w:trPr>
          <w:trHeight w:val="205"/>
        </w:trPr>
        <w:tc>
          <w:tcPr>
            <w:tcW w:w="2640" w:type="dxa"/>
            <w:vAlign w:val="bottom"/>
            <w:shd w:val="clear" w:color="auto" w:fill="F0FFFF"/>
          </w:tcPr>
          <w:p>
            <w:pPr>
              <w:spacing w:after="0"/>
              <w:rPr>
                <w:sz w:val="20"/>
                <w:szCs w:val="20"/>
                <w:color w:val="auto"/>
              </w:rPr>
            </w:pPr>
            <w:r>
              <w:rPr>
                <w:rFonts w:ascii="Arial" w:cs="Arial" w:eastAsia="Arial" w:hAnsi="Arial"/>
                <w:sz w:val="17"/>
                <w:szCs w:val="17"/>
                <w:color w:val="auto"/>
              </w:rPr>
              <w:t>Write downs</w:t>
            </w:r>
          </w:p>
        </w:tc>
        <w:tc>
          <w:tcPr>
            <w:tcW w:w="6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60" w:type="dxa"/>
            <w:vAlign w:val="bottom"/>
            <w:tcBorders>
              <w:right w:val="single" w:sz="8" w:color="auto"/>
            </w:tcBorders>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(166)</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40" w:type="dxa"/>
            <w:vAlign w:val="bottom"/>
            <w:tcBorders>
              <w:right w:val="single" w:sz="8" w:color="auto"/>
            </w:tcBorders>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(166)</w:t>
            </w: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left w:val="single" w:sz="8" w:color="F0FFFF"/>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20" w:type="dxa"/>
            <w:vAlign w:val="bottom"/>
            <w:tcBorders>
              <w:right w:val="single" w:sz="8" w:color="auto"/>
            </w:tcBorders>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(277)</w:t>
            </w:r>
          </w:p>
        </w:tc>
        <w:tc>
          <w:tcPr>
            <w:tcW w:w="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0" w:type="dxa"/>
            <w:vAlign w:val="bottom"/>
            <w:tcBorders>
              <w:right w:val="single" w:sz="8" w:color="auto"/>
            </w:tcBorders>
            <w:gridSpan w:val="2"/>
            <w:shd w:val="clear" w:color="auto" w:fill="F0FFFF"/>
          </w:tcPr>
          <w:p>
            <w:pPr>
              <w:jc w:val="right"/>
              <w:ind w:right="40"/>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05"/>
        </w:trPr>
        <w:tc>
          <w:tcPr>
            <w:tcW w:w="2640" w:type="dxa"/>
            <w:vAlign w:val="bottom"/>
          </w:tcPr>
          <w:p>
            <w:pPr>
              <w:spacing w:after="0"/>
              <w:rPr>
                <w:sz w:val="20"/>
                <w:szCs w:val="20"/>
                <w:color w:val="auto"/>
              </w:rPr>
            </w:pPr>
            <w:r>
              <w:rPr>
                <w:rFonts w:ascii="Arial" w:cs="Arial" w:eastAsia="Arial" w:hAnsi="Arial"/>
                <w:sz w:val="17"/>
                <w:szCs w:val="17"/>
                <w:color w:val="auto"/>
              </w:rPr>
              <w:t>Net gains on sales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247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247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521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521</w:t>
            </w:r>
          </w:p>
        </w:tc>
        <w:tc>
          <w:tcPr>
            <w:tcW w:w="0" w:type="dxa"/>
            <w:vAlign w:val="bottom"/>
          </w:tcPr>
          <w:p>
            <w:pPr>
              <w:spacing w:after="0"/>
              <w:rPr>
                <w:sz w:val="1"/>
                <w:szCs w:val="1"/>
                <w:color w:val="auto"/>
              </w:rPr>
            </w:pPr>
          </w:p>
        </w:tc>
      </w:tr>
      <w:tr>
        <w:trPr>
          <w:trHeight w:val="26"/>
        </w:trPr>
        <w:tc>
          <w:tcPr>
            <w:tcW w:w="2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640" w:type="dxa"/>
            <w:vAlign w:val="bottom"/>
            <w:shd w:val="clear" w:color="auto" w:fill="F0FFFF"/>
          </w:tcPr>
          <w:p>
            <w:pPr>
              <w:ind w:left="220"/>
              <w:spacing w:after="0"/>
              <w:rPr>
                <w:sz w:val="20"/>
                <w:szCs w:val="20"/>
                <w:color w:val="auto"/>
              </w:rPr>
            </w:pPr>
            <w:r>
              <w:rPr>
                <w:rFonts w:ascii="Arial" w:cs="Arial" w:eastAsia="Arial" w:hAnsi="Arial"/>
                <w:sz w:val="17"/>
                <w:szCs w:val="17"/>
                <w:b w:val="1"/>
                <w:bCs w:val="1"/>
                <w:color w:val="auto"/>
              </w:rPr>
              <w:t>Ending Balance</w:t>
            </w:r>
          </w:p>
        </w:tc>
        <w:tc>
          <w:tcPr>
            <w:tcW w:w="680" w:type="dxa"/>
            <w:vAlign w:val="bottom"/>
            <w:shd w:val="clear" w:color="auto" w:fill="F0FFFF"/>
          </w:tcPr>
          <w:p>
            <w:pPr>
              <w:spacing w:after="0"/>
              <w:rPr>
                <w:sz w:val="19"/>
                <w:szCs w:val="19"/>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19,015</w:t>
            </w: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1,158</w:t>
            </w:r>
          </w:p>
        </w:tc>
        <w:tc>
          <w:tcPr>
            <w:tcW w:w="140" w:type="dxa"/>
            <w:vAlign w:val="bottom"/>
            <w:tcBorders>
              <w:right w:val="single" w:sz="8" w:color="auto"/>
            </w:tcBorders>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20,173</w:t>
            </w: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25,250</w:t>
            </w:r>
          </w:p>
        </w:tc>
        <w:tc>
          <w:tcPr>
            <w:tcW w:w="360" w:type="dxa"/>
            <w:vAlign w:val="bottom"/>
            <w:tcBorders>
              <w:left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5,594</w:t>
            </w:r>
          </w:p>
        </w:tc>
        <w:tc>
          <w:tcPr>
            <w:tcW w:w="30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auto"/>
            </w:tcBorders>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30,844</w:t>
            </w:r>
          </w:p>
        </w:tc>
        <w:tc>
          <w:tcPr>
            <w:tcW w:w="0" w:type="dxa"/>
            <w:vAlign w:val="bottom"/>
          </w:tcPr>
          <w:p>
            <w:pPr>
              <w:spacing w:after="0"/>
              <w:rPr>
                <w:sz w:val="1"/>
                <w:szCs w:val="1"/>
                <w:color w:val="auto"/>
              </w:rPr>
            </w:pPr>
          </w:p>
        </w:tc>
      </w:tr>
      <w:tr>
        <w:trPr>
          <w:trHeight w:val="20"/>
        </w:trPr>
        <w:tc>
          <w:tcPr>
            <w:tcW w:w="2640" w:type="dxa"/>
            <w:vAlign w:val="bottom"/>
            <w:tcBorders>
              <w:top w:val="single" w:sz="8" w:color="F0FFFF"/>
            </w:tcBorders>
            <w:shd w:val="clear" w:color="auto" w:fill="F0FFFF"/>
          </w:tcPr>
          <w:p>
            <w:pPr>
              <w:spacing w:after="0" w:line="20" w:lineRule="exact"/>
              <w:rPr>
                <w:sz w:val="1"/>
                <w:szCs w:val="1"/>
                <w:color w:val="auto"/>
              </w:rPr>
            </w:pPr>
          </w:p>
        </w:tc>
        <w:tc>
          <w:tcPr>
            <w:tcW w:w="68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right w:val="single" w:sz="8" w:color="auto"/>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right w:val="single" w:sz="8" w:color="auto"/>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left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right w:val="single" w:sz="8" w:color="auto"/>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righ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 Financed sales of foreclosed property are accounted for in accordance with ASC 360-20, </w:t>
      </w:r>
      <w:r>
        <w:rPr>
          <w:rFonts w:ascii="Arial" w:cs="Arial" w:eastAsia="Arial" w:hAnsi="Arial"/>
          <w:sz w:val="17"/>
          <w:szCs w:val="17"/>
          <w:i w:val="1"/>
          <w:iCs w:val="1"/>
          <w:color w:val="auto"/>
        </w:rPr>
        <w:t>Real Estate Sales</w:t>
      </w:r>
      <w:r>
        <w:rPr>
          <w:rFonts w:ascii="Arial" w:cs="Arial" w:eastAsia="Arial" w:hAnsi="Arial"/>
          <w:sz w:val="17"/>
          <w:szCs w:val="17"/>
          <w:color w:val="auto"/>
        </w:rPr>
        <w:t>. For the first quarter of 2015, United transferred $459,000 of loans into foreclosed property through foreclosures. During the same period, proceeds from sales of foreclosed property were $1.11 million, which includes $300,000 in sales that were financed by United.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Securities</w:t>
      </w:r>
    </w:p>
    <w:p>
      <w:pPr>
        <w:spacing w:after="0" w:line="24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including repurchase agreements. Total investment securities at March 31, 2015 decreased $100 million from a year ago.</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At March 31, 2015, December 31, 2014 and March 31, 2014, United had securities held-to-maturity with a carrying amount of $399 million, $415 million, and $465 million, respectively, and securities available-for-sale totaling $1.80 billion, $1.78 billion, and $1.84 billion, respectively. At March 31, 2015, December 31, 2014 and March 31, 2014, the securities portfolio represented approximately 29%, 29% and 31%, respectively, of total assets.</w:t>
      </w:r>
    </w:p>
    <w:p>
      <w:pPr>
        <w:spacing w:after="0" w:line="20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investment securities portfolio primarily consists of U.S. Treasury securities, U.S. government agency securities, U.S. government sponsored agency mortgage-backed securities, non-agency mortgage-backed securities, corporate securities, municipal securities and asset-backed securities. Mortgage-backed securities rely on the underlying pools of mortgage loans to provide a cash flow of principal and interest. The actual maturities of these securities will usually differ from contractual maturities because loans underlying the securities can prepay. Decreases in interest rates will generally cause an acceleration of prepayment levels. In a declining or prolonged low interest rate environment, United may not be able to reinvest the proceeds from these prepayments in assets that have comparable yields. In a rising rate environment, the opposite occurs - prepayments tend to slow and the weighted average life extends. This is referred to as extension risk which can lead to lower levels of liquidity due to the delay of cash receipts and can result in the holding of a below market yielding asset for a longer period of time. United’s asset-backed securities include securities that are backed by student loans and collateralized loan obligations.</w:t>
      </w:r>
    </w:p>
    <w:p>
      <w:pPr>
        <w:spacing w:after="0" w:line="19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Management evaluates its securities portfolio each quarter to determine if any security is considered to be other than temporarily impaired. In making this evaluation, management considers its ability and intent to hold securities to recover current market losses. Losses on United’s fixed income securities at March 31, 2015 primarily reflect the effect of changes in interest rates. United did not recognize any other than temporary impairment losses on its investment securities during the first quarter of 2015 or 2014.</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At March 31, 2015, December 31, 2014 and March 31, 2014, 32%, 29% and 39%, respectively, of the securities portfolio was invested in floating-rate securities or fixed-rate securities that were swapped to floating rates in order to manage exposure to rising interest rates.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83" w:right="2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i w:val="1"/>
          <w:iCs w:val="1"/>
          <w:color w:val="auto"/>
        </w:rPr>
        <w:t>Goodwill and Core Deposit Intangibles</w:t>
      </w:r>
    </w:p>
    <w:p>
      <w:pPr>
        <w:spacing w:after="0" w:line="24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Goodwill represents the premium paid for acquired companies above the fair value of the assets acquired and liabilities assumed, including separately identifiable intangible assets.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United’s core deposit intangibles representing the value of United’s acquired deposit relationships, are amortizing intangible assets that are required to be tested for impairment only when events or circumstances indicate that impairment may exist. There were no events or circumstances that led management to believe that any impairment exists in United’s goodwill or other intangible assets.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Deposits</w:t>
      </w:r>
    </w:p>
    <w:p>
      <w:pPr>
        <w:spacing w:after="0" w:line="24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United has initiated several programs to improve core earnings by growing customer transaction deposit accounts and lowering overall pricing on deposit accounts to improve its net interest margin and increase net interest revenue. The programs were successful in increasing core transaction deposit accounts and allowing for the reduction of more costly time deposit balances as United’s funding needs decreased due to lower loan demand. United’s high level of service, as evidenced by its strong customer satisfaction scores, has been instrumental in attracting and retaining deposits.</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Total customer deposits, excluding brokered deposits, as of March 31, 2015 were $5.94 billion, an increase of $163 million from March 31, 2014. Total core deposits (demand, NOW, money market and savings deposits, excluding public funds deposits) of $3.90 billion at March 31, 2015 increased $324 million, or 9%, from a year ago, due to the success of core deposit programs and general industry trends.</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Total time deposits, excluding brokered deposits, as of March 31, 2015 were $1.21 billion, down $200 million from March 31, 2014. Time deposits less than $100,000 totaled $723 million at March 31, 2015, a decrease of $110 million, or 13%, from a year ago. Time deposits of $100,000 and greater totaled $483 million as of March 31, 2015, a decrease of $90 million, or 16%, from March 31, 2014. United continued to offer low rates on certificates of deposit, allowing balances to decline as United’s funding needs were met by growth in lower cost transaction account deposits.</w:t>
      </w:r>
    </w:p>
    <w:p>
      <w:pPr>
        <w:spacing w:after="0" w:line="204"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Brokered deposits totaled $498 million as of March 31, 2015, an increase of $27.0 million from a year ago. United has actively added long-term deposits to diversify our funding base. These are typically swapped to LIBOR minus a spread, which achieves low cost funding within our interest rate risk parameters.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Wholesale Funding</w:t>
      </w:r>
    </w:p>
    <w:p>
      <w:pPr>
        <w:spacing w:after="0" w:line="24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Bank is a shareholder in the Federal Home Loan Bank of Atlanta (“FHLB”). Through this affiliation, FHLB secured advances totaled $270 million, $270 million and $50.1 million, respectively, as of March 31, 2015, December 31, 2014 and March 31, 2014. United anticipates continued use of this short and long-term source of funds. Additional information regarding FHLB advances is provided in Note 12 to the consolidated financial statements included in United’s Annual Report on Form 10-K for the year ended December 31, 2014.</w:t>
      </w:r>
    </w:p>
    <w:p>
      <w:pPr>
        <w:spacing w:after="0" w:line="20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At December 31, 2014 and March 31, 2014, United had $6.00 million and $53.2 million, respectively, in structured repurchase agreements outstanding. United repaid the remaining $6.00 million outstanding balance in the first quarter of 2015, incurring a charge of $540,000. United takes advantage of these additional sources of liquidity when rates are favorable compared to other forms of short-term borrowings, such as FHLB advances and brokered deposits.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There have not been any material changes to United’s contractual obligations since December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Sensitivity Management</w:t>
      </w:r>
    </w:p>
    <w:p>
      <w:pPr>
        <w:spacing w:after="0" w:line="24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absolute level and volatility of interest rates can have a significant effect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United’s net interest revenue, and the fair value of its financial instruments, are influenced by changes in the level of interest rates. United limits its exposure to fluctuations in interest rates through policies developed by the Asset/Liability Management Committee (“ALCO”)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United’s interest rate sensitivity.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83" w:right="239" w:bottom="1440" w:gutter="0" w:footer="0" w:header="0"/>
        </w:sectPr>
      </w:pPr>
    </w:p>
    <w:bookmarkStart w:id="54" w:name="page55"/>
    <w:bookmarkEnd w:id="54"/>
    <w:p>
      <w:pPr>
        <w:jc w:val="both"/>
        <w:spacing w:after="0" w:line="272" w:lineRule="auto"/>
        <w:rPr>
          <w:sz w:val="20"/>
          <w:szCs w:val="20"/>
          <w:color w:val="auto"/>
        </w:rPr>
      </w:pPr>
      <w:r>
        <w:rPr>
          <w:rFonts w:ascii="Arial" w:cs="Arial" w:eastAsia="Arial" w:hAnsi="Arial"/>
          <w:sz w:val="16"/>
          <w:szCs w:val="16"/>
          <w:color w:val="auto"/>
        </w:rPr>
        <w:t>One of the tools management uses to estimate and manage the sensitivity of net interest revenue to changes in interest rates is an asset/liability simulation model. Resulting estimates are based upon a number of assumptions for each scenario, including loan and deposit re-pricing characteristics and the rate of prepayments. ALCO periodically reviews the assumptions for accuracy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Another commonly analyzed scenario is a most-likely scenario that projects the expected change in rates based on the slope of the forward yield curve. Other scenarios analyzed may include delayed rate shocks, yield curve steepening or flattening, or other variations in rate movements. While the primary policy scenarios focus on a twelve month time frame, longer time horizons are also modeled.</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United’s policy is based on the 12-month impact on net interest revenue of interest rate shocks and ramps that increase or decrease from 100 to 400 basis points from the base scenario. In the shock scenarios, rates immediately change the full amount at the scenario onset. In the ramp scenarios, rates change by 25 basis points per month. United’s policy limits the projected change in net interest revenue over the first 12 months to a 5% decrease for each 100 basis point change in the increasing and decreasing rate ramp and shock scenarios. Historically low rates on March 31, 2015 and 2014 made use of the down scenarios irrelevant. The following table presents United’s interest sensitivity position at March 31, 2015 and 2014.</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3200" w:type="dxa"/>
            <w:vAlign w:val="bottom"/>
            <w:gridSpan w:val="2"/>
          </w:tcPr>
          <w:p>
            <w:pPr>
              <w:ind w:left="40"/>
              <w:spacing w:after="0"/>
              <w:rPr>
                <w:sz w:val="20"/>
                <w:szCs w:val="20"/>
                <w:color w:val="auto"/>
              </w:rPr>
            </w:pPr>
            <w:r>
              <w:rPr>
                <w:rFonts w:ascii="Arial" w:cs="Arial" w:eastAsia="Arial" w:hAnsi="Arial"/>
                <w:sz w:val="17"/>
                <w:szCs w:val="17"/>
                <w:b w:val="1"/>
                <w:bCs w:val="1"/>
                <w:color w:val="auto"/>
              </w:rPr>
              <w:t>Table 12 - Interest Sensitivity</w:t>
            </w:r>
          </w:p>
        </w:tc>
        <w:tc>
          <w:tcPr>
            <w:tcW w:w="5880" w:type="dxa"/>
            <w:vAlign w:val="bottom"/>
            <w:gridSpan w:val="8"/>
            <w:vMerge w:val="restart"/>
          </w:tcPr>
          <w:p>
            <w:pPr>
              <w:jc w:val="right"/>
              <w:ind w:right="40"/>
              <w:spacing w:after="0"/>
              <w:rPr>
                <w:sz w:val="20"/>
                <w:szCs w:val="20"/>
                <w:color w:val="auto"/>
              </w:rPr>
            </w:pPr>
            <w:r>
              <w:rPr>
                <w:rFonts w:ascii="Arial" w:cs="Arial" w:eastAsia="Arial" w:hAnsi="Arial"/>
                <w:sz w:val="17"/>
                <w:szCs w:val="17"/>
                <w:b w:val="1"/>
                <w:bCs w:val="1"/>
                <w:color w:val="auto"/>
              </w:rPr>
              <w:t>Increase (Decrease) in Net Interest Revenue from Base Scenario at</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80" w:type="dxa"/>
            <w:vAlign w:val="bottom"/>
            <w:gridSpan w:val="8"/>
            <w:vMerge w:val="continue"/>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ind w:left="1240"/>
              <w:spacing w:after="0"/>
              <w:rPr>
                <w:sz w:val="20"/>
                <w:szCs w:val="20"/>
                <w:color w:val="auto"/>
              </w:rPr>
            </w:pPr>
            <w:r>
              <w:rPr>
                <w:rFonts w:ascii="Arial" w:cs="Arial" w:eastAsia="Arial" w:hAnsi="Arial"/>
                <w:sz w:val="17"/>
                <w:szCs w:val="17"/>
                <w:b w:val="1"/>
                <w:bCs w:val="1"/>
                <w:color w:val="auto"/>
              </w:rPr>
              <w:t>March 31,</w:t>
            </w: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0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2015</w:t>
            </w:r>
          </w:p>
        </w:tc>
        <w:tc>
          <w:tcPr>
            <w:tcW w:w="14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7"/>
                <w:szCs w:val="17"/>
                <w:b w:val="1"/>
                <w:bCs w:val="1"/>
                <w:color w:val="auto"/>
              </w:rPr>
              <w:t>2014</w:t>
            </w:r>
          </w:p>
        </w:tc>
        <w:tc>
          <w:tcPr>
            <w:tcW w:w="9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60" w:type="dxa"/>
            <w:vAlign w:val="bottom"/>
            <w:tcBorders>
              <w:bottom w:val="single" w:sz="8" w:color="auto"/>
            </w:tcBorders>
          </w:tcPr>
          <w:p>
            <w:pPr>
              <w:ind w:left="940"/>
              <w:spacing w:after="0"/>
              <w:rPr>
                <w:sz w:val="20"/>
                <w:szCs w:val="20"/>
                <w:color w:val="auto"/>
              </w:rPr>
            </w:pPr>
            <w:r>
              <w:rPr>
                <w:rFonts w:ascii="Arial" w:cs="Arial" w:eastAsia="Arial" w:hAnsi="Arial"/>
                <w:sz w:val="17"/>
                <w:szCs w:val="17"/>
                <w:b w:val="1"/>
                <w:bCs w:val="1"/>
                <w:color w:val="auto"/>
              </w:rPr>
              <w:t>Change in Rates</w:t>
            </w:r>
          </w:p>
        </w:tc>
        <w:tc>
          <w:tcPr>
            <w:tcW w:w="140" w:type="dxa"/>
            <w:vAlign w:val="bottom"/>
          </w:tcPr>
          <w:p>
            <w:pPr>
              <w:spacing w:after="0"/>
              <w:rPr>
                <w:sz w:val="18"/>
                <w:szCs w:val="18"/>
                <w:color w:val="auto"/>
              </w:rPr>
            </w:pPr>
          </w:p>
        </w:tc>
        <w:tc>
          <w:tcPr>
            <w:tcW w:w="1440" w:type="dxa"/>
            <w:vAlign w:val="bottom"/>
            <w:tcBorders>
              <w:bottom w:val="single" w:sz="8" w:color="auto"/>
            </w:tcBorders>
          </w:tcPr>
          <w:p>
            <w:pPr>
              <w:ind w:left="520"/>
              <w:spacing w:after="0"/>
              <w:rPr>
                <w:sz w:val="20"/>
                <w:szCs w:val="20"/>
                <w:color w:val="auto"/>
              </w:rPr>
            </w:pPr>
            <w:r>
              <w:rPr>
                <w:rFonts w:ascii="Arial" w:cs="Arial" w:eastAsia="Arial" w:hAnsi="Arial"/>
                <w:sz w:val="17"/>
                <w:szCs w:val="17"/>
                <w:b w:val="1"/>
                <w:bCs w:val="1"/>
                <w:color w:val="auto"/>
              </w:rPr>
              <w:t>Shock</w:t>
            </w:r>
          </w:p>
        </w:tc>
        <w:tc>
          <w:tcPr>
            <w:tcW w:w="380" w:type="dxa"/>
            <w:vAlign w:val="bottom"/>
          </w:tcPr>
          <w:p>
            <w:pPr>
              <w:spacing w:after="0"/>
              <w:rPr>
                <w:sz w:val="18"/>
                <w:szCs w:val="18"/>
                <w:color w:val="auto"/>
              </w:rPr>
            </w:pPr>
          </w:p>
        </w:tc>
        <w:tc>
          <w:tcPr>
            <w:tcW w:w="1440" w:type="dxa"/>
            <w:vAlign w:val="bottom"/>
            <w:tcBorders>
              <w:bottom w:val="single" w:sz="8" w:color="auto"/>
            </w:tcBorders>
          </w:tcPr>
          <w:p>
            <w:pPr>
              <w:ind w:left="520"/>
              <w:spacing w:after="0"/>
              <w:rPr>
                <w:sz w:val="20"/>
                <w:szCs w:val="20"/>
                <w:color w:val="auto"/>
              </w:rPr>
            </w:pPr>
            <w:r>
              <w:rPr>
                <w:rFonts w:ascii="Arial" w:cs="Arial" w:eastAsia="Arial" w:hAnsi="Arial"/>
                <w:sz w:val="17"/>
                <w:szCs w:val="17"/>
                <w:b w:val="1"/>
                <w:bCs w:val="1"/>
                <w:color w:val="auto"/>
              </w:rPr>
              <w:t>Ramp</w:t>
            </w:r>
          </w:p>
        </w:tc>
        <w:tc>
          <w:tcPr>
            <w:tcW w:w="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Shock</w:t>
            </w:r>
          </w:p>
        </w:tc>
        <w:tc>
          <w:tcPr>
            <w:tcW w:w="3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Ramp</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0" w:type="dxa"/>
            <w:vAlign w:val="bottom"/>
            <w:gridSpan w:val="2"/>
            <w:shd w:val="clear" w:color="auto" w:fill="F0FFFF"/>
          </w:tcPr>
          <w:p>
            <w:pPr>
              <w:ind w:left="40"/>
              <w:spacing w:after="0"/>
              <w:rPr>
                <w:sz w:val="20"/>
                <w:szCs w:val="20"/>
                <w:color w:val="auto"/>
              </w:rPr>
            </w:pPr>
            <w:r>
              <w:rPr>
                <w:rFonts w:ascii="Arial" w:cs="Arial" w:eastAsia="Arial" w:hAnsi="Arial"/>
                <w:sz w:val="17"/>
                <w:szCs w:val="17"/>
                <w:color w:val="auto"/>
              </w:rPr>
              <w:t>200 basis point increase</w:t>
            </w:r>
          </w:p>
        </w:tc>
        <w:tc>
          <w:tcPr>
            <w:tcW w:w="182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2.5%</w:t>
            </w:r>
          </w:p>
        </w:tc>
        <w:tc>
          <w:tcPr>
            <w:tcW w:w="1780" w:type="dxa"/>
            <w:vAlign w:val="bottom"/>
            <w:gridSpan w:val="2"/>
            <w:shd w:val="clear" w:color="auto" w:fill="F0FFFF"/>
          </w:tcPr>
          <w:p>
            <w:pPr>
              <w:ind w:left="1220"/>
              <w:spacing w:after="0"/>
              <w:rPr>
                <w:sz w:val="20"/>
                <w:szCs w:val="20"/>
                <w:color w:val="auto"/>
              </w:rPr>
            </w:pPr>
            <w:r>
              <w:rPr>
                <w:rFonts w:ascii="Arial" w:cs="Arial" w:eastAsia="Arial" w:hAnsi="Arial"/>
                <w:sz w:val="17"/>
                <w:szCs w:val="17"/>
                <w:color w:val="auto"/>
              </w:rPr>
              <w:t>2.6%</w:t>
            </w:r>
          </w:p>
        </w:tc>
        <w:tc>
          <w:tcPr>
            <w:tcW w:w="360" w:type="dxa"/>
            <w:vAlign w:val="bottom"/>
            <w:shd w:val="clear" w:color="auto" w:fill="F0FFFF"/>
          </w:tcPr>
          <w:p>
            <w:pPr>
              <w:spacing w:after="0"/>
              <w:rPr>
                <w:sz w:val="17"/>
                <w:szCs w:val="17"/>
                <w:color w:val="auto"/>
              </w:rPr>
            </w:pPr>
          </w:p>
        </w:tc>
        <w:tc>
          <w:tcPr>
            <w:tcW w:w="1420" w:type="dxa"/>
            <w:vAlign w:val="bottom"/>
            <w:gridSpan w:val="2"/>
            <w:shd w:val="clear" w:color="auto" w:fill="F0FFFF"/>
          </w:tcPr>
          <w:p>
            <w:pPr>
              <w:jc w:val="right"/>
              <w:ind w:right="180"/>
              <w:spacing w:after="0"/>
              <w:rPr>
                <w:sz w:val="20"/>
                <w:szCs w:val="20"/>
                <w:color w:val="auto"/>
              </w:rPr>
            </w:pPr>
            <w:r>
              <w:rPr>
                <w:rFonts w:ascii="Arial" w:cs="Arial" w:eastAsia="Arial" w:hAnsi="Arial"/>
                <w:sz w:val="17"/>
                <w:szCs w:val="17"/>
                <w:color w:val="auto"/>
              </w:rPr>
              <w:t>5.8%</w:t>
            </w:r>
          </w:p>
        </w:tc>
        <w:tc>
          <w:tcPr>
            <w:tcW w:w="50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during the life of the instruments.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adverse effect of interest rate changes on net interest revenue.</w:t>
      </w:r>
    </w:p>
    <w:p>
      <w:pPr>
        <w:spacing w:after="0" w:line="19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United may have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order to manage interest rate sensitivity, United periodically enters into off-balance sheet contracts that are considered derivative financial instruments. Derivative financial instruments can be a cost-effective and capital-effective means of modifying the re-pricing characteristics of on-balance sheet assets and liabilities. These contracts generally consist of interest rate swaps under which United pays a variable rate (or fixed rate, as the case may be) and receives a fixed rate (or variable rate, as the case may be).</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United’s derivative financial instruments that are designated as accounting hedges are classified as either cash flow or fair value hedges. The change in fair value of cash flow hedges is recognized in other comprehensive income.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United has other derivative financial instruments that are not designated as accounting hedges but are used for interest rate risk management purposes and as an effective economic hedge. Derivative financial instruments that are not accounted for as an accounting hedge are recorded at fair value, with subsequent changes in value recorded through earnings.</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addition to derivative instruments, United uses a variety of balance sheet instruments to manage interest rate risk such as Investment Portfolio holdings, wholesale funding, and bank-issued deposits.</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From time to time, United will terminate derivative positions when conditions change and the position is no longer necessary to manage United’s overall sensitivity to changes in interest rates. In those situations where the terminated contract was in an effective hedging relationship at the time of termination and the hedging relationship is expected to remain effective throughout the original term of the contract, the resulting gain or loss is amortized over the remaining life of the original contract. For swap contracts, the gain or loss is amortized over the remaining original contract term using the straight line method of amortization. In addition, United’s forward starting active cash flow hedges of floating rate liabilities have begun or will begin interest settlements over the next twelve months. United expects that $1.83 million will be reclassified as an increase to interest expense from other comprehensive income over the next twelve months related to these cash flow hedges.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83" w:right="239" w:bottom="1440" w:gutter="0" w:footer="0" w:header="0"/>
        </w:sectPr>
      </w:pPr>
    </w:p>
    <w:bookmarkStart w:id="55" w:name="page56"/>
    <w:bookmarkEnd w:id="55"/>
    <w:p>
      <w:pPr>
        <w:jc w:val="both"/>
        <w:spacing w:after="0" w:line="281" w:lineRule="auto"/>
        <w:rPr>
          <w:sz w:val="20"/>
          <w:szCs w:val="20"/>
          <w:color w:val="auto"/>
        </w:rPr>
      </w:pPr>
      <w:r>
        <w:rPr>
          <w:rFonts w:ascii="Arial" w:cs="Arial" w:eastAsia="Arial" w:hAnsi="Arial"/>
          <w:sz w:val="16"/>
          <w:szCs w:val="16"/>
          <w:color w:val="auto"/>
        </w:rPr>
        <w:t>United’s policy requires all non-customer facing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effect on our financial condition or results of operations. In order to mitigate potential credit risk, from time to time United may require the counterparties to derivative contracts to pledge securities as collateral to cover the net exposure.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Management</w:t>
      </w:r>
    </w:p>
    <w:p>
      <w:pPr>
        <w:spacing w:after="0" w:line="24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objective of liquidity management is to ensure that sufficient funding is available, at a reasonable cost, to meet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To assist in determining the adequacy of its liquidity, United performs a variety of liquidity stress tests including idiosyncratic, systemic and combined scenarios for both moderate and severe events. 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United maintains an unencumbered liquid asset reserve to ensure its ability to meet its obligations. The size of the reserve is determined through severe liquidity stress testing and covers a 30 day period.</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asset portion of the balance sheet provides liquidity primarily through loan principal repayments and the maturities and sales of securities, as well as the ability to use these as collateral for borrowings on a secured basis. We also maintain excess funds in short-term interest-bearing assets that provide additional liquidity. Mortgage loans held for sale totaled $15.7 million at March 31, 2015, and typically turn over every 45 days as the closed loans are sold to investors in the secondary market.</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liability section of the balance sheet provides liquidity through interest-bearing and noninterest-bearing deposit accounts. Federal funds purchased, Federal Reserve short-term borrowings, FHLB advances and securities sold under agreements to repurchase are additional sources of liquidity and represent United’s incremental borrowing capacity. These sources of liquidity are generally short-term in nature and are used as necessary to fund asset growth and meet other short-term liquidity needs.</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At March 31, 2015, United had cash and cash equivalent balances of $186 million and had sufficient qualifying collateral to increase FHLB advances by $959 million and Federal Reserve discount window borrowing capacity of $778 million. United also has the ability to raise substantial funds through brokered deposits. In addition to these wholesale sources, United has the ability to attract retail deposits by competing more aggressively on pricing.</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disclosed in United’s consolidated statement of cash flows, net cash provided by operating activities was $27.5 million for the three months ended March 31, 2015. The net income of $17.7 million for the three month period included the deferred income tax expense of $8.67 million, and non-cash expenses for the following: provision for credit losses of $1.80 million, depreciation, amortization and accretion of $5.16 million, a net decrease in other assets of $7.11 million and stock-based compensation expense of $991,000. These sources of cash from operating activities were offset by the following uses of cash: decrease in accrued expenses and other liabilities of $11.3 million and increase in mortgage loans held for sale of $1.99 million. Net cash used in investing activities of $120 million consisted primarily of a $122 million net increase in loans and purchases of investment securities totaling $137 million. These uses of cash were partially offset by $16.1 million in proceeds from maturities and calls of investment securities held-to-maturity, $69.5 million in proceeds from the sale of investment securities available-for-sale and $55.1 million in proceeds from maturities and calls of investment securities available-for-sale. Net cash provided by financing activities of $85.9 million consisted primarily of a net increase in deposits of $111.4 million partially offset by $16.0 million in payments to redeem trust preferred securities, $6.54 million to repay a structured repurchase agreement and $3.03 million in dividends to common shareholders. In the opinion of management, United’s liquidity position at March 31, 2015, was sufficient to meet its expected cash flow requirements.</w:t>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addition, because United’s holding company is a separate entity and apart from the Bank, it must provide for its own liquidity. United’s holding company is responsible for the payment of dividends declared for its common and preferred shareholders, and interest and principal on any outstanding debt or trust preferred securities. United’s holding company currently has internal capital resources to meet these obligations. Substantially all of United’s holding company’s liquidity is obtained from subsidiary service fees and dividends from the Bank, which are limited by applicable law.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83" w:right="2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auto"/>
        </w:rPr>
        <w:t>Capital Resources and Dividends</w:t>
      </w:r>
    </w:p>
    <w:p>
      <w:pPr>
        <w:spacing w:after="0" w:line="24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Shareholders’ equity at March 31, 2015 was $764 million, an increase of $24.1 million from December 31, 2014 due to first quarter earnings less common dividends declared during the quarter and an increase in the value of available for sale securities. Accumulated other comprehensive loss, which includes unrealized gains and losses on securities available-for-sale, the unrealized gains and losses on derivatives qualifying as cash flow hedges and unamortized prior service cost and actuarial gains and losses on United’s modified retirement plan, is excluded in the calculation of regulatory capital adequacy ratios.</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The Board of Governors of the Federal Reserve System and the FDIC have approved final rules implementing the Basel III Capital Rules establishing a new comprehensive capital framework applicable to all depository institutions, bank holding companies with total consolidated assets of $500 million of more and all savings and loan holding companies except for those that are substantially engaged in insurance underwriting or commercial activities. Under the Basel III Capital Rules, minimum requirements have increased for both the quantity and quality of capital held by United. The Basel III Capital Rules include a new common equity Tier 1 capital to risk-weighted assets minimum ratio of 4.5% and, for prompt correctve action purposes, a “well capitalized” ratio of 6.5%, raise the minimum ratio of Tier 1 capital to risk-weighted assets from 4.0% to 6.0%, require a minimum ratio of Total Capital to risk-weighted assets of 8.0%, and require a minimum Tier 1 leverage ratio of 4.0%. A new capital conservation buffer, comprised of common equity Tier 1 capital, is also established above the regulatory minimum capital requirements. This capital conservation buffer will be phased in beginning January 1, 2016 at 0.625% of risk-weighted assets and increase each subsequent year by an additional 0.625% until reaching its final level of 2.5% on January 1, 2019. Strict eligibility criteria for regulatory capital instruments were also implemented under the Basel III Capital Rules. The Basel III Capital Rules also revise the definition and calculation of Tier 1 capital, Total Capital, and risk-weighted assets.</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Basel III Capital Rules became effective for United on January 1, 2015 subject to a phase in period. The following table shows United’s capital ratios, as calculated under applicable regulatory guidelines, at March 31, 2015, December 31, 2014 and March 31, 2014. As of March 31, 2015, United’s capital levels remained characterized as “well-capitalized” under the Basel III Capital Rules based on the rules in effect at the time.</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640" w:type="dxa"/>
            <w:vAlign w:val="bottom"/>
          </w:tcPr>
          <w:p>
            <w:pPr>
              <w:spacing w:after="0"/>
              <w:rPr>
                <w:sz w:val="20"/>
                <w:szCs w:val="20"/>
                <w:color w:val="auto"/>
              </w:rPr>
            </w:pPr>
            <w:r>
              <w:rPr>
                <w:rFonts w:ascii="Arial" w:cs="Arial" w:eastAsia="Arial" w:hAnsi="Arial"/>
                <w:sz w:val="17"/>
                <w:szCs w:val="17"/>
                <w:b w:val="1"/>
                <w:bCs w:val="1"/>
                <w:color w:val="auto"/>
              </w:rPr>
              <w:t>Table 14 - Capital Ratios</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7"/>
                <w:szCs w:val="17"/>
                <w:i w:val="1"/>
                <w:iCs w:val="1"/>
                <w:color w:val="auto"/>
              </w:rPr>
              <w:t>(dollars in thousands)</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6"/>
            <w:vMerge w:val="restart"/>
          </w:tcPr>
          <w:p>
            <w:pPr>
              <w:jc w:val="right"/>
              <w:ind w:right="1280"/>
              <w:spacing w:after="0"/>
              <w:rPr>
                <w:sz w:val="20"/>
                <w:szCs w:val="20"/>
                <w:color w:val="auto"/>
              </w:rPr>
            </w:pPr>
            <w:r>
              <w:rPr>
                <w:rFonts w:ascii="Arial" w:cs="Arial" w:eastAsia="Arial" w:hAnsi="Arial"/>
                <w:sz w:val="17"/>
                <w:szCs w:val="17"/>
                <w:b w:val="1"/>
                <w:bCs w:val="1"/>
                <w:color w:val="auto"/>
              </w:rPr>
              <w:t>March 31, 2015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6"/>
            <w:vMerge w:val="continu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40" w:type="dxa"/>
            <w:vAlign w:val="bottom"/>
          </w:tcPr>
          <w:p>
            <w:pPr>
              <w:spacing w:after="0"/>
              <w:rPr>
                <w:sz w:val="18"/>
                <w:szCs w:val="18"/>
                <w:color w:val="auto"/>
              </w:rPr>
            </w:pPr>
          </w:p>
        </w:tc>
        <w:tc>
          <w:tcPr>
            <w:tcW w:w="2920" w:type="dxa"/>
            <w:vAlign w:val="bottom"/>
            <w:gridSpan w:val="4"/>
          </w:tcPr>
          <w:p>
            <w:pPr>
              <w:ind w:left="620"/>
              <w:spacing w:after="0"/>
              <w:rPr>
                <w:sz w:val="20"/>
                <w:szCs w:val="20"/>
                <w:color w:val="auto"/>
              </w:rPr>
            </w:pPr>
            <w:r>
              <w:rPr>
                <w:rFonts w:ascii="Arial" w:cs="Arial" w:eastAsia="Arial" w:hAnsi="Arial"/>
                <w:sz w:val="17"/>
                <w:szCs w:val="17"/>
                <w:b w:val="1"/>
                <w:bCs w:val="1"/>
                <w:color w:val="auto"/>
              </w:rPr>
              <w:t>Basel III Guidelines</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7"/>
                <w:szCs w:val="17"/>
                <w:b w:val="1"/>
                <w:bCs w:val="1"/>
                <w:color w:val="auto"/>
                <w:w w:val="94"/>
              </w:rPr>
              <w:t>United</w:t>
            </w: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90"/>
              </w:rPr>
              <w:t>United</w:t>
            </w: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7"/>
                <w:szCs w:val="17"/>
                <w:b w:val="1"/>
                <w:bCs w:val="1"/>
                <w:color w:val="auto"/>
                <w:w w:val="91"/>
              </w:rPr>
              <w:t>Well</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460"/>
              <w:spacing w:after="0" w:line="189" w:lineRule="exact"/>
              <w:rPr>
                <w:sz w:val="20"/>
                <w:szCs w:val="20"/>
                <w:color w:val="auto"/>
              </w:rPr>
            </w:pPr>
            <w:r>
              <w:rPr>
                <w:rFonts w:ascii="Arial" w:cs="Arial" w:eastAsia="Arial" w:hAnsi="Arial"/>
                <w:sz w:val="17"/>
                <w:szCs w:val="17"/>
                <w:b w:val="1"/>
                <w:bCs w:val="1"/>
                <w:color w:val="auto"/>
                <w:w w:val="94"/>
              </w:rPr>
              <w:t>Community</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460"/>
              <w:spacing w:after="0" w:line="189" w:lineRule="exact"/>
              <w:rPr>
                <w:sz w:val="20"/>
                <w:szCs w:val="20"/>
                <w:color w:val="auto"/>
              </w:rPr>
            </w:pPr>
            <w:r>
              <w:rPr>
                <w:rFonts w:ascii="Arial" w:cs="Arial" w:eastAsia="Arial" w:hAnsi="Arial"/>
                <w:sz w:val="17"/>
                <w:szCs w:val="17"/>
                <w:b w:val="1"/>
                <w:bCs w:val="1"/>
                <w:color w:val="auto"/>
                <w:w w:val="94"/>
              </w:rPr>
              <w:t>Community</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640" w:type="dxa"/>
            <w:vAlign w:val="bottom"/>
          </w:tcPr>
          <w:p>
            <w:pPr>
              <w:spacing w:after="0"/>
              <w:rPr>
                <w:sz w:val="19"/>
                <w:szCs w:val="19"/>
                <w:color w:val="auto"/>
              </w:rPr>
            </w:pPr>
          </w:p>
        </w:tc>
        <w:tc>
          <w:tcPr>
            <w:tcW w:w="1500" w:type="dxa"/>
            <w:vAlign w:val="bottom"/>
            <w:gridSpan w:val="2"/>
          </w:tcPr>
          <w:p>
            <w:pPr>
              <w:ind w:left="180"/>
              <w:spacing w:after="0"/>
              <w:rPr>
                <w:sz w:val="20"/>
                <w:szCs w:val="20"/>
                <w:color w:val="auto"/>
              </w:rPr>
            </w:pPr>
            <w:r>
              <w:rPr>
                <w:rFonts w:ascii="Arial" w:cs="Arial" w:eastAsia="Arial" w:hAnsi="Arial"/>
                <w:sz w:val="17"/>
                <w:szCs w:val="17"/>
                <w:b w:val="1"/>
                <w:bCs w:val="1"/>
                <w:color w:val="auto"/>
              </w:rPr>
              <w:t>Minimum</w:t>
            </w:r>
          </w:p>
        </w:tc>
        <w:tc>
          <w:tcPr>
            <w:tcW w:w="14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3"/>
              </w:rPr>
              <w:t>Capitalized</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91"/>
              </w:rPr>
              <w:t>Bank</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91"/>
              </w:rPr>
              <w:t>Banks, Inc.</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64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40" w:type="dxa"/>
            <w:vAlign w:val="bottom"/>
            <w:shd w:val="clear" w:color="auto" w:fill="F0FFFF"/>
          </w:tcPr>
          <w:p>
            <w:pPr>
              <w:spacing w:after="0"/>
              <w:rPr>
                <w:sz w:val="20"/>
                <w:szCs w:val="20"/>
                <w:color w:val="auto"/>
              </w:rPr>
            </w:pPr>
            <w:r>
              <w:rPr>
                <w:rFonts w:ascii="Arial" w:cs="Arial" w:eastAsia="Arial" w:hAnsi="Arial"/>
                <w:sz w:val="17"/>
                <w:szCs w:val="17"/>
                <w:color w:val="auto"/>
              </w:rPr>
              <w:t>Risk-based ratios:</w:t>
            </w:r>
          </w:p>
        </w:tc>
        <w:tc>
          <w:tcPr>
            <w:tcW w:w="1080" w:type="dxa"/>
            <w:vAlign w:val="bottom"/>
            <w:shd w:val="clear" w:color="auto" w:fill="F0FFFF"/>
          </w:tcPr>
          <w:p>
            <w:pPr>
              <w:spacing w:after="0"/>
              <w:rPr>
                <w:sz w:val="17"/>
                <w:szCs w:val="17"/>
                <w:color w:val="auto"/>
              </w:rPr>
            </w:pPr>
          </w:p>
        </w:tc>
        <w:tc>
          <w:tcPr>
            <w:tcW w:w="420" w:type="dxa"/>
            <w:vAlign w:val="bottom"/>
            <w:shd w:val="clear" w:color="auto" w:fill="F0FFFF"/>
          </w:tcPr>
          <w:p>
            <w:pPr>
              <w:spacing w:after="0"/>
              <w:rPr>
                <w:sz w:val="17"/>
                <w:szCs w:val="17"/>
                <w:color w:val="auto"/>
              </w:rPr>
            </w:pPr>
          </w:p>
        </w:tc>
        <w:tc>
          <w:tcPr>
            <w:tcW w:w="12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8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6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40" w:type="dxa"/>
            <w:vAlign w:val="bottom"/>
          </w:tcPr>
          <w:p>
            <w:pPr>
              <w:ind w:left="140"/>
              <w:spacing w:after="0"/>
              <w:rPr>
                <w:sz w:val="20"/>
                <w:szCs w:val="20"/>
                <w:color w:val="auto"/>
              </w:rPr>
            </w:pPr>
            <w:r>
              <w:rPr>
                <w:rFonts w:ascii="Arial" w:cs="Arial" w:eastAsia="Arial" w:hAnsi="Arial"/>
                <w:sz w:val="17"/>
                <w:szCs w:val="17"/>
                <w:color w:val="auto"/>
              </w:rPr>
              <w:t>Common equity tier 1 capital</w:t>
            </w:r>
          </w:p>
        </w:tc>
        <w:tc>
          <w:tcPr>
            <w:tcW w:w="1500" w:type="dxa"/>
            <w:vAlign w:val="bottom"/>
            <w:gridSpan w:val="2"/>
          </w:tcPr>
          <w:p>
            <w:pPr>
              <w:ind w:left="860"/>
              <w:spacing w:after="0"/>
              <w:rPr>
                <w:sz w:val="20"/>
                <w:szCs w:val="20"/>
                <w:color w:val="auto"/>
              </w:rPr>
            </w:pPr>
            <w:r>
              <w:rPr>
                <w:rFonts w:ascii="Arial" w:cs="Arial" w:eastAsia="Arial" w:hAnsi="Arial"/>
                <w:sz w:val="17"/>
                <w:szCs w:val="17"/>
                <w:color w:val="auto"/>
              </w:rPr>
              <w:t>4.5%</w:t>
            </w:r>
          </w:p>
        </w:tc>
        <w:tc>
          <w:tcPr>
            <w:tcW w:w="1420" w:type="dxa"/>
            <w:vAlign w:val="bottom"/>
            <w:gridSpan w:val="2"/>
          </w:tcPr>
          <w:p>
            <w:pPr>
              <w:ind w:left="1000"/>
              <w:spacing w:after="0"/>
              <w:rPr>
                <w:sz w:val="20"/>
                <w:szCs w:val="20"/>
                <w:color w:val="auto"/>
              </w:rPr>
            </w:pPr>
            <w:r>
              <w:rPr>
                <w:rFonts w:ascii="Arial" w:cs="Arial" w:eastAsia="Arial" w:hAnsi="Arial"/>
                <w:sz w:val="17"/>
                <w:szCs w:val="17"/>
                <w:color w:val="auto"/>
              </w:rPr>
              <w:t>6.5%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7"/>
                <w:szCs w:val="17"/>
                <w:color w:val="auto"/>
              </w:rPr>
              <w:t>11.53%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7"/>
                <w:szCs w:val="17"/>
                <w:color w:val="auto"/>
              </w:rPr>
              <w:t>11.82%</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40" w:type="dxa"/>
            <w:vAlign w:val="bottom"/>
            <w:shd w:val="clear" w:color="auto" w:fill="F0FFFF"/>
          </w:tcPr>
          <w:p>
            <w:pPr>
              <w:ind w:left="120"/>
              <w:spacing w:after="0"/>
              <w:rPr>
                <w:sz w:val="20"/>
                <w:szCs w:val="20"/>
                <w:color w:val="auto"/>
              </w:rPr>
            </w:pPr>
            <w:r>
              <w:rPr>
                <w:rFonts w:ascii="Arial" w:cs="Arial" w:eastAsia="Arial" w:hAnsi="Arial"/>
                <w:sz w:val="17"/>
                <w:szCs w:val="17"/>
                <w:color w:val="auto"/>
              </w:rPr>
              <w:t>Tier I capital</w:t>
            </w:r>
          </w:p>
        </w:tc>
        <w:tc>
          <w:tcPr>
            <w:tcW w:w="1500" w:type="dxa"/>
            <w:vAlign w:val="bottom"/>
            <w:gridSpan w:val="2"/>
            <w:shd w:val="clear" w:color="auto" w:fill="F0FFFF"/>
          </w:tcPr>
          <w:p>
            <w:pPr>
              <w:ind w:left="860"/>
              <w:spacing w:after="0"/>
              <w:rPr>
                <w:sz w:val="20"/>
                <w:szCs w:val="20"/>
                <w:color w:val="auto"/>
              </w:rPr>
            </w:pPr>
            <w:r>
              <w:rPr>
                <w:rFonts w:ascii="Arial" w:cs="Arial" w:eastAsia="Arial" w:hAnsi="Arial"/>
                <w:sz w:val="17"/>
                <w:szCs w:val="17"/>
                <w:color w:val="auto"/>
              </w:rPr>
              <w:t>6.0</w:t>
            </w:r>
          </w:p>
        </w:tc>
        <w:tc>
          <w:tcPr>
            <w:tcW w:w="1200" w:type="dxa"/>
            <w:vAlign w:val="bottom"/>
            <w:shd w:val="clear" w:color="auto" w:fill="F0FFFF"/>
          </w:tcPr>
          <w:p>
            <w:pPr>
              <w:ind w:left="1000"/>
              <w:spacing w:after="0"/>
              <w:rPr>
                <w:sz w:val="20"/>
                <w:szCs w:val="20"/>
                <w:color w:val="auto"/>
              </w:rPr>
            </w:pPr>
            <w:r>
              <w:rPr>
                <w:rFonts w:ascii="Arial" w:cs="Arial" w:eastAsia="Arial" w:hAnsi="Arial"/>
                <w:sz w:val="17"/>
                <w:szCs w:val="17"/>
                <w:color w:val="auto"/>
                <w:w w:val="75"/>
              </w:rPr>
              <w:t>8.0</w:t>
            </w: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460" w:type="dxa"/>
            <w:vAlign w:val="bottom"/>
            <w:gridSpan w:val="2"/>
            <w:shd w:val="clear" w:color="auto" w:fill="F0FFFF"/>
          </w:tcPr>
          <w:p>
            <w:pPr>
              <w:jc w:val="right"/>
              <w:ind w:right="280"/>
              <w:spacing w:after="0"/>
              <w:rPr>
                <w:sz w:val="20"/>
                <w:szCs w:val="20"/>
                <w:color w:val="auto"/>
              </w:rPr>
            </w:pPr>
            <w:r>
              <w:rPr>
                <w:rFonts w:ascii="Arial" w:cs="Arial" w:eastAsia="Arial" w:hAnsi="Arial"/>
                <w:sz w:val="17"/>
                <w:szCs w:val="17"/>
                <w:color w:val="auto"/>
              </w:rPr>
              <w:t>11.53</w:t>
            </w:r>
          </w:p>
        </w:tc>
        <w:tc>
          <w:tcPr>
            <w:tcW w:w="1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460" w:type="dxa"/>
            <w:vAlign w:val="bottom"/>
            <w:gridSpan w:val="2"/>
            <w:shd w:val="clear" w:color="auto" w:fill="F0FFFF"/>
          </w:tcPr>
          <w:p>
            <w:pPr>
              <w:jc w:val="right"/>
              <w:ind w:right="300"/>
              <w:spacing w:after="0"/>
              <w:rPr>
                <w:sz w:val="20"/>
                <w:szCs w:val="20"/>
                <w:color w:val="auto"/>
              </w:rPr>
            </w:pPr>
            <w:r>
              <w:rPr>
                <w:rFonts w:ascii="Arial" w:cs="Arial" w:eastAsia="Arial" w:hAnsi="Arial"/>
                <w:sz w:val="17"/>
                <w:szCs w:val="17"/>
                <w:color w:val="auto"/>
              </w:rPr>
              <w:t>11.82</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40" w:type="dxa"/>
            <w:vAlign w:val="bottom"/>
          </w:tcPr>
          <w:p>
            <w:pPr>
              <w:ind w:left="120"/>
              <w:spacing w:after="0"/>
              <w:rPr>
                <w:sz w:val="20"/>
                <w:szCs w:val="20"/>
                <w:color w:val="auto"/>
              </w:rPr>
            </w:pPr>
            <w:r>
              <w:rPr>
                <w:rFonts w:ascii="Arial" w:cs="Arial" w:eastAsia="Arial" w:hAnsi="Arial"/>
                <w:sz w:val="17"/>
                <w:szCs w:val="17"/>
                <w:color w:val="auto"/>
              </w:rPr>
              <w:t>Total capital</w:t>
            </w:r>
          </w:p>
        </w:tc>
        <w:tc>
          <w:tcPr>
            <w:tcW w:w="1500" w:type="dxa"/>
            <w:vAlign w:val="bottom"/>
            <w:gridSpan w:val="2"/>
          </w:tcPr>
          <w:p>
            <w:pPr>
              <w:ind w:left="860"/>
              <w:spacing w:after="0"/>
              <w:rPr>
                <w:sz w:val="20"/>
                <w:szCs w:val="20"/>
                <w:color w:val="auto"/>
              </w:rPr>
            </w:pPr>
            <w:r>
              <w:rPr>
                <w:rFonts w:ascii="Arial" w:cs="Arial" w:eastAsia="Arial" w:hAnsi="Arial"/>
                <w:sz w:val="17"/>
                <w:szCs w:val="17"/>
                <w:color w:val="auto"/>
              </w:rPr>
              <w:t>8.0</w:t>
            </w: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10.0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7"/>
                <w:szCs w:val="17"/>
                <w:color w:val="auto"/>
              </w:rPr>
              <w:t>12.81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7"/>
                <w:szCs w:val="17"/>
                <w:color w:val="auto"/>
              </w:rPr>
              <w:t>13.09</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40" w:type="dxa"/>
            <w:vAlign w:val="bottom"/>
            <w:shd w:val="clear" w:color="auto" w:fill="F0FFFF"/>
          </w:tcPr>
          <w:p>
            <w:pPr>
              <w:spacing w:after="0"/>
              <w:rPr>
                <w:sz w:val="20"/>
                <w:szCs w:val="20"/>
                <w:color w:val="auto"/>
              </w:rPr>
            </w:pPr>
            <w:r>
              <w:rPr>
                <w:rFonts w:ascii="Arial" w:cs="Arial" w:eastAsia="Arial" w:hAnsi="Arial"/>
                <w:sz w:val="17"/>
                <w:szCs w:val="17"/>
                <w:color w:val="auto"/>
              </w:rPr>
              <w:t>Tier 1 leverage ratio</w:t>
            </w:r>
          </w:p>
        </w:tc>
        <w:tc>
          <w:tcPr>
            <w:tcW w:w="1500" w:type="dxa"/>
            <w:vAlign w:val="bottom"/>
            <w:gridSpan w:val="2"/>
            <w:shd w:val="clear" w:color="auto" w:fill="F0FFFF"/>
          </w:tcPr>
          <w:p>
            <w:pPr>
              <w:ind w:left="860"/>
              <w:spacing w:after="0"/>
              <w:rPr>
                <w:sz w:val="20"/>
                <w:szCs w:val="20"/>
                <w:color w:val="auto"/>
              </w:rPr>
            </w:pPr>
            <w:r>
              <w:rPr>
                <w:rFonts w:ascii="Arial" w:cs="Arial" w:eastAsia="Arial" w:hAnsi="Arial"/>
                <w:sz w:val="17"/>
                <w:szCs w:val="17"/>
                <w:color w:val="auto"/>
              </w:rPr>
              <w:t>4.0</w:t>
            </w:r>
          </w:p>
        </w:tc>
        <w:tc>
          <w:tcPr>
            <w:tcW w:w="1200" w:type="dxa"/>
            <w:vAlign w:val="bottom"/>
            <w:shd w:val="clear" w:color="auto" w:fill="F0FFFF"/>
          </w:tcPr>
          <w:p>
            <w:pPr>
              <w:ind w:left="1000"/>
              <w:spacing w:after="0"/>
              <w:rPr>
                <w:sz w:val="20"/>
                <w:szCs w:val="20"/>
                <w:color w:val="auto"/>
              </w:rPr>
            </w:pPr>
            <w:r>
              <w:rPr>
                <w:rFonts w:ascii="Arial" w:cs="Arial" w:eastAsia="Arial" w:hAnsi="Arial"/>
                <w:sz w:val="17"/>
                <w:szCs w:val="17"/>
                <w:color w:val="auto"/>
                <w:w w:val="75"/>
              </w:rPr>
              <w:t>5.0</w:t>
            </w: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460" w:type="dxa"/>
            <w:vAlign w:val="bottom"/>
            <w:gridSpan w:val="2"/>
            <w:shd w:val="clear" w:color="auto" w:fill="F0FFFF"/>
          </w:tcPr>
          <w:p>
            <w:pPr>
              <w:jc w:val="right"/>
              <w:ind w:right="280"/>
              <w:spacing w:after="0"/>
              <w:rPr>
                <w:sz w:val="20"/>
                <w:szCs w:val="20"/>
                <w:color w:val="auto"/>
              </w:rPr>
            </w:pPr>
            <w:r>
              <w:rPr>
                <w:rFonts w:ascii="Arial" w:cs="Arial" w:eastAsia="Arial" w:hAnsi="Arial"/>
                <w:sz w:val="17"/>
                <w:szCs w:val="17"/>
                <w:color w:val="auto"/>
              </w:rPr>
              <w:t>8.67</w:t>
            </w:r>
          </w:p>
        </w:tc>
        <w:tc>
          <w:tcPr>
            <w:tcW w:w="1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460" w:type="dxa"/>
            <w:vAlign w:val="bottom"/>
            <w:gridSpan w:val="2"/>
            <w:shd w:val="clear" w:color="auto" w:fill="F0FFFF"/>
          </w:tcPr>
          <w:p>
            <w:pPr>
              <w:jc w:val="right"/>
              <w:ind w:right="300"/>
              <w:spacing w:after="0"/>
              <w:rPr>
                <w:sz w:val="20"/>
                <w:szCs w:val="20"/>
                <w:color w:val="auto"/>
              </w:rPr>
            </w:pPr>
            <w:r>
              <w:rPr>
                <w:rFonts w:ascii="Arial" w:cs="Arial" w:eastAsia="Arial" w:hAnsi="Arial"/>
                <w:sz w:val="17"/>
                <w:szCs w:val="17"/>
                <w:color w:val="auto"/>
              </w:rPr>
              <w:t>8.90</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40" w:type="dxa"/>
            <w:vAlign w:val="bottom"/>
            <w:shd w:val="clear" w:color="auto" w:fill="F0FFFF"/>
          </w:tcPr>
          <w:p>
            <w:pPr>
              <w:spacing w:after="0"/>
              <w:rPr>
                <w:sz w:val="20"/>
                <w:szCs w:val="20"/>
                <w:color w:val="auto"/>
              </w:rPr>
            </w:pPr>
            <w:r>
              <w:rPr>
                <w:rFonts w:ascii="Arial" w:cs="Arial" w:eastAsia="Arial" w:hAnsi="Arial"/>
                <w:sz w:val="17"/>
                <w:szCs w:val="17"/>
                <w:color w:val="auto"/>
              </w:rPr>
              <w:t>Common equity tier 1 capital</w:t>
            </w:r>
          </w:p>
        </w:tc>
        <w:tc>
          <w:tcPr>
            <w:tcW w:w="1080" w:type="dxa"/>
            <w:vAlign w:val="bottom"/>
            <w:shd w:val="clear" w:color="auto" w:fill="F0FFFF"/>
          </w:tcPr>
          <w:p>
            <w:pPr>
              <w:spacing w:after="0"/>
              <w:rPr>
                <w:sz w:val="17"/>
                <w:szCs w:val="17"/>
                <w:color w:val="auto"/>
              </w:rPr>
            </w:pPr>
          </w:p>
        </w:tc>
        <w:tc>
          <w:tcPr>
            <w:tcW w:w="420" w:type="dxa"/>
            <w:vAlign w:val="bottom"/>
            <w:shd w:val="clear" w:color="auto" w:fill="F0FFFF"/>
          </w:tcPr>
          <w:p>
            <w:pPr>
              <w:spacing w:after="0"/>
              <w:rPr>
                <w:sz w:val="17"/>
                <w:szCs w:val="17"/>
                <w:color w:val="auto"/>
              </w:rPr>
            </w:pPr>
          </w:p>
        </w:tc>
        <w:tc>
          <w:tcPr>
            <w:tcW w:w="12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36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F0FFFF"/>
          </w:tcPr>
          <w:p>
            <w:pPr>
              <w:jc w:val="right"/>
              <w:ind w:right="280"/>
              <w:spacing w:after="0"/>
              <w:rPr>
                <w:sz w:val="20"/>
                <w:szCs w:val="20"/>
                <w:color w:val="auto"/>
              </w:rPr>
            </w:pPr>
            <w:r>
              <w:rPr>
                <w:rFonts w:ascii="Arial" w:cs="Arial" w:eastAsia="Arial" w:hAnsi="Arial"/>
                <w:sz w:val="17"/>
                <w:szCs w:val="17"/>
                <w:color w:val="auto"/>
              </w:rPr>
              <w:t>646,250</w:t>
            </w:r>
          </w:p>
        </w:tc>
        <w:tc>
          <w:tcPr>
            <w:tcW w:w="300" w:type="dxa"/>
            <w:vAlign w:val="bottom"/>
            <w:gridSpan w:val="2"/>
            <w:shd w:val="clear" w:color="auto" w:fill="F0FFFF"/>
          </w:tcPr>
          <w:p>
            <w:pPr>
              <w:jc w:val="right"/>
              <w:ind w:right="8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F0FFFF"/>
          </w:tcPr>
          <w:p>
            <w:pPr>
              <w:jc w:val="right"/>
              <w:ind w:right="300"/>
              <w:spacing w:after="0"/>
              <w:rPr>
                <w:sz w:val="20"/>
                <w:szCs w:val="20"/>
                <w:color w:val="auto"/>
              </w:rPr>
            </w:pPr>
            <w:r>
              <w:rPr>
                <w:rFonts w:ascii="Arial" w:cs="Arial" w:eastAsia="Arial" w:hAnsi="Arial"/>
                <w:sz w:val="17"/>
                <w:szCs w:val="17"/>
                <w:color w:val="auto"/>
              </w:rPr>
              <w:t>661,072</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40" w:type="dxa"/>
            <w:vAlign w:val="bottom"/>
          </w:tcPr>
          <w:p>
            <w:pPr>
              <w:ind w:left="320"/>
              <w:spacing w:after="0"/>
              <w:rPr>
                <w:sz w:val="20"/>
                <w:szCs w:val="20"/>
                <w:color w:val="auto"/>
              </w:rPr>
            </w:pPr>
            <w:r>
              <w:rPr>
                <w:rFonts w:ascii="Arial" w:cs="Arial" w:eastAsia="Arial" w:hAnsi="Arial"/>
                <w:sz w:val="17"/>
                <w:szCs w:val="17"/>
                <w:color w:val="auto"/>
              </w:rPr>
              <w:t>Tier I capital</w:t>
            </w: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7"/>
                <w:szCs w:val="17"/>
                <w:color w:val="auto"/>
              </w:rPr>
              <w:t>646,250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7"/>
                <w:szCs w:val="17"/>
                <w:color w:val="auto"/>
              </w:rPr>
              <w:t>661,072</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40" w:type="dxa"/>
            <w:vAlign w:val="bottom"/>
            <w:shd w:val="clear" w:color="auto" w:fill="F0FFFF"/>
          </w:tcPr>
          <w:p>
            <w:pPr>
              <w:ind w:left="320"/>
              <w:spacing w:after="0"/>
              <w:rPr>
                <w:sz w:val="20"/>
                <w:szCs w:val="20"/>
                <w:color w:val="auto"/>
              </w:rPr>
            </w:pPr>
            <w:r>
              <w:rPr>
                <w:rFonts w:ascii="Arial" w:cs="Arial" w:eastAsia="Arial" w:hAnsi="Arial"/>
                <w:sz w:val="17"/>
                <w:szCs w:val="17"/>
                <w:color w:val="auto"/>
              </w:rPr>
              <w:t>Total capital</w:t>
            </w:r>
          </w:p>
        </w:tc>
        <w:tc>
          <w:tcPr>
            <w:tcW w:w="1080" w:type="dxa"/>
            <w:vAlign w:val="bottom"/>
            <w:shd w:val="clear" w:color="auto" w:fill="F0FFFF"/>
          </w:tcPr>
          <w:p>
            <w:pPr>
              <w:spacing w:after="0"/>
              <w:rPr>
                <w:sz w:val="17"/>
                <w:szCs w:val="17"/>
                <w:color w:val="auto"/>
              </w:rPr>
            </w:pPr>
          </w:p>
        </w:tc>
        <w:tc>
          <w:tcPr>
            <w:tcW w:w="420" w:type="dxa"/>
            <w:vAlign w:val="bottom"/>
            <w:shd w:val="clear" w:color="auto" w:fill="F0FFFF"/>
          </w:tcPr>
          <w:p>
            <w:pPr>
              <w:spacing w:after="0"/>
              <w:rPr>
                <w:sz w:val="17"/>
                <w:szCs w:val="17"/>
                <w:color w:val="auto"/>
              </w:rPr>
            </w:pPr>
          </w:p>
        </w:tc>
        <w:tc>
          <w:tcPr>
            <w:tcW w:w="12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460" w:type="dxa"/>
            <w:vAlign w:val="bottom"/>
            <w:gridSpan w:val="2"/>
            <w:shd w:val="clear" w:color="auto" w:fill="F0FFFF"/>
          </w:tcPr>
          <w:p>
            <w:pPr>
              <w:jc w:val="right"/>
              <w:ind w:right="280"/>
              <w:spacing w:after="0"/>
              <w:rPr>
                <w:sz w:val="20"/>
                <w:szCs w:val="20"/>
                <w:color w:val="auto"/>
              </w:rPr>
            </w:pPr>
            <w:r>
              <w:rPr>
                <w:rFonts w:ascii="Arial" w:cs="Arial" w:eastAsia="Arial" w:hAnsi="Arial"/>
                <w:sz w:val="17"/>
                <w:szCs w:val="17"/>
                <w:color w:val="auto"/>
              </w:rPr>
              <w:t>717,772</w:t>
            </w:r>
          </w:p>
        </w:tc>
        <w:tc>
          <w:tcPr>
            <w:tcW w:w="1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460" w:type="dxa"/>
            <w:vAlign w:val="bottom"/>
            <w:gridSpan w:val="2"/>
            <w:shd w:val="clear" w:color="auto" w:fill="F0FFFF"/>
          </w:tcPr>
          <w:p>
            <w:pPr>
              <w:jc w:val="right"/>
              <w:ind w:right="300"/>
              <w:spacing w:after="0"/>
              <w:rPr>
                <w:sz w:val="20"/>
                <w:szCs w:val="20"/>
                <w:color w:val="auto"/>
              </w:rPr>
            </w:pPr>
            <w:r>
              <w:rPr>
                <w:rFonts w:ascii="Arial" w:cs="Arial" w:eastAsia="Arial" w:hAnsi="Arial"/>
                <w:sz w:val="17"/>
                <w:szCs w:val="17"/>
                <w:color w:val="auto"/>
              </w:rPr>
              <w:t>732,097</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640" w:type="dxa"/>
            <w:vAlign w:val="bottom"/>
            <w:shd w:val="clear" w:color="auto" w:fill="F0FFFF"/>
          </w:tcPr>
          <w:p>
            <w:pPr>
              <w:ind w:left="360"/>
              <w:spacing w:after="0"/>
              <w:rPr>
                <w:sz w:val="20"/>
                <w:szCs w:val="20"/>
                <w:color w:val="auto"/>
              </w:rPr>
            </w:pPr>
            <w:r>
              <w:rPr>
                <w:rFonts w:ascii="Arial" w:cs="Arial" w:eastAsia="Arial" w:hAnsi="Arial"/>
                <w:sz w:val="17"/>
                <w:szCs w:val="17"/>
                <w:color w:val="auto"/>
              </w:rPr>
              <w:t>Risk-weighted assets</w:t>
            </w:r>
          </w:p>
        </w:tc>
        <w:tc>
          <w:tcPr>
            <w:tcW w:w="1080" w:type="dxa"/>
            <w:vAlign w:val="bottom"/>
            <w:shd w:val="clear" w:color="auto" w:fill="F0FFFF"/>
          </w:tcPr>
          <w:p>
            <w:pPr>
              <w:spacing w:after="0"/>
              <w:rPr>
                <w:sz w:val="17"/>
                <w:szCs w:val="17"/>
                <w:color w:val="auto"/>
              </w:rPr>
            </w:pPr>
          </w:p>
        </w:tc>
        <w:tc>
          <w:tcPr>
            <w:tcW w:w="420" w:type="dxa"/>
            <w:vAlign w:val="bottom"/>
            <w:shd w:val="clear" w:color="auto" w:fill="F0FFFF"/>
          </w:tcPr>
          <w:p>
            <w:pPr>
              <w:spacing w:after="0"/>
              <w:rPr>
                <w:sz w:val="17"/>
                <w:szCs w:val="17"/>
                <w:color w:val="auto"/>
              </w:rPr>
            </w:pPr>
          </w:p>
        </w:tc>
        <w:tc>
          <w:tcPr>
            <w:tcW w:w="12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460" w:type="dxa"/>
            <w:vAlign w:val="bottom"/>
            <w:gridSpan w:val="2"/>
            <w:shd w:val="clear" w:color="auto" w:fill="F0FFFF"/>
          </w:tcPr>
          <w:p>
            <w:pPr>
              <w:jc w:val="right"/>
              <w:ind w:right="280"/>
              <w:spacing w:after="0"/>
              <w:rPr>
                <w:sz w:val="20"/>
                <w:szCs w:val="20"/>
                <w:color w:val="auto"/>
              </w:rPr>
            </w:pPr>
            <w:r>
              <w:rPr>
                <w:rFonts w:ascii="Arial" w:cs="Arial" w:eastAsia="Arial" w:hAnsi="Arial"/>
                <w:sz w:val="17"/>
                <w:szCs w:val="17"/>
                <w:color w:val="auto"/>
              </w:rPr>
              <w:t>5,603,738</w:t>
            </w:r>
          </w:p>
        </w:tc>
        <w:tc>
          <w:tcPr>
            <w:tcW w:w="1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460" w:type="dxa"/>
            <w:vAlign w:val="bottom"/>
            <w:gridSpan w:val="2"/>
            <w:shd w:val="clear" w:color="auto" w:fill="F0FFFF"/>
          </w:tcPr>
          <w:p>
            <w:pPr>
              <w:jc w:val="right"/>
              <w:ind w:right="300"/>
              <w:spacing w:after="0"/>
              <w:rPr>
                <w:sz w:val="20"/>
                <w:szCs w:val="20"/>
                <w:color w:val="auto"/>
              </w:rPr>
            </w:pPr>
            <w:r>
              <w:rPr>
                <w:rFonts w:ascii="Arial" w:cs="Arial" w:eastAsia="Arial" w:hAnsi="Arial"/>
                <w:sz w:val="17"/>
                <w:szCs w:val="17"/>
                <w:color w:val="auto"/>
              </w:rPr>
              <w:t>5,591,545</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340"/>
              <w:spacing w:after="0"/>
              <w:rPr>
                <w:sz w:val="20"/>
                <w:szCs w:val="20"/>
                <w:color w:val="auto"/>
              </w:rPr>
            </w:pPr>
            <w:r>
              <w:rPr>
                <w:rFonts w:ascii="Arial" w:cs="Arial" w:eastAsia="Arial" w:hAnsi="Arial"/>
                <w:sz w:val="17"/>
                <w:szCs w:val="17"/>
                <w:color w:val="auto"/>
              </w:rPr>
              <w:t>Average total assets</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7"/>
                <w:szCs w:val="17"/>
                <w:color w:val="auto"/>
              </w:rPr>
              <w:t>7,451,498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7"/>
                <w:szCs w:val="17"/>
                <w:color w:val="auto"/>
              </w:rPr>
              <w:t>7,431,276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9"/>
        </w:trPr>
        <w:tc>
          <w:tcPr>
            <w:tcW w:w="264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420" w:type="dxa"/>
            <w:vAlign w:val="bottom"/>
            <w:tcBorders>
              <w:bottom w:val="single" w:sz="8" w:color="DCDCDC"/>
            </w:tcBorders>
          </w:tcPr>
          <w:p>
            <w:pPr>
              <w:spacing w:after="0"/>
              <w:rPr>
                <w:sz w:val="24"/>
                <w:szCs w:val="24"/>
                <w:color w:val="auto"/>
              </w:rPr>
            </w:pPr>
          </w:p>
        </w:tc>
        <w:tc>
          <w:tcPr>
            <w:tcW w:w="12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gridSpan w:val="2"/>
          </w:tcPr>
          <w:p>
            <w:pPr>
              <w:jc w:val="right"/>
              <w:ind w:right="120"/>
              <w:spacing w:after="0"/>
              <w:rPr>
                <w:sz w:val="20"/>
                <w:szCs w:val="20"/>
                <w:color w:val="auto"/>
              </w:rPr>
            </w:pPr>
            <w:r>
              <w:rPr>
                <w:rFonts w:ascii="Arial" w:cs="Arial" w:eastAsia="Arial" w:hAnsi="Arial"/>
                <w:sz w:val="17"/>
                <w:szCs w:val="17"/>
                <w:color w:val="auto"/>
              </w:rPr>
              <w:t>55</w:t>
            </w:r>
          </w:p>
        </w:tc>
        <w:tc>
          <w:tcPr>
            <w:tcW w:w="118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16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228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9" w:right="2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20" w:type="dxa"/>
            <w:vAlign w:val="bottom"/>
          </w:tcPr>
          <w:p>
            <w:pPr>
              <w:spacing w:after="0"/>
              <w:rPr>
                <w:sz w:val="17"/>
                <w:szCs w:val="17"/>
                <w:color w:val="auto"/>
              </w:rPr>
            </w:pPr>
          </w:p>
        </w:tc>
        <w:tc>
          <w:tcPr>
            <w:tcW w:w="2660" w:type="dxa"/>
            <w:vAlign w:val="bottom"/>
            <w:gridSpan w:val="4"/>
          </w:tcPr>
          <w:p>
            <w:pPr>
              <w:jc w:val="center"/>
              <w:spacing w:after="0"/>
              <w:rPr>
                <w:sz w:val="20"/>
                <w:szCs w:val="20"/>
                <w:color w:val="auto"/>
              </w:rPr>
            </w:pPr>
            <w:r>
              <w:rPr>
                <w:rFonts w:ascii="Arial" w:cs="Arial" w:eastAsia="Arial" w:hAnsi="Arial"/>
                <w:sz w:val="17"/>
                <w:szCs w:val="17"/>
                <w:b w:val="1"/>
                <w:bCs w:val="1"/>
                <w:color w:val="auto"/>
                <w:w w:val="91"/>
              </w:rPr>
              <w:t>Basel I</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6"/>
          </w:tcPr>
          <w:p>
            <w:pPr>
              <w:jc w:val="right"/>
              <w:ind w:right="200"/>
              <w:spacing w:after="0"/>
              <w:rPr>
                <w:sz w:val="20"/>
                <w:szCs w:val="20"/>
                <w:color w:val="auto"/>
              </w:rPr>
            </w:pPr>
            <w:r>
              <w:rPr>
                <w:rFonts w:ascii="Arial" w:cs="Arial" w:eastAsia="Arial" w:hAnsi="Arial"/>
                <w:sz w:val="17"/>
                <w:szCs w:val="17"/>
                <w:b w:val="1"/>
                <w:bCs w:val="1"/>
                <w:color w:val="auto"/>
                <w:w w:val="93"/>
              </w:rPr>
              <w:t>United Community Banks, Inc.</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7"/>
        </w:trPr>
        <w:tc>
          <w:tcPr>
            <w:tcW w:w="3220" w:type="dxa"/>
            <w:vAlign w:val="bottom"/>
          </w:tcPr>
          <w:p>
            <w:pPr>
              <w:spacing w:after="0"/>
              <w:rPr>
                <w:sz w:val="19"/>
                <w:szCs w:val="19"/>
                <w:color w:val="auto"/>
              </w:rPr>
            </w:pPr>
          </w:p>
        </w:tc>
        <w:tc>
          <w:tcPr>
            <w:tcW w:w="2660" w:type="dxa"/>
            <w:vAlign w:val="bottom"/>
            <w:gridSpan w:val="4"/>
          </w:tcPr>
          <w:p>
            <w:pPr>
              <w:jc w:val="center"/>
              <w:spacing w:after="0"/>
              <w:rPr>
                <w:sz w:val="20"/>
                <w:szCs w:val="20"/>
                <w:color w:val="auto"/>
              </w:rPr>
            </w:pPr>
            <w:r>
              <w:rPr>
                <w:rFonts w:ascii="Arial" w:cs="Arial" w:eastAsia="Arial" w:hAnsi="Arial"/>
                <w:sz w:val="17"/>
                <w:szCs w:val="17"/>
                <w:b w:val="1"/>
                <w:bCs w:val="1"/>
                <w:color w:val="auto"/>
                <w:w w:val="89"/>
              </w:rPr>
              <w:t>Guidelines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20" w:type="dxa"/>
            <w:vAlign w:val="bottom"/>
            <w:gridSpan w:val="6"/>
          </w:tcPr>
          <w:p>
            <w:pPr>
              <w:jc w:val="right"/>
              <w:ind w:right="800"/>
              <w:spacing w:after="0"/>
              <w:rPr>
                <w:sz w:val="20"/>
                <w:szCs w:val="20"/>
                <w:color w:val="auto"/>
              </w:rPr>
            </w:pPr>
            <w:r>
              <w:rPr>
                <w:rFonts w:ascii="Arial" w:cs="Arial" w:eastAsia="Arial" w:hAnsi="Arial"/>
                <w:sz w:val="17"/>
                <w:szCs w:val="17"/>
                <w:b w:val="1"/>
                <w:bCs w:val="1"/>
                <w:color w:val="auto"/>
              </w:rPr>
              <w:t>(Consolidated)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6"/>
          </w:tcPr>
          <w:p>
            <w:pPr>
              <w:jc w:val="right"/>
              <w:ind w:right="480"/>
              <w:spacing w:after="0"/>
              <w:rPr>
                <w:sz w:val="20"/>
                <w:szCs w:val="20"/>
                <w:color w:val="auto"/>
              </w:rPr>
            </w:pPr>
            <w:r>
              <w:rPr>
                <w:rFonts w:ascii="Arial" w:cs="Arial" w:eastAsia="Arial" w:hAnsi="Arial"/>
                <w:sz w:val="17"/>
                <w:szCs w:val="17"/>
                <w:b w:val="1"/>
                <w:bCs w:val="1"/>
                <w:color w:val="auto"/>
                <w:w w:val="99"/>
              </w:rPr>
              <w:t>United Community Bank</w:t>
            </w:r>
          </w:p>
        </w:tc>
      </w:tr>
      <w:tr>
        <w:trPr>
          <w:trHeight w:val="189"/>
        </w:trPr>
        <w:tc>
          <w:tcPr>
            <w:tcW w:w="3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540"/>
              <w:spacing w:after="0" w:line="189" w:lineRule="exact"/>
              <w:rPr>
                <w:sz w:val="20"/>
                <w:szCs w:val="20"/>
                <w:color w:val="auto"/>
              </w:rPr>
            </w:pPr>
            <w:r>
              <w:rPr>
                <w:rFonts w:ascii="Arial" w:cs="Arial" w:eastAsia="Arial" w:hAnsi="Arial"/>
                <w:sz w:val="17"/>
                <w:szCs w:val="17"/>
                <w:b w:val="1"/>
                <w:bCs w:val="1"/>
                <w:color w:val="auto"/>
              </w:rPr>
              <w:t>Well</w:t>
            </w:r>
          </w:p>
        </w:tc>
        <w:tc>
          <w:tcPr>
            <w:tcW w:w="100" w:type="dxa"/>
            <w:vAlign w:val="bottom"/>
          </w:tcPr>
          <w:p>
            <w:pPr>
              <w:spacing w:after="0"/>
              <w:rPr>
                <w:sz w:val="16"/>
                <w:szCs w:val="16"/>
                <w:color w:val="auto"/>
              </w:rPr>
            </w:pPr>
          </w:p>
        </w:tc>
        <w:tc>
          <w:tcPr>
            <w:tcW w:w="1340" w:type="dxa"/>
            <w:vAlign w:val="bottom"/>
            <w:tcBorders>
              <w:top w:val="single" w:sz="8" w:color="auto"/>
            </w:tcBorders>
            <w:gridSpan w:val="3"/>
          </w:tcPr>
          <w:p>
            <w:pPr>
              <w:jc w:val="right"/>
              <w:ind w:right="260"/>
              <w:spacing w:after="0" w:line="189" w:lineRule="exact"/>
              <w:rPr>
                <w:sz w:val="20"/>
                <w:szCs w:val="20"/>
                <w:color w:val="auto"/>
              </w:rPr>
            </w:pPr>
            <w:r>
              <w:rPr>
                <w:rFonts w:ascii="Arial" w:cs="Arial" w:eastAsia="Arial" w:hAnsi="Arial"/>
                <w:sz w:val="17"/>
                <w:szCs w:val="17"/>
                <w:b w:val="1"/>
                <w:bCs w:val="1"/>
                <w:color w:val="auto"/>
                <w:w w:val="95"/>
              </w:rPr>
              <w:t>December 31,</w:t>
            </w: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340"/>
              <w:spacing w:after="0" w:line="189" w:lineRule="exact"/>
              <w:rPr>
                <w:sz w:val="20"/>
                <w:szCs w:val="20"/>
                <w:color w:val="auto"/>
              </w:rPr>
            </w:pPr>
            <w:r>
              <w:rPr>
                <w:rFonts w:ascii="Arial" w:cs="Arial" w:eastAsia="Arial" w:hAnsi="Arial"/>
                <w:sz w:val="17"/>
                <w:szCs w:val="17"/>
                <w:b w:val="1"/>
                <w:bCs w:val="1"/>
                <w:color w:val="auto"/>
                <w:w w:val="99"/>
              </w:rPr>
              <w:t>March 31,</w:t>
            </w:r>
          </w:p>
        </w:tc>
        <w:tc>
          <w:tcPr>
            <w:tcW w:w="100" w:type="dxa"/>
            <w:vAlign w:val="bottom"/>
          </w:tcPr>
          <w:p>
            <w:pPr>
              <w:spacing w:after="0"/>
              <w:rPr>
                <w:sz w:val="16"/>
                <w:szCs w:val="16"/>
                <w:color w:val="auto"/>
              </w:rPr>
            </w:pPr>
          </w:p>
        </w:tc>
        <w:tc>
          <w:tcPr>
            <w:tcW w:w="1320" w:type="dxa"/>
            <w:vAlign w:val="bottom"/>
            <w:tcBorders>
              <w:top w:val="single" w:sz="8" w:color="auto"/>
            </w:tcBorders>
            <w:gridSpan w:val="3"/>
          </w:tcPr>
          <w:p>
            <w:pPr>
              <w:jc w:val="right"/>
              <w:ind w:right="260"/>
              <w:spacing w:after="0" w:line="189" w:lineRule="exact"/>
              <w:rPr>
                <w:sz w:val="20"/>
                <w:szCs w:val="20"/>
                <w:color w:val="auto"/>
              </w:rPr>
            </w:pPr>
            <w:r>
              <w:rPr>
                <w:rFonts w:ascii="Arial" w:cs="Arial" w:eastAsia="Arial" w:hAnsi="Arial"/>
                <w:sz w:val="17"/>
                <w:szCs w:val="17"/>
                <w:b w:val="1"/>
                <w:bCs w:val="1"/>
                <w:color w:val="auto"/>
                <w:w w:val="94"/>
              </w:rPr>
              <w:t>December 31,</w:t>
            </w: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w w:val="99"/>
              </w:rPr>
              <w:t>March 31,</w:t>
            </w:r>
          </w:p>
        </w:tc>
        <w:tc>
          <w:tcPr>
            <w:tcW w:w="140" w:type="dxa"/>
            <w:vAlign w:val="bottom"/>
          </w:tcPr>
          <w:p>
            <w:pPr>
              <w:spacing w:after="0"/>
              <w:rPr>
                <w:sz w:val="16"/>
                <w:szCs w:val="16"/>
                <w:color w:val="auto"/>
              </w:rPr>
            </w:pPr>
          </w:p>
        </w:tc>
      </w:tr>
      <w:tr>
        <w:trPr>
          <w:trHeight w:val="227"/>
        </w:trPr>
        <w:tc>
          <w:tcPr>
            <w:tcW w:w="322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Arial" w:cs="Arial" w:eastAsia="Arial" w:hAnsi="Arial"/>
                <w:sz w:val="17"/>
                <w:szCs w:val="17"/>
                <w:b w:val="1"/>
                <w:bCs w:val="1"/>
                <w:color w:val="auto"/>
              </w:rPr>
              <w:t>Minimum</w:t>
            </w:r>
          </w:p>
        </w:tc>
        <w:tc>
          <w:tcPr>
            <w:tcW w:w="128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Capitalized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15"/>
              <w:spacing w:after="0"/>
              <w:rPr>
                <w:sz w:val="20"/>
                <w:szCs w:val="20"/>
                <w:color w:val="auto"/>
              </w:rPr>
            </w:pPr>
            <w:r>
              <w:rPr>
                <w:rFonts w:ascii="Arial" w:cs="Arial" w:eastAsia="Arial" w:hAnsi="Arial"/>
                <w:sz w:val="17"/>
                <w:szCs w:val="17"/>
                <w:b w:val="1"/>
                <w:bCs w:val="1"/>
                <w:color w:val="auto"/>
              </w:rPr>
              <w:t>2014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15"/>
              <w:spacing w:after="0"/>
              <w:rPr>
                <w:sz w:val="20"/>
                <w:szCs w:val="20"/>
                <w:color w:val="auto"/>
              </w:rPr>
            </w:pPr>
            <w:r>
              <w:rPr>
                <w:rFonts w:ascii="Arial" w:cs="Arial" w:eastAsia="Arial" w:hAnsi="Arial"/>
                <w:sz w:val="17"/>
                <w:szCs w:val="17"/>
                <w:b w:val="1"/>
                <w:bCs w:val="1"/>
                <w:color w:val="auto"/>
              </w:rPr>
              <w:t>2014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295"/>
              <w:spacing w:after="0"/>
              <w:rPr>
                <w:sz w:val="20"/>
                <w:szCs w:val="20"/>
                <w:color w:val="auto"/>
              </w:rPr>
            </w:pPr>
            <w:r>
              <w:rPr>
                <w:rFonts w:ascii="Arial" w:cs="Arial" w:eastAsia="Arial" w:hAnsi="Arial"/>
                <w:sz w:val="17"/>
                <w:szCs w:val="17"/>
                <w:b w:val="1"/>
                <w:bCs w:val="1"/>
                <w:color w:val="auto"/>
              </w:rPr>
              <w:t>2014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15"/>
              <w:spacing w:after="0"/>
              <w:rPr>
                <w:sz w:val="20"/>
                <w:szCs w:val="20"/>
                <w:color w:val="auto"/>
              </w:rPr>
            </w:pPr>
            <w:r>
              <w:rPr>
                <w:rFonts w:ascii="Arial" w:cs="Arial" w:eastAsia="Arial" w:hAnsi="Arial"/>
                <w:sz w:val="17"/>
                <w:szCs w:val="17"/>
                <w:b w:val="1"/>
                <w:bCs w:val="1"/>
                <w:color w:val="auto"/>
              </w:rPr>
              <w:t>2014</w:t>
            </w:r>
          </w:p>
        </w:tc>
        <w:tc>
          <w:tcPr>
            <w:tcW w:w="140" w:type="dxa"/>
            <w:vAlign w:val="bottom"/>
          </w:tcPr>
          <w:p>
            <w:pPr>
              <w:spacing w:after="0"/>
              <w:rPr>
                <w:sz w:val="19"/>
                <w:szCs w:val="19"/>
                <w:color w:val="auto"/>
              </w:rPr>
            </w:pPr>
          </w:p>
        </w:tc>
      </w:tr>
      <w:tr>
        <w:trPr>
          <w:trHeight w:val="205"/>
        </w:trPr>
        <w:tc>
          <w:tcPr>
            <w:tcW w:w="3220" w:type="dxa"/>
            <w:vAlign w:val="bottom"/>
            <w:shd w:val="clear" w:color="auto" w:fill="F0FFFF"/>
          </w:tcPr>
          <w:p>
            <w:pPr>
              <w:spacing w:after="0"/>
              <w:rPr>
                <w:sz w:val="20"/>
                <w:szCs w:val="20"/>
                <w:color w:val="auto"/>
              </w:rPr>
            </w:pPr>
            <w:r>
              <w:rPr>
                <w:rFonts w:ascii="Arial" w:cs="Arial" w:eastAsia="Arial" w:hAnsi="Arial"/>
                <w:sz w:val="17"/>
                <w:szCs w:val="17"/>
                <w:color w:val="auto"/>
              </w:rPr>
              <w:t>Risk-based ratios:</w:t>
            </w:r>
          </w:p>
        </w:tc>
        <w:tc>
          <w:tcPr>
            <w:tcW w:w="1120" w:type="dxa"/>
            <w:vAlign w:val="bottom"/>
            <w:tcBorders>
              <w:top w:val="single" w:sz="8" w:color="auto"/>
            </w:tcBorders>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14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60" w:type="dxa"/>
            <w:vAlign w:val="bottom"/>
            <w:tcBorders>
              <w:top w:val="single" w:sz="8" w:color="auto"/>
            </w:tcBorders>
            <w:shd w:val="clear" w:color="auto" w:fill="F0FFFF"/>
          </w:tcPr>
          <w:p>
            <w:pPr>
              <w:spacing w:after="0"/>
              <w:rPr>
                <w:sz w:val="17"/>
                <w:szCs w:val="17"/>
                <w:color w:val="auto"/>
              </w:rPr>
            </w:pPr>
          </w:p>
        </w:tc>
        <w:tc>
          <w:tcPr>
            <w:tcW w:w="980" w:type="dxa"/>
            <w:vAlign w:val="bottom"/>
            <w:tcBorders>
              <w:top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980" w:type="dxa"/>
            <w:vAlign w:val="bottom"/>
            <w:tcBorders>
              <w:top w:val="single" w:sz="8" w:color="auto"/>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tcBorders>
              <w:top w:val="single" w:sz="8" w:color="auto"/>
            </w:tcBorders>
            <w:shd w:val="clear" w:color="auto" w:fill="F0FFFF"/>
          </w:tcPr>
          <w:p>
            <w:pPr>
              <w:spacing w:after="0"/>
              <w:rPr>
                <w:sz w:val="17"/>
                <w:szCs w:val="17"/>
                <w:color w:val="auto"/>
              </w:rPr>
            </w:pPr>
          </w:p>
        </w:tc>
        <w:tc>
          <w:tcPr>
            <w:tcW w:w="920" w:type="dxa"/>
            <w:vAlign w:val="bottom"/>
            <w:tcBorders>
              <w:top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100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3220" w:type="dxa"/>
            <w:vAlign w:val="bottom"/>
          </w:tcPr>
          <w:p>
            <w:pPr>
              <w:ind w:left="180"/>
              <w:spacing w:after="0"/>
              <w:rPr>
                <w:sz w:val="20"/>
                <w:szCs w:val="20"/>
                <w:color w:val="auto"/>
              </w:rPr>
            </w:pPr>
            <w:r>
              <w:rPr>
                <w:rFonts w:ascii="Arial" w:cs="Arial" w:eastAsia="Arial" w:hAnsi="Arial"/>
                <w:sz w:val="17"/>
                <w:szCs w:val="17"/>
                <w:color w:val="auto"/>
              </w:rPr>
              <w:t>Tier I capital</w:t>
            </w:r>
          </w:p>
        </w:tc>
        <w:tc>
          <w:tcPr>
            <w:tcW w:w="1380" w:type="dxa"/>
            <w:vAlign w:val="bottom"/>
            <w:gridSpan w:val="2"/>
          </w:tcPr>
          <w:p>
            <w:pPr>
              <w:ind w:left="920"/>
              <w:spacing w:after="0"/>
              <w:rPr>
                <w:sz w:val="20"/>
                <w:szCs w:val="20"/>
                <w:color w:val="auto"/>
              </w:rPr>
            </w:pPr>
            <w:r>
              <w:rPr>
                <w:rFonts w:ascii="Arial" w:cs="Arial" w:eastAsia="Arial" w:hAnsi="Arial"/>
                <w:sz w:val="17"/>
                <w:szCs w:val="17"/>
                <w:color w:val="auto"/>
              </w:rPr>
              <w:t>4.0%</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12.05%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11.10%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12.84%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12.64%</w:t>
            </w:r>
          </w:p>
        </w:tc>
      </w:tr>
      <w:tr>
        <w:trPr>
          <w:trHeight w:val="205"/>
        </w:trPr>
        <w:tc>
          <w:tcPr>
            <w:tcW w:w="3220" w:type="dxa"/>
            <w:vAlign w:val="bottom"/>
            <w:shd w:val="clear" w:color="auto" w:fill="F0FFFF"/>
          </w:tcPr>
          <w:p>
            <w:pPr>
              <w:ind w:left="180"/>
              <w:spacing w:after="0"/>
              <w:rPr>
                <w:sz w:val="20"/>
                <w:szCs w:val="20"/>
                <w:color w:val="auto"/>
              </w:rPr>
            </w:pPr>
            <w:r>
              <w:rPr>
                <w:rFonts w:ascii="Arial" w:cs="Arial" w:eastAsia="Arial" w:hAnsi="Arial"/>
                <w:sz w:val="17"/>
                <w:szCs w:val="17"/>
                <w:color w:val="auto"/>
              </w:rPr>
              <w:t>Total capital</w:t>
            </w:r>
          </w:p>
        </w:tc>
        <w:tc>
          <w:tcPr>
            <w:tcW w:w="1380" w:type="dxa"/>
            <w:vAlign w:val="bottom"/>
            <w:gridSpan w:val="2"/>
            <w:shd w:val="clear" w:color="auto" w:fill="F0FFFF"/>
          </w:tcPr>
          <w:p>
            <w:pPr>
              <w:ind w:left="920"/>
              <w:spacing w:after="0"/>
              <w:rPr>
                <w:sz w:val="20"/>
                <w:szCs w:val="20"/>
                <w:color w:val="auto"/>
              </w:rPr>
            </w:pPr>
            <w:r>
              <w:rPr>
                <w:rFonts w:ascii="Arial" w:cs="Arial" w:eastAsia="Arial" w:hAnsi="Arial"/>
                <w:sz w:val="17"/>
                <w:szCs w:val="17"/>
                <w:color w:val="auto"/>
              </w:rPr>
              <w:t>8.0</w:t>
            </w: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13.30</w:t>
            </w:r>
          </w:p>
        </w:tc>
        <w:tc>
          <w:tcPr>
            <w:tcW w:w="2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12.36</w:t>
            </w:r>
          </w:p>
        </w:tc>
        <w:tc>
          <w:tcPr>
            <w:tcW w:w="1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14.09</w:t>
            </w:r>
          </w:p>
        </w:tc>
        <w:tc>
          <w:tcPr>
            <w:tcW w:w="2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13.90</w:t>
            </w:r>
          </w:p>
        </w:tc>
      </w:tr>
      <w:tr>
        <w:trPr>
          <w:trHeight w:val="205"/>
        </w:trPr>
        <w:tc>
          <w:tcPr>
            <w:tcW w:w="3220" w:type="dxa"/>
            <w:vAlign w:val="bottom"/>
          </w:tcPr>
          <w:p>
            <w:pPr>
              <w:spacing w:after="0"/>
              <w:rPr>
                <w:sz w:val="20"/>
                <w:szCs w:val="20"/>
                <w:color w:val="auto"/>
              </w:rPr>
            </w:pPr>
            <w:r>
              <w:rPr>
                <w:rFonts w:ascii="Arial" w:cs="Arial" w:eastAsia="Arial" w:hAnsi="Arial"/>
                <w:sz w:val="17"/>
                <w:szCs w:val="17"/>
                <w:color w:val="auto"/>
              </w:rPr>
              <w:t>Leverage ratio</w:t>
            </w:r>
          </w:p>
        </w:tc>
        <w:tc>
          <w:tcPr>
            <w:tcW w:w="1380" w:type="dxa"/>
            <w:vAlign w:val="bottom"/>
            <w:gridSpan w:val="2"/>
          </w:tcPr>
          <w:p>
            <w:pPr>
              <w:ind w:left="920"/>
              <w:spacing w:after="0"/>
              <w:rPr>
                <w:sz w:val="20"/>
                <w:szCs w:val="20"/>
                <w:color w:val="auto"/>
              </w:rPr>
            </w:pPr>
            <w:r>
              <w:rPr>
                <w:rFonts w:ascii="Arial" w:cs="Arial" w:eastAsia="Arial" w:hAnsi="Arial"/>
                <w:sz w:val="17"/>
                <w:szCs w:val="17"/>
                <w:color w:val="auto"/>
              </w:rPr>
              <w:t>3.0</w:t>
            </w:r>
          </w:p>
        </w:tc>
        <w:tc>
          <w:tcPr>
            <w:tcW w:w="1140" w:type="dxa"/>
            <w:vAlign w:val="bottom"/>
          </w:tcPr>
          <w:p>
            <w:pPr>
              <w:jc w:val="right"/>
              <w:spacing w:after="0"/>
              <w:rPr>
                <w:sz w:val="20"/>
                <w:szCs w:val="20"/>
                <w:color w:val="auto"/>
              </w:rPr>
            </w:pPr>
            <w:r>
              <w:rPr>
                <w:rFonts w:ascii="Arial" w:cs="Arial" w:eastAsia="Arial" w:hAnsi="Arial"/>
                <w:sz w:val="17"/>
                <w:szCs w:val="17"/>
                <w:color w:val="auto"/>
              </w:rPr>
              <w:t>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8.69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7.96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9.25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9.07</w:t>
            </w:r>
          </w:p>
        </w:tc>
      </w:tr>
      <w:tr>
        <w:trPr>
          <w:trHeight w:val="205"/>
        </w:trPr>
        <w:tc>
          <w:tcPr>
            <w:tcW w:w="322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205"/>
        </w:trPr>
        <w:tc>
          <w:tcPr>
            <w:tcW w:w="3220" w:type="dxa"/>
            <w:vAlign w:val="bottom"/>
          </w:tcPr>
          <w:p>
            <w:pPr>
              <w:ind w:left="160"/>
              <w:spacing w:after="0"/>
              <w:rPr>
                <w:sz w:val="20"/>
                <w:szCs w:val="20"/>
                <w:color w:val="auto"/>
              </w:rPr>
            </w:pPr>
            <w:r>
              <w:rPr>
                <w:rFonts w:ascii="Arial" w:cs="Arial" w:eastAsia="Arial" w:hAnsi="Arial"/>
                <w:sz w:val="17"/>
                <w:szCs w:val="17"/>
                <w:color w:val="auto"/>
              </w:rPr>
              <w:t>Tier I capital</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642,663</w:t>
            </w:r>
          </w:p>
        </w:tc>
        <w:tc>
          <w:tcPr>
            <w:tcW w:w="200" w:type="dxa"/>
            <w:vAlign w:val="bottom"/>
          </w:tcPr>
          <w:p>
            <w:pPr>
              <w:spacing w:after="0"/>
              <w:rPr>
                <w:sz w:val="17"/>
                <w:szCs w:val="17"/>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571,419</w:t>
            </w:r>
          </w:p>
        </w:tc>
        <w:tc>
          <w:tcPr>
            <w:tcW w:w="160" w:type="dxa"/>
            <w:vAlign w:val="bottom"/>
          </w:tcPr>
          <w:p>
            <w:pPr>
              <w:spacing w:after="0"/>
              <w:rPr>
                <w:sz w:val="17"/>
                <w:szCs w:val="17"/>
                <w:color w:val="auto"/>
              </w:rPr>
            </w:pPr>
          </w:p>
        </w:tc>
        <w:tc>
          <w:tcPr>
            <w:tcW w:w="30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683,332</w:t>
            </w:r>
          </w:p>
        </w:tc>
        <w:tc>
          <w:tcPr>
            <w:tcW w:w="200" w:type="dxa"/>
            <w:vAlign w:val="bottom"/>
          </w:tcPr>
          <w:p>
            <w:pPr>
              <w:spacing w:after="0"/>
              <w:rPr>
                <w:sz w:val="17"/>
                <w:szCs w:val="17"/>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650,609</w:t>
            </w:r>
          </w:p>
        </w:tc>
      </w:tr>
      <w:tr>
        <w:trPr>
          <w:trHeight w:val="205"/>
        </w:trPr>
        <w:tc>
          <w:tcPr>
            <w:tcW w:w="3220" w:type="dxa"/>
            <w:vAlign w:val="bottom"/>
            <w:shd w:val="clear" w:color="auto" w:fill="F0FFFF"/>
          </w:tcPr>
          <w:p>
            <w:pPr>
              <w:ind w:left="160"/>
              <w:spacing w:after="0"/>
              <w:rPr>
                <w:sz w:val="20"/>
                <w:szCs w:val="20"/>
                <w:color w:val="auto"/>
              </w:rPr>
            </w:pPr>
            <w:r>
              <w:rPr>
                <w:rFonts w:ascii="Arial" w:cs="Arial" w:eastAsia="Arial" w:hAnsi="Arial"/>
                <w:sz w:val="17"/>
                <w:szCs w:val="17"/>
                <w:color w:val="auto"/>
              </w:rPr>
              <w:t>Total capital</w:t>
            </w:r>
          </w:p>
        </w:tc>
        <w:tc>
          <w:tcPr>
            <w:tcW w:w="11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709,408</w:t>
            </w:r>
          </w:p>
        </w:tc>
        <w:tc>
          <w:tcPr>
            <w:tcW w:w="2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635,916</w:t>
            </w:r>
          </w:p>
        </w:tc>
        <w:tc>
          <w:tcPr>
            <w:tcW w:w="1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749,927</w:t>
            </w:r>
          </w:p>
        </w:tc>
        <w:tc>
          <w:tcPr>
            <w:tcW w:w="2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715,089</w:t>
            </w:r>
          </w:p>
        </w:tc>
      </w:tr>
      <w:tr>
        <w:trPr>
          <w:trHeight w:val="205"/>
        </w:trPr>
        <w:tc>
          <w:tcPr>
            <w:tcW w:w="3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3220" w:type="dxa"/>
            <w:vAlign w:val="bottom"/>
            <w:shd w:val="clear" w:color="auto" w:fill="F0FFFF"/>
          </w:tcPr>
          <w:p>
            <w:pPr>
              <w:ind w:left="160"/>
              <w:spacing w:after="0"/>
              <w:rPr>
                <w:sz w:val="20"/>
                <w:szCs w:val="20"/>
                <w:color w:val="auto"/>
              </w:rPr>
            </w:pPr>
            <w:r>
              <w:rPr>
                <w:rFonts w:ascii="Arial" w:cs="Arial" w:eastAsia="Arial" w:hAnsi="Arial"/>
                <w:sz w:val="17"/>
                <w:szCs w:val="17"/>
                <w:color w:val="auto"/>
              </w:rPr>
              <w:t>Risk-weighted assets</w:t>
            </w:r>
          </w:p>
        </w:tc>
        <w:tc>
          <w:tcPr>
            <w:tcW w:w="11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5,332,822</w:t>
            </w:r>
          </w:p>
        </w:tc>
        <w:tc>
          <w:tcPr>
            <w:tcW w:w="2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5,146,851</w:t>
            </w:r>
          </w:p>
        </w:tc>
        <w:tc>
          <w:tcPr>
            <w:tcW w:w="1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7"/>
                <w:szCs w:val="17"/>
                <w:color w:val="auto"/>
              </w:rPr>
              <w:t>5,320,615</w:t>
            </w:r>
          </w:p>
        </w:tc>
        <w:tc>
          <w:tcPr>
            <w:tcW w:w="2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7"/>
                <w:szCs w:val="17"/>
                <w:color w:val="auto"/>
              </w:rPr>
              <w:t>5,145,663</w:t>
            </w:r>
          </w:p>
        </w:tc>
      </w:tr>
      <w:tr>
        <w:trPr>
          <w:trHeight w:val="216"/>
        </w:trPr>
        <w:tc>
          <w:tcPr>
            <w:tcW w:w="3220" w:type="dxa"/>
            <w:vAlign w:val="bottom"/>
          </w:tcPr>
          <w:p>
            <w:pPr>
              <w:ind w:left="160"/>
              <w:spacing w:after="0"/>
              <w:rPr>
                <w:sz w:val="20"/>
                <w:szCs w:val="20"/>
                <w:color w:val="auto"/>
              </w:rPr>
            </w:pPr>
            <w:r>
              <w:rPr>
                <w:rFonts w:ascii="Arial" w:cs="Arial" w:eastAsia="Arial" w:hAnsi="Arial"/>
                <w:sz w:val="17"/>
                <w:szCs w:val="17"/>
                <w:color w:val="auto"/>
              </w:rPr>
              <w:t>Average total assets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7,396,450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7,180,132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7,385,048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7,171,861</w:t>
            </w:r>
          </w:p>
        </w:tc>
      </w:tr>
    </w:tbl>
    <w:p>
      <w:pPr>
        <w:spacing w:after="0" w:line="207"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The Basel III guidelines for risk-based capital became effective January 1, 2015. The capital ratios shown above as of March 31, 2015 were calculated under the Basel III guidelines. Capital ratios for all other periods were calculated using the existing Basel I guidelines that were in effect at the time.</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United’s common stock trades on the Nasdaq Global Select Market under the symbol “UCBI”. Below is a quarterly schedule of high, low and closing stock prices and average daily volume for 2015 and 2014.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7"/>
                <w:szCs w:val="17"/>
                <w:b w:val="1"/>
                <w:bCs w:val="1"/>
                <w:color w:val="auto"/>
              </w:rPr>
              <w:t>2015</w:t>
            </w: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7"/>
                <w:szCs w:val="17"/>
                <w:b w:val="1"/>
                <w:bCs w:val="1"/>
                <w:color w:val="auto"/>
              </w:rPr>
              <w:t>2014</w:t>
            </w: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2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2"/>
              </w:rPr>
              <w:t>Avg Daily</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Avg Daily</w:t>
            </w:r>
          </w:p>
        </w:tc>
        <w:tc>
          <w:tcPr>
            <w:tcW w:w="100" w:type="dxa"/>
            <w:vAlign w:val="bottom"/>
          </w:tcPr>
          <w:p>
            <w:pPr>
              <w:spacing w:after="0"/>
              <w:rPr>
                <w:sz w:val="16"/>
                <w:szCs w:val="16"/>
                <w:color w:val="auto"/>
              </w:rPr>
            </w:pPr>
          </w:p>
        </w:tc>
      </w:tr>
      <w:tr>
        <w:trPr>
          <w:trHeight w:val="227"/>
        </w:trPr>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95"/>
              <w:spacing w:after="0"/>
              <w:rPr>
                <w:sz w:val="20"/>
                <w:szCs w:val="20"/>
                <w:color w:val="auto"/>
              </w:rPr>
            </w:pPr>
            <w:r>
              <w:rPr>
                <w:rFonts w:ascii="Arial" w:cs="Arial" w:eastAsia="Arial" w:hAnsi="Arial"/>
                <w:sz w:val="17"/>
                <w:szCs w:val="17"/>
                <w:b w:val="1"/>
                <w:bCs w:val="1"/>
                <w:color w:val="auto"/>
              </w:rPr>
              <w:t>High</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Low</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w w:val="99"/>
              </w:rPr>
              <w:t>Close</w:t>
            </w:r>
          </w:p>
        </w:tc>
        <w:tc>
          <w:tcPr>
            <w:tcW w:w="10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1"/>
              </w:rPr>
              <w:t>Volume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b w:val="1"/>
                <w:bCs w:val="1"/>
                <w:color w:val="auto"/>
              </w:rPr>
              <w:t>High</w:t>
            </w:r>
          </w:p>
        </w:tc>
        <w:tc>
          <w:tcPr>
            <w:tcW w:w="200" w:type="dxa"/>
            <w:vAlign w:val="bottom"/>
          </w:tcPr>
          <w:p>
            <w:pPr>
              <w:spacing w:after="0"/>
              <w:rPr>
                <w:sz w:val="19"/>
                <w:szCs w:val="19"/>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Low</w:t>
            </w:r>
          </w:p>
        </w:tc>
        <w:tc>
          <w:tcPr>
            <w:tcW w:w="18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w w:val="99"/>
              </w:rPr>
              <w:t>Close</w:t>
            </w:r>
          </w:p>
        </w:tc>
        <w:tc>
          <w:tcPr>
            <w:tcW w:w="100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Volume</w:t>
            </w:r>
          </w:p>
        </w:tc>
      </w:tr>
      <w:tr>
        <w:trPr>
          <w:trHeight w:val="205"/>
        </w:trPr>
        <w:tc>
          <w:tcPr>
            <w:tcW w:w="24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420" w:type="dxa"/>
            <w:vAlign w:val="bottom"/>
            <w:shd w:val="clear" w:color="auto" w:fill="F0FFFF"/>
          </w:tcPr>
          <w:p>
            <w:pPr>
              <w:spacing w:after="0"/>
              <w:rPr>
                <w:sz w:val="20"/>
                <w:szCs w:val="20"/>
                <w:color w:val="auto"/>
              </w:rPr>
            </w:pPr>
            <w:r>
              <w:rPr>
                <w:rFonts w:ascii="Arial" w:cs="Arial" w:eastAsia="Arial" w:hAnsi="Arial"/>
                <w:sz w:val="17"/>
                <w:szCs w:val="17"/>
                <w:color w:val="auto"/>
              </w:rPr>
              <w:t>First quarter</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7"/>
                <w:szCs w:val="17"/>
                <w:color w:val="auto"/>
              </w:rPr>
              <w:t>19.53</w:t>
            </w:r>
          </w:p>
        </w:tc>
        <w:tc>
          <w:tcPr>
            <w:tcW w:w="42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16.48</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7"/>
                <w:szCs w:val="17"/>
                <w:color w:val="auto"/>
              </w:rPr>
              <w:t>18.88</w:t>
            </w: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234,966</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20.28</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15.74</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19.41</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494,205</w:t>
            </w:r>
          </w:p>
        </w:tc>
      </w:tr>
      <w:tr>
        <w:trPr>
          <w:trHeight w:val="205"/>
        </w:trPr>
        <w:tc>
          <w:tcPr>
            <w:tcW w:w="2420" w:type="dxa"/>
            <w:vAlign w:val="bottom"/>
          </w:tcPr>
          <w:p>
            <w:pPr>
              <w:spacing w:after="0"/>
              <w:rPr>
                <w:sz w:val="20"/>
                <w:szCs w:val="20"/>
                <w:color w:val="auto"/>
              </w:rPr>
            </w:pPr>
            <w:r>
              <w:rPr>
                <w:rFonts w:ascii="Arial" w:cs="Arial" w:eastAsia="Arial" w:hAnsi="Arial"/>
                <w:sz w:val="17"/>
                <w:szCs w:val="17"/>
                <w:color w:val="auto"/>
              </w:rPr>
              <w:t>Second quarter</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19.87</w:t>
            </w:r>
          </w:p>
        </w:tc>
        <w:tc>
          <w:tcPr>
            <w:tcW w:w="2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14.86</w:t>
            </w:r>
          </w:p>
        </w:tc>
        <w:tc>
          <w:tcPr>
            <w:tcW w:w="18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16.37</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308,486</w:t>
            </w:r>
          </w:p>
        </w:tc>
      </w:tr>
      <w:tr>
        <w:trPr>
          <w:trHeight w:val="205"/>
        </w:trPr>
        <w:tc>
          <w:tcPr>
            <w:tcW w:w="2420" w:type="dxa"/>
            <w:vAlign w:val="bottom"/>
            <w:shd w:val="clear" w:color="auto" w:fill="F0FFFF"/>
          </w:tcPr>
          <w:p>
            <w:pPr>
              <w:spacing w:after="0"/>
              <w:rPr>
                <w:sz w:val="20"/>
                <w:szCs w:val="20"/>
                <w:color w:val="auto"/>
              </w:rPr>
            </w:pPr>
            <w:r>
              <w:rPr>
                <w:rFonts w:ascii="Arial" w:cs="Arial" w:eastAsia="Arial" w:hAnsi="Arial"/>
                <w:sz w:val="17"/>
                <w:szCs w:val="17"/>
                <w:color w:val="auto"/>
              </w:rPr>
              <w:t>Third quarter</w:t>
            </w:r>
          </w:p>
        </w:tc>
        <w:tc>
          <w:tcPr>
            <w:tcW w:w="18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6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18.42</w:t>
            </w:r>
          </w:p>
        </w:tc>
        <w:tc>
          <w:tcPr>
            <w:tcW w:w="200" w:type="dxa"/>
            <w:vAlign w:val="bottom"/>
            <w:shd w:val="clear" w:color="auto" w:fill="F0FFFF"/>
          </w:tcPr>
          <w:p>
            <w:pPr>
              <w:spacing w:after="0"/>
              <w:rPr>
                <w:sz w:val="17"/>
                <w:szCs w:val="17"/>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7"/>
                <w:szCs w:val="17"/>
                <w:color w:val="auto"/>
              </w:rPr>
              <w:t>15.42</w:t>
            </w:r>
          </w:p>
        </w:tc>
        <w:tc>
          <w:tcPr>
            <w:tcW w:w="18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200"/>
              <w:spacing w:after="0"/>
              <w:rPr>
                <w:sz w:val="20"/>
                <w:szCs w:val="20"/>
                <w:color w:val="auto"/>
              </w:rPr>
            </w:pPr>
            <w:r>
              <w:rPr>
                <w:rFonts w:ascii="Arial" w:cs="Arial" w:eastAsia="Arial" w:hAnsi="Arial"/>
                <w:sz w:val="17"/>
                <w:szCs w:val="17"/>
                <w:color w:val="auto"/>
              </w:rPr>
              <w:t>16.46</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331,109</w:t>
            </w:r>
          </w:p>
        </w:tc>
      </w:tr>
      <w:tr>
        <w:trPr>
          <w:trHeight w:val="216"/>
        </w:trPr>
        <w:tc>
          <w:tcPr>
            <w:tcW w:w="2420" w:type="dxa"/>
            <w:vAlign w:val="bottom"/>
          </w:tcPr>
          <w:p>
            <w:pPr>
              <w:spacing w:after="0"/>
              <w:rPr>
                <w:sz w:val="20"/>
                <w:szCs w:val="20"/>
                <w:color w:val="auto"/>
              </w:rPr>
            </w:pPr>
            <w:r>
              <w:rPr>
                <w:rFonts w:ascii="Arial" w:cs="Arial" w:eastAsia="Arial" w:hAnsi="Arial"/>
                <w:sz w:val="17"/>
                <w:szCs w:val="17"/>
                <w:color w:val="auto"/>
              </w:rPr>
              <w:t>Fourth quarter</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19.50</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15.16</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18.94</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262,598</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Inflation and Changing Prices</w:t>
      </w:r>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197"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 About Market Risk</w:t>
      </w:r>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There have been no material changes in United’s quantitative and qualitative disclosures about market risk as of March 31, 2015 from that presented in the Annual Report on Form 10-K for the year ended December 31, 2014. The interest rate sensitivity position at March 31, 2015 is included in management’s discussion and analysis on page 52 of this report.</w:t>
      </w:r>
    </w:p>
    <w:p>
      <w:pPr>
        <w:spacing w:after="0" w:line="197"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4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United’s management, including the Chief Executive Officer and Chief Financial Officer, supervised and participated in an evaluation of United’s disclosure controls and procedures as of March 31, 2015.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SEC’s rules and forms and that the disclosure controls and procedures are designed to ensure that the information required to be disclosed in reports that are filed or submitted by United under the Exchange Act is recorded, processed, summarized and reported within the time periods specified in the SEC’s rules and forms.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58" w:name="page59"/>
    <w:bookmarkEnd w:id="58"/>
    <w:p>
      <w:pPr>
        <w:spacing w:after="0"/>
        <w:rPr>
          <w:sz w:val="20"/>
          <w:szCs w:val="20"/>
          <w:color w:val="auto"/>
        </w:rPr>
      </w:pPr>
      <w:r>
        <w:rPr>
          <w:rFonts w:ascii="Arial" w:cs="Arial" w:eastAsia="Arial" w:hAnsi="Arial"/>
          <w:sz w:val="15"/>
          <w:szCs w:val="15"/>
          <w:color w:val="auto"/>
        </w:rPr>
        <w:t>There were no significant changes in the internal controls or in other factors that could significantly affect these controls subsequent to the date of their evaluation.</w:t>
      </w:r>
    </w:p>
    <w:p>
      <w:pPr>
        <w:spacing w:after="0" w:line="259"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Part II.</w:t>
      </w:r>
      <w:r>
        <w:rPr>
          <w:sz w:val="20"/>
          <w:szCs w:val="20"/>
          <w:color w:val="auto"/>
        </w:rPr>
        <w:tab/>
      </w:r>
      <w:r>
        <w:rPr>
          <w:rFonts w:ascii="Arial" w:cs="Arial" w:eastAsia="Arial" w:hAnsi="Arial"/>
          <w:sz w:val="16"/>
          <w:szCs w:val="16"/>
          <w:b w:val="1"/>
          <w:bCs w:val="1"/>
          <w:color w:val="auto"/>
        </w:rPr>
        <w:t>Other Information</w:t>
      </w:r>
    </w:p>
    <w:p>
      <w:pPr>
        <w:spacing w:after="0" w:line="240"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44" w:lineRule="exact"/>
        <w:rPr>
          <w:sz w:val="20"/>
          <w:szCs w:val="20"/>
          <w:color w:val="auto"/>
        </w:rPr>
      </w:pPr>
    </w:p>
    <w:p>
      <w:pPr>
        <w:jc w:val="both"/>
        <w:spacing w:after="0" w:line="315" w:lineRule="auto"/>
        <w:rPr>
          <w:sz w:val="20"/>
          <w:szCs w:val="20"/>
          <w:color w:val="auto"/>
        </w:rPr>
      </w:pPr>
      <w:r>
        <w:rPr>
          <w:rFonts w:ascii="Arial" w:cs="Arial" w:eastAsia="Arial" w:hAnsi="Arial"/>
          <w:sz w:val="15"/>
          <w:szCs w:val="15"/>
          <w:color w:val="auto"/>
        </w:rPr>
        <w:t>In the ordinary course of operations, United and the Bank are defendants in various legal proceedings. Additionally, in the ordinary course of business, United and the Bank are subject to regulatory examinations and investigations. Based on our current knowledge and advice of counsel, in the opinion of management there is no such pending or threatened legal matter which would result in a material adverse change in the consolidated financial condition or results of operations of United.</w:t>
      </w:r>
    </w:p>
    <w:p>
      <w:pPr>
        <w:spacing w:after="0" w:line="163"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from the risk factors previously disclosed in United’s Annual Report on Form 10-K for the year ended December 31, 2014.</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 – None</w:t>
      </w:r>
    </w:p>
    <w:p>
      <w:pPr>
        <w:spacing w:after="0" w:line="240"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Defaults upon Senior Securities – None</w:t>
      </w:r>
    </w:p>
    <w:p>
      <w:pPr>
        <w:spacing w:after="0" w:line="240"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Mine Safety Disclosures – None</w:t>
      </w:r>
    </w:p>
    <w:p>
      <w:pPr>
        <w:spacing w:after="0" w:line="240"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color w:val="auto"/>
        </w:rPr>
        <w:t>Other Information – None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83" w:right="2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auto"/>
        </w:rPr>
        <w:t>Item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Exhibits</w:t>
      </w:r>
    </w:p>
    <w:p>
      <w:pPr>
        <w:spacing w:after="0" w:line="211" w:lineRule="exact"/>
        <w:rPr>
          <w:sz w:val="20"/>
          <w:szCs w:val="20"/>
          <w:color w:val="auto"/>
        </w:rPr>
      </w:pPr>
    </w:p>
    <w:p>
      <w:pPr>
        <w:sectPr>
          <w:pgSz w:w="11900" w:h="16838" w:orient="portrait"/>
          <w:cols w:equalWidth="0" w:num="2">
            <w:col w:w="520" w:space="420"/>
            <w:col w:w="10480"/>
          </w:cols>
          <w:pgMar w:left="240" w:top="879" w:right="239" w:bottom="1440" w:gutter="0" w:footer="0" w:header="0"/>
        </w:sectPr>
      </w:pPr>
    </w:p>
    <w:p>
      <w:pPr>
        <w:spacing w:after="0" w:line="5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Exhibit No.</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Description</w:t>
      </w:r>
    </w:p>
    <w:p>
      <w:pPr>
        <w:spacing w:after="0" w:line="211" w:lineRule="exact"/>
        <w:rPr>
          <w:sz w:val="20"/>
          <w:szCs w:val="20"/>
          <w:color w:val="auto"/>
        </w:rPr>
      </w:pPr>
    </w:p>
    <w:p>
      <w:pPr>
        <w:sectPr>
          <w:pgSz w:w="11900" w:h="16838" w:orient="portrait"/>
          <w:cols w:equalWidth="0" w:num="2">
            <w:col w:w="980" w:space="360"/>
            <w:col w:w="10080"/>
          </w:cols>
          <w:pgMar w:left="240" w:top="879" w:right="239" w:bottom="1440" w:gutter="0" w:footer="0" w:header="0"/>
          <w:type w:val="continuous"/>
        </w:sectPr>
      </w:pPr>
    </w:p>
    <w:p>
      <w:pPr>
        <w:spacing w:after="0" w:line="2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Restated Articles of Incorporation of United Community Banks, Inc., as amended.</w:t>
      </w:r>
    </w:p>
    <w:p>
      <w:pPr>
        <w:spacing w:after="0" w:line="200" w:lineRule="exact"/>
        <w:rPr>
          <w:sz w:val="20"/>
          <w:szCs w:val="20"/>
          <w:color w:val="auto"/>
        </w:rPr>
      </w:pPr>
    </w:p>
    <w:p>
      <w:pPr>
        <w:sectPr>
          <w:pgSz w:w="11900" w:h="16838" w:orient="portrait"/>
          <w:cols w:equalWidth="0" w:num="2">
            <w:col w:w="660" w:space="680"/>
            <w:col w:w="10080"/>
          </w:cols>
          <w:pgMar w:left="240" w:top="879" w:right="239" w:bottom="1440" w:gutter="0" w:footer="0" w:header="0"/>
          <w:type w:val="continuous"/>
        </w:sectPr>
      </w:pPr>
    </w:p>
    <w:p>
      <w:pPr>
        <w:spacing w:after="0" w:line="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Amended and Restated Bylaws of United Community Banks, Inc., as amended.</w:t>
      </w:r>
    </w:p>
    <w:p>
      <w:pPr>
        <w:spacing w:after="0" w:line="200" w:lineRule="exact"/>
        <w:rPr>
          <w:sz w:val="20"/>
          <w:szCs w:val="20"/>
          <w:color w:val="auto"/>
        </w:rPr>
      </w:pPr>
    </w:p>
    <w:p>
      <w:pPr>
        <w:sectPr>
          <w:pgSz w:w="11900" w:h="16838" w:orient="portrait"/>
          <w:cols w:equalWidth="0" w:num="2">
            <w:col w:w="660" w:space="680"/>
            <w:col w:w="10080"/>
          </w:cols>
          <w:pgMar w:left="240" w:top="879" w:right="239" w:bottom="1440" w:gutter="0" w:footer="0" w:header="0"/>
          <w:type w:val="continuous"/>
        </w:sectPr>
      </w:pPr>
    </w:p>
    <w:p>
      <w:pPr>
        <w:spacing w:after="0" w:line="38" w:lineRule="exact"/>
        <w:rPr>
          <w:sz w:val="20"/>
          <w:szCs w:val="20"/>
          <w:color w:val="auto"/>
        </w:rPr>
      </w:pPr>
    </w:p>
    <w:p>
      <w:pPr>
        <w:ind w:left="1340" w:right="60" w:hanging="902"/>
        <w:spacing w:after="0" w:line="277" w:lineRule="auto"/>
        <w:tabs>
          <w:tab w:leader="none" w:pos="1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See Exhibits 3.1 and 3.2 for provisions of the Restated Articles of Incorporation of United Community Banks, Inc., as amended, and the Amended and Restated Bylaws of United Community Banks, Inc., as amended, which define the rights of security holders.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00" w:type="dxa"/>
            <w:vAlign w:val="bottom"/>
          </w:tcPr>
          <w:p>
            <w:pPr>
              <w:ind w:left="440"/>
              <w:spacing w:after="0"/>
              <w:rPr>
                <w:sz w:val="20"/>
                <w:szCs w:val="20"/>
                <w:color w:val="auto"/>
              </w:rPr>
            </w:pPr>
            <w:r>
              <w:rPr>
                <w:rFonts w:ascii="Arial" w:cs="Arial" w:eastAsia="Arial" w:hAnsi="Arial"/>
                <w:sz w:val="17"/>
                <w:szCs w:val="17"/>
                <w:color w:val="auto"/>
              </w:rPr>
              <w:t>31.1</w:t>
            </w:r>
          </w:p>
        </w:tc>
        <w:tc>
          <w:tcPr>
            <w:tcW w:w="10220" w:type="dxa"/>
            <w:vAlign w:val="bottom"/>
          </w:tcPr>
          <w:p>
            <w:pPr>
              <w:ind w:left="140"/>
              <w:spacing w:after="0"/>
              <w:rPr>
                <w:sz w:val="20"/>
                <w:szCs w:val="20"/>
                <w:color w:val="auto"/>
              </w:rPr>
            </w:pPr>
            <w:r>
              <w:rPr>
                <w:rFonts w:ascii="Arial" w:cs="Arial" w:eastAsia="Arial" w:hAnsi="Arial"/>
                <w:sz w:val="17"/>
                <w:szCs w:val="17"/>
                <w:color w:val="auto"/>
                <w:w w:val="94"/>
              </w:rPr>
              <w:t>Certification by Jimmy C. Tallent, Chairman and Chief Executive Officer of United Community Banks, Inc., as adopted pursuant to Section 302</w:t>
            </w:r>
          </w:p>
        </w:tc>
      </w:tr>
      <w:tr>
        <w:trPr>
          <w:trHeight w:val="216"/>
        </w:trPr>
        <w:tc>
          <w:tcPr>
            <w:tcW w:w="120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Arial" w:cs="Arial" w:eastAsia="Arial" w:hAnsi="Arial"/>
                <w:sz w:val="17"/>
                <w:szCs w:val="17"/>
                <w:color w:val="auto"/>
              </w:rPr>
              <w:t>of the Sarbanes-Oxley Act of 2002.</w:t>
            </w:r>
          </w:p>
        </w:tc>
      </w:tr>
      <w:tr>
        <w:trPr>
          <w:trHeight w:val="399"/>
        </w:trPr>
        <w:tc>
          <w:tcPr>
            <w:tcW w:w="1200" w:type="dxa"/>
            <w:vAlign w:val="bottom"/>
          </w:tcPr>
          <w:p>
            <w:pPr>
              <w:ind w:left="440"/>
              <w:spacing w:after="0"/>
              <w:rPr>
                <w:sz w:val="20"/>
                <w:szCs w:val="20"/>
                <w:color w:val="auto"/>
              </w:rPr>
            </w:pPr>
            <w:r>
              <w:rPr>
                <w:rFonts w:ascii="Arial" w:cs="Arial" w:eastAsia="Arial" w:hAnsi="Arial"/>
                <w:sz w:val="17"/>
                <w:szCs w:val="17"/>
                <w:color w:val="auto"/>
              </w:rPr>
              <w:t>31.2</w:t>
            </w:r>
          </w:p>
        </w:tc>
        <w:tc>
          <w:tcPr>
            <w:tcW w:w="10220" w:type="dxa"/>
            <w:vAlign w:val="bottom"/>
          </w:tcPr>
          <w:p>
            <w:pPr>
              <w:ind w:left="140"/>
              <w:spacing w:after="0"/>
              <w:rPr>
                <w:sz w:val="20"/>
                <w:szCs w:val="20"/>
                <w:color w:val="auto"/>
              </w:rPr>
            </w:pPr>
            <w:r>
              <w:rPr>
                <w:rFonts w:ascii="Arial" w:cs="Arial" w:eastAsia="Arial" w:hAnsi="Arial"/>
                <w:sz w:val="17"/>
                <w:szCs w:val="17"/>
                <w:color w:val="auto"/>
                <w:w w:val="93"/>
              </w:rPr>
              <w:t>Certification by Rex S. Schuette, Executive Vice President and Chief Financial Officer of United Community Banks, Inc., as adopted pursuant to</w:t>
            </w:r>
          </w:p>
        </w:tc>
      </w:tr>
      <w:tr>
        <w:trPr>
          <w:trHeight w:val="216"/>
        </w:trPr>
        <w:tc>
          <w:tcPr>
            <w:tcW w:w="1200" w:type="dxa"/>
            <w:vAlign w:val="bottom"/>
          </w:tcPr>
          <w:p>
            <w:pPr>
              <w:spacing w:after="0"/>
              <w:rPr>
                <w:sz w:val="18"/>
                <w:szCs w:val="18"/>
                <w:color w:val="auto"/>
              </w:rPr>
            </w:pPr>
          </w:p>
        </w:tc>
        <w:tc>
          <w:tcPr>
            <w:tcW w:w="10220" w:type="dxa"/>
            <w:vAlign w:val="bottom"/>
          </w:tcPr>
          <w:p>
            <w:pPr>
              <w:ind w:left="140"/>
              <w:spacing w:after="0"/>
              <w:rPr>
                <w:sz w:val="20"/>
                <w:szCs w:val="20"/>
                <w:color w:val="auto"/>
              </w:rPr>
            </w:pPr>
            <w:r>
              <w:rPr>
                <w:rFonts w:ascii="Arial" w:cs="Arial" w:eastAsia="Arial" w:hAnsi="Arial"/>
                <w:sz w:val="17"/>
                <w:szCs w:val="17"/>
                <w:color w:val="auto"/>
              </w:rPr>
              <w:t>Section 302 of the Sarbanes-Oxley Act of 2002.</w:t>
            </w:r>
          </w:p>
        </w:tc>
      </w:tr>
      <w:tr>
        <w:trPr>
          <w:trHeight w:val="410"/>
        </w:trPr>
        <w:tc>
          <w:tcPr>
            <w:tcW w:w="1200" w:type="dxa"/>
            <w:vAlign w:val="bottom"/>
          </w:tcPr>
          <w:p>
            <w:pPr>
              <w:ind w:left="440"/>
              <w:spacing w:after="0"/>
              <w:rPr>
                <w:sz w:val="20"/>
                <w:szCs w:val="20"/>
                <w:color w:val="auto"/>
              </w:rPr>
            </w:pPr>
            <w:r>
              <w:rPr>
                <w:rFonts w:ascii="Arial" w:cs="Arial" w:eastAsia="Arial" w:hAnsi="Arial"/>
                <w:sz w:val="17"/>
                <w:szCs w:val="17"/>
                <w:color w:val="auto"/>
              </w:rPr>
              <w:t>32</w:t>
            </w:r>
          </w:p>
        </w:tc>
        <w:tc>
          <w:tcPr>
            <w:tcW w:w="10220" w:type="dxa"/>
            <w:vAlign w:val="bottom"/>
          </w:tcPr>
          <w:p>
            <w:pPr>
              <w:ind w:left="140"/>
              <w:spacing w:after="0"/>
              <w:rPr>
                <w:sz w:val="20"/>
                <w:szCs w:val="20"/>
                <w:color w:val="auto"/>
              </w:rPr>
            </w:pPr>
            <w:r>
              <w:rPr>
                <w:rFonts w:ascii="Arial" w:cs="Arial" w:eastAsia="Arial" w:hAnsi="Arial"/>
                <w:sz w:val="17"/>
                <w:szCs w:val="17"/>
                <w:color w:val="auto"/>
              </w:rPr>
              <w:t>Certification Pursuant to 18 U.S.C. Section 1350, as Adopted Pursuant to Section 906 of the Sarbanes-Oxley Act of 2002.</w:t>
            </w:r>
          </w:p>
        </w:tc>
      </w:tr>
      <w:tr>
        <w:trPr>
          <w:trHeight w:val="410"/>
        </w:trPr>
        <w:tc>
          <w:tcPr>
            <w:tcW w:w="1200" w:type="dxa"/>
            <w:vAlign w:val="bottom"/>
          </w:tcPr>
          <w:p>
            <w:pPr>
              <w:ind w:left="440"/>
              <w:spacing w:after="0"/>
              <w:rPr>
                <w:sz w:val="20"/>
                <w:szCs w:val="20"/>
                <w:color w:val="auto"/>
              </w:rPr>
            </w:pPr>
            <w:r>
              <w:rPr>
                <w:rFonts w:ascii="Arial" w:cs="Arial" w:eastAsia="Arial" w:hAnsi="Arial"/>
                <w:sz w:val="17"/>
                <w:szCs w:val="17"/>
                <w:color w:val="auto"/>
              </w:rPr>
              <w:t>101.INS</w:t>
            </w:r>
          </w:p>
        </w:tc>
        <w:tc>
          <w:tcPr>
            <w:tcW w:w="10220" w:type="dxa"/>
            <w:vAlign w:val="bottom"/>
          </w:tcPr>
          <w:p>
            <w:pPr>
              <w:ind w:left="140"/>
              <w:spacing w:after="0"/>
              <w:rPr>
                <w:sz w:val="20"/>
                <w:szCs w:val="20"/>
                <w:color w:val="auto"/>
              </w:rPr>
            </w:pPr>
            <w:r>
              <w:rPr>
                <w:rFonts w:ascii="Arial" w:cs="Arial" w:eastAsia="Arial" w:hAnsi="Arial"/>
                <w:sz w:val="17"/>
                <w:szCs w:val="17"/>
                <w:color w:val="auto"/>
              </w:rPr>
              <w:t>XBRL Instance Document</w:t>
            </w:r>
          </w:p>
        </w:tc>
      </w:tr>
      <w:tr>
        <w:trPr>
          <w:trHeight w:val="410"/>
        </w:trPr>
        <w:tc>
          <w:tcPr>
            <w:tcW w:w="1200" w:type="dxa"/>
            <w:vAlign w:val="bottom"/>
          </w:tcPr>
          <w:p>
            <w:pPr>
              <w:ind w:left="440"/>
              <w:spacing w:after="0"/>
              <w:rPr>
                <w:sz w:val="20"/>
                <w:szCs w:val="20"/>
                <w:color w:val="auto"/>
              </w:rPr>
            </w:pPr>
            <w:r>
              <w:rPr>
                <w:rFonts w:ascii="Arial" w:cs="Arial" w:eastAsia="Arial" w:hAnsi="Arial"/>
                <w:sz w:val="17"/>
                <w:szCs w:val="17"/>
                <w:color w:val="auto"/>
              </w:rPr>
              <w:t>101.SCH</w:t>
            </w:r>
          </w:p>
        </w:tc>
        <w:tc>
          <w:tcPr>
            <w:tcW w:w="10220" w:type="dxa"/>
            <w:vAlign w:val="bottom"/>
          </w:tcPr>
          <w:p>
            <w:pPr>
              <w:ind w:left="140"/>
              <w:spacing w:after="0"/>
              <w:rPr>
                <w:sz w:val="20"/>
                <w:szCs w:val="20"/>
                <w:color w:val="auto"/>
              </w:rPr>
            </w:pPr>
            <w:r>
              <w:rPr>
                <w:rFonts w:ascii="Arial" w:cs="Arial" w:eastAsia="Arial" w:hAnsi="Arial"/>
                <w:sz w:val="17"/>
                <w:szCs w:val="17"/>
                <w:color w:val="auto"/>
              </w:rPr>
              <w:t>XBRL Taxonomy Extension Schema Document</w:t>
            </w:r>
          </w:p>
        </w:tc>
      </w:tr>
      <w:tr>
        <w:trPr>
          <w:trHeight w:val="410"/>
        </w:trPr>
        <w:tc>
          <w:tcPr>
            <w:tcW w:w="1200" w:type="dxa"/>
            <w:vAlign w:val="bottom"/>
          </w:tcPr>
          <w:p>
            <w:pPr>
              <w:ind w:left="440"/>
              <w:spacing w:after="0"/>
              <w:rPr>
                <w:sz w:val="20"/>
                <w:szCs w:val="20"/>
                <w:color w:val="auto"/>
              </w:rPr>
            </w:pPr>
            <w:r>
              <w:rPr>
                <w:rFonts w:ascii="Arial" w:cs="Arial" w:eastAsia="Arial" w:hAnsi="Arial"/>
                <w:sz w:val="17"/>
                <w:szCs w:val="17"/>
                <w:color w:val="auto"/>
              </w:rPr>
              <w:t>101.CAL</w:t>
            </w:r>
          </w:p>
        </w:tc>
        <w:tc>
          <w:tcPr>
            <w:tcW w:w="10220" w:type="dxa"/>
            <w:vAlign w:val="bottom"/>
          </w:tcPr>
          <w:p>
            <w:pPr>
              <w:ind w:left="140"/>
              <w:spacing w:after="0"/>
              <w:rPr>
                <w:sz w:val="20"/>
                <w:szCs w:val="20"/>
                <w:color w:val="auto"/>
              </w:rPr>
            </w:pPr>
            <w:r>
              <w:rPr>
                <w:rFonts w:ascii="Arial" w:cs="Arial" w:eastAsia="Arial" w:hAnsi="Arial"/>
                <w:sz w:val="17"/>
                <w:szCs w:val="17"/>
                <w:color w:val="auto"/>
              </w:rPr>
              <w:t>XBRL Taxonomy Extension Calculation Linkbase Document</w:t>
            </w:r>
          </w:p>
        </w:tc>
      </w:tr>
      <w:tr>
        <w:trPr>
          <w:trHeight w:val="410"/>
        </w:trPr>
        <w:tc>
          <w:tcPr>
            <w:tcW w:w="1200" w:type="dxa"/>
            <w:vAlign w:val="bottom"/>
          </w:tcPr>
          <w:p>
            <w:pPr>
              <w:ind w:left="440"/>
              <w:spacing w:after="0"/>
              <w:rPr>
                <w:sz w:val="20"/>
                <w:szCs w:val="20"/>
                <w:color w:val="auto"/>
              </w:rPr>
            </w:pPr>
            <w:r>
              <w:rPr>
                <w:rFonts w:ascii="Arial" w:cs="Arial" w:eastAsia="Arial" w:hAnsi="Arial"/>
                <w:sz w:val="17"/>
                <w:szCs w:val="17"/>
                <w:color w:val="auto"/>
              </w:rPr>
              <w:t>101.DEF</w:t>
            </w:r>
          </w:p>
        </w:tc>
        <w:tc>
          <w:tcPr>
            <w:tcW w:w="10220" w:type="dxa"/>
            <w:vAlign w:val="bottom"/>
          </w:tcPr>
          <w:p>
            <w:pPr>
              <w:ind w:left="140"/>
              <w:spacing w:after="0"/>
              <w:rPr>
                <w:sz w:val="20"/>
                <w:szCs w:val="20"/>
                <w:color w:val="auto"/>
              </w:rPr>
            </w:pPr>
            <w:r>
              <w:rPr>
                <w:rFonts w:ascii="Arial" w:cs="Arial" w:eastAsia="Arial" w:hAnsi="Arial"/>
                <w:sz w:val="17"/>
                <w:szCs w:val="17"/>
                <w:color w:val="auto"/>
              </w:rPr>
              <w:t>XBRL Taxonomy Extension Definition Linkbase Document</w:t>
            </w:r>
          </w:p>
        </w:tc>
      </w:tr>
      <w:tr>
        <w:trPr>
          <w:trHeight w:val="410"/>
        </w:trPr>
        <w:tc>
          <w:tcPr>
            <w:tcW w:w="1200" w:type="dxa"/>
            <w:vAlign w:val="bottom"/>
          </w:tcPr>
          <w:p>
            <w:pPr>
              <w:ind w:left="440"/>
              <w:spacing w:after="0"/>
              <w:rPr>
                <w:sz w:val="20"/>
                <w:szCs w:val="20"/>
                <w:color w:val="auto"/>
              </w:rPr>
            </w:pPr>
            <w:r>
              <w:rPr>
                <w:rFonts w:ascii="Arial" w:cs="Arial" w:eastAsia="Arial" w:hAnsi="Arial"/>
                <w:sz w:val="17"/>
                <w:szCs w:val="17"/>
                <w:color w:val="auto"/>
              </w:rPr>
              <w:t>101.LAB</w:t>
            </w:r>
          </w:p>
        </w:tc>
        <w:tc>
          <w:tcPr>
            <w:tcW w:w="10220" w:type="dxa"/>
            <w:vAlign w:val="bottom"/>
          </w:tcPr>
          <w:p>
            <w:pPr>
              <w:ind w:left="140"/>
              <w:spacing w:after="0"/>
              <w:rPr>
                <w:sz w:val="20"/>
                <w:szCs w:val="20"/>
                <w:color w:val="auto"/>
              </w:rPr>
            </w:pPr>
            <w:r>
              <w:rPr>
                <w:rFonts w:ascii="Arial" w:cs="Arial" w:eastAsia="Arial" w:hAnsi="Arial"/>
                <w:sz w:val="17"/>
                <w:szCs w:val="17"/>
                <w:color w:val="auto"/>
              </w:rPr>
              <w:t>XBRL Taxonomy Extension Label Linkbase Document</w:t>
            </w:r>
          </w:p>
        </w:tc>
      </w:tr>
      <w:tr>
        <w:trPr>
          <w:trHeight w:val="410"/>
        </w:trPr>
        <w:tc>
          <w:tcPr>
            <w:tcW w:w="1200" w:type="dxa"/>
            <w:vAlign w:val="bottom"/>
          </w:tcPr>
          <w:p>
            <w:pPr>
              <w:ind w:left="440"/>
              <w:spacing w:after="0"/>
              <w:rPr>
                <w:sz w:val="20"/>
                <w:szCs w:val="20"/>
                <w:color w:val="auto"/>
              </w:rPr>
            </w:pPr>
            <w:r>
              <w:rPr>
                <w:rFonts w:ascii="Arial" w:cs="Arial" w:eastAsia="Arial" w:hAnsi="Arial"/>
                <w:sz w:val="17"/>
                <w:szCs w:val="17"/>
                <w:color w:val="auto"/>
              </w:rPr>
              <w:t>101.PRE</w:t>
            </w:r>
          </w:p>
        </w:tc>
        <w:tc>
          <w:tcPr>
            <w:tcW w:w="10220" w:type="dxa"/>
            <w:vAlign w:val="bottom"/>
          </w:tcPr>
          <w:p>
            <w:pPr>
              <w:ind w:left="140"/>
              <w:spacing w:after="0"/>
              <w:rPr>
                <w:sz w:val="20"/>
                <w:szCs w:val="20"/>
                <w:color w:val="auto"/>
              </w:rPr>
            </w:pPr>
            <w:r>
              <w:rPr>
                <w:rFonts w:ascii="Arial" w:cs="Arial" w:eastAsia="Arial" w:hAnsi="Arial"/>
                <w:sz w:val="17"/>
                <w:szCs w:val="17"/>
                <w:color w:val="auto"/>
              </w:rPr>
              <w:t>XBRL Taxonomy Extension Presentation Linkbase Document</w:t>
            </w:r>
          </w:p>
        </w:tc>
      </w:tr>
      <w:tr>
        <w:trPr>
          <w:trHeight w:val="642"/>
        </w:trPr>
        <w:tc>
          <w:tcPr>
            <w:tcW w:w="1200" w:type="dxa"/>
            <w:vAlign w:val="bottom"/>
            <w:tcBorders>
              <w:bottom w:val="single" w:sz="8" w:color="DCDCDC"/>
            </w:tcBorders>
          </w:tcPr>
          <w:p>
            <w:pPr>
              <w:spacing w:after="0"/>
              <w:rPr>
                <w:sz w:val="24"/>
                <w:szCs w:val="24"/>
                <w:color w:val="auto"/>
              </w:rPr>
            </w:pPr>
          </w:p>
        </w:tc>
        <w:tc>
          <w:tcPr>
            <w:tcW w:w="10220" w:type="dxa"/>
            <w:vAlign w:val="bottom"/>
            <w:tcBorders>
              <w:bottom w:val="single" w:sz="8" w:color="DCDCDC"/>
            </w:tcBorders>
          </w:tcPr>
          <w:p>
            <w:pPr>
              <w:ind w:left="4420"/>
              <w:spacing w:after="0"/>
              <w:rPr>
                <w:sz w:val="20"/>
                <w:szCs w:val="20"/>
                <w:color w:val="auto"/>
              </w:rPr>
            </w:pPr>
            <w:r>
              <w:rPr>
                <w:rFonts w:ascii="Arial" w:cs="Arial" w:eastAsia="Arial" w:hAnsi="Arial"/>
                <w:sz w:val="17"/>
                <w:szCs w:val="17"/>
                <w:color w:val="auto"/>
              </w:rPr>
              <w:t>58</w:t>
            </w:r>
          </w:p>
        </w:tc>
      </w:tr>
    </w:tbl>
    <w:p>
      <w:pPr>
        <w:sectPr>
          <w:pgSz w:w="11900" w:h="16838" w:orient="portrait"/>
          <w:cols w:equalWidth="0" w:num="1">
            <w:col w:w="11420"/>
          </w:cols>
          <w:pgMar w:left="240" w:top="879" w:right="239" w:bottom="1440" w:gutter="0" w:footer="0" w:header="0"/>
          <w:type w:val="continuous"/>
        </w:sectPr>
      </w:pPr>
    </w:p>
    <w:bookmarkStart w:id="60" w:name="page61"/>
    <w:bookmarkEnd w:id="60"/>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600"/>
        <w:spacing w:after="0"/>
        <w:rPr>
          <w:sz w:val="20"/>
          <w:szCs w:val="20"/>
          <w:color w:val="auto"/>
        </w:rPr>
      </w:pPr>
      <w:r>
        <w:rPr>
          <w:rFonts w:ascii="Arial" w:cs="Arial" w:eastAsia="Arial" w:hAnsi="Arial"/>
          <w:sz w:val="17"/>
          <w:szCs w:val="17"/>
          <w:b w:val="1"/>
          <w:bCs w:val="1"/>
          <w:color w:val="auto"/>
        </w:rPr>
        <w:t>UNITED COMMUNITY BANKS, INC.</w:t>
      </w:r>
    </w:p>
    <w:p>
      <w:pPr>
        <w:spacing w:after="0" w:line="219" w:lineRule="exact"/>
        <w:rPr>
          <w:sz w:val="20"/>
          <w:szCs w:val="20"/>
          <w:color w:val="auto"/>
        </w:rPr>
      </w:pPr>
    </w:p>
    <w:p>
      <w:pPr>
        <w:ind w:left="5600"/>
        <w:spacing w:after="0"/>
        <w:rPr>
          <w:sz w:val="20"/>
          <w:szCs w:val="20"/>
          <w:color w:val="auto"/>
        </w:rPr>
      </w:pPr>
      <w:r>
        <w:rPr>
          <w:rFonts w:ascii="Arial" w:cs="Arial" w:eastAsia="Arial" w:hAnsi="Arial"/>
          <w:sz w:val="17"/>
          <w:szCs w:val="17"/>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13970</wp:posOffset>
            </wp:positionV>
            <wp:extent cx="3695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95700" cy="8255"/>
                    </a:xfrm>
                    <a:prstGeom prst="rect">
                      <a:avLst/>
                    </a:prstGeom>
                    <a:noFill/>
                  </pic:spPr>
                </pic:pic>
              </a:graphicData>
            </a:graphic>
          </wp:anchor>
        </w:drawing>
      </w:r>
    </w:p>
    <w:p>
      <w:pPr>
        <w:spacing w:after="0" w:line="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Jimmy C. Tallent</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Chairman and Chief Executive Officer</w:t>
      </w:r>
    </w:p>
    <w:p>
      <w:pPr>
        <w:spacing w:after="0" w:line="10"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(Principal Executive Officer)</w:t>
      </w:r>
    </w:p>
    <w:p>
      <w:pPr>
        <w:spacing w:after="0" w:line="204" w:lineRule="exact"/>
        <w:rPr>
          <w:sz w:val="20"/>
          <w:szCs w:val="20"/>
          <w:color w:val="auto"/>
        </w:rPr>
      </w:pPr>
    </w:p>
    <w:p>
      <w:pPr>
        <w:ind w:left="5600"/>
        <w:spacing w:after="0"/>
        <w:rPr>
          <w:sz w:val="20"/>
          <w:szCs w:val="20"/>
          <w:color w:val="auto"/>
        </w:rPr>
      </w:pPr>
      <w:r>
        <w:rPr>
          <w:rFonts w:ascii="Arial" w:cs="Arial" w:eastAsia="Arial" w:hAnsi="Arial"/>
          <w:sz w:val="17"/>
          <w:szCs w:val="17"/>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13970</wp:posOffset>
            </wp:positionV>
            <wp:extent cx="3695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95700" cy="8255"/>
                    </a:xfrm>
                    <a:prstGeom prst="rect">
                      <a:avLst/>
                    </a:prstGeom>
                    <a:noFill/>
                  </pic:spPr>
                </pic:pic>
              </a:graphicData>
            </a:graphic>
          </wp:anchor>
        </w:drawing>
      </w:r>
    </w:p>
    <w:p>
      <w:pPr>
        <w:spacing w:after="0" w:line="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Rex S. Schuette</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Executive Vice President and</w:t>
      </w:r>
    </w:p>
    <w:p>
      <w:pPr>
        <w:spacing w:after="0" w:line="10"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Chief Financial Officer</w:t>
      </w:r>
    </w:p>
    <w:p>
      <w:pPr>
        <w:spacing w:after="0" w:line="10"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(Principal Financial Officer)</w:t>
      </w:r>
    </w:p>
    <w:p>
      <w:pPr>
        <w:spacing w:after="0" w:line="204" w:lineRule="exact"/>
        <w:rPr>
          <w:sz w:val="20"/>
          <w:szCs w:val="20"/>
          <w:color w:val="auto"/>
        </w:rPr>
      </w:pPr>
    </w:p>
    <w:p>
      <w:pPr>
        <w:ind w:left="5600"/>
        <w:spacing w:after="0"/>
        <w:rPr>
          <w:sz w:val="20"/>
          <w:szCs w:val="20"/>
          <w:color w:val="auto"/>
        </w:rPr>
      </w:pPr>
      <w:r>
        <w:rPr>
          <w:rFonts w:ascii="Arial" w:cs="Arial" w:eastAsia="Arial" w:hAnsi="Arial"/>
          <w:sz w:val="17"/>
          <w:szCs w:val="17"/>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13970</wp:posOffset>
            </wp:positionV>
            <wp:extent cx="3695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95700" cy="8255"/>
                    </a:xfrm>
                    <a:prstGeom prst="rect">
                      <a:avLst/>
                    </a:prstGeom>
                    <a:noFill/>
                  </pic:spPr>
                </pic:pic>
              </a:graphicData>
            </a:graphic>
          </wp:anchor>
        </w:drawing>
      </w:r>
    </w:p>
    <w:p>
      <w:pPr>
        <w:spacing w:after="0" w:line="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Alan H. Kumler</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Senior Vice President and</w:t>
      </w:r>
    </w:p>
    <w:p>
      <w:pPr>
        <w:spacing w:after="0" w:line="10"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Chief Accounting Officer</w:t>
      </w:r>
    </w:p>
    <w:p>
      <w:pPr>
        <w:spacing w:after="0" w:line="10"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(Principal Accounting Officer)</w:t>
      </w:r>
    </w:p>
    <w:p>
      <w:pPr>
        <w:spacing w:after="0" w:line="20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Date: May 8, 2015</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4560"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4560" cy="18415"/>
                    </a:xfrm>
                    <a:prstGeom prst="rect">
                      <a:avLst/>
                    </a:prstGeom>
                    <a:noFill/>
                  </pic:spPr>
                </pic:pic>
              </a:graphicData>
            </a:graphic>
          </wp:anchor>
        </w:drawing>
        <w:t>Exhibit 3.1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ARTICLES OF AMENDMENT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COMMUNITY BANKS,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The name of the corporation is United Community Banks,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40"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The Restated Articles of Incorporation, as amended, of the corporation are amended by adding the powers, rights, and preferences, and the qualifications, limitations, and restrictions thereof, of the Senior Non-Cumulative Perpetual Preferred Stock, Series H as set forth in Exhibit A attached hereto.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40"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amendment was adopted by the board of directors of the corporation at a meeting duly convened and held on January 26, 2015. Pursuant to O.C.G.A. § 14-2-602 and Article V of the Restated Articles of Incorporation, as amended, of the corporation, shareholder consent was not required.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The effective time of these Articles of Amendment is at 5:00 p.m. on the date of filing of these Articles of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421005</wp:posOffset>
            </wp:positionV>
            <wp:extent cx="72536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251" w:right="239" w:bottom="1440" w:gutter="0" w:footer="0" w:header="0"/>
        </w:sectPr>
      </w:pPr>
    </w:p>
    <w:bookmarkStart w:id="62" w:name="page63"/>
    <w:bookmarkEnd w:id="62"/>
    <w:p>
      <w:pPr>
        <w:spacing w:after="0" w:line="282" w:lineRule="auto"/>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undersigned has executed these Articles of Amendment to the Restated Articles of Incorporation, as amended, of United Community</w:t>
      </w:r>
      <w:r>
        <w:rPr>
          <w:rFonts w:ascii="Arial" w:cs="Arial" w:eastAsia="Arial" w:hAnsi="Arial"/>
          <w:sz w:val="17"/>
          <w:szCs w:val="17"/>
          <w:b w:val="1"/>
          <w:bCs w:val="1"/>
          <w:color w:val="auto"/>
        </w:rPr>
        <w:t xml:space="preserve"> </w:t>
      </w:r>
      <w:r>
        <w:rPr>
          <w:rFonts w:ascii="Arial" w:cs="Arial" w:eastAsia="Arial" w:hAnsi="Arial"/>
          <w:sz w:val="17"/>
          <w:szCs w:val="17"/>
          <w:color w:val="auto"/>
        </w:rPr>
        <w:t>Banks, Inc. this 1st day of May, 2015.</w:t>
      </w:r>
    </w:p>
    <w:p>
      <w:pPr>
        <w:spacing w:after="0" w:line="18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UNITED COMMUNITY BANKS, INC.,</w:t>
      </w:r>
    </w:p>
    <w:p>
      <w:pPr>
        <w:spacing w:after="0" w:line="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 Georgia corporation</w:t>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30480</wp:posOffset>
            </wp:positionV>
            <wp:extent cx="25400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40000" cy="8255"/>
                    </a:xfrm>
                    <a:prstGeom prst="rect">
                      <a:avLst/>
                    </a:prstGeom>
                    <a:noFill/>
                  </pic:spPr>
                </pic:pic>
              </a:graphicData>
            </a:graphic>
          </wp:anchor>
        </w:drawing>
      </w:r>
    </w:p>
    <w:p>
      <w:pPr>
        <w:spacing w:after="0" w:line="28"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Jimmy C. Tallent</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414020</wp:posOffset>
            </wp:positionV>
            <wp:extent cx="72536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7"/>
          <w:szCs w:val="17"/>
          <w:b w:val="1"/>
          <w:bCs w:val="1"/>
          <w:color w:val="auto"/>
        </w:rPr>
        <w:t>EXHIBIT A</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DESIGNATIONS, POWERS, PREFERENCES,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LIMITATIONS, RESTRICTIONS, AND RELATIVE RIGHTS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SENIOR NON-CUMULATIVE PERPETUAL PREFERRED STOCK, SERIES H</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COMMUNITY BANKS, INC.</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w:t>
      </w:r>
      <w:r>
        <w:rPr>
          <w:rFonts w:ascii="Arial" w:cs="Arial" w:eastAsia="Arial" w:hAnsi="Arial"/>
          <w:sz w:val="10"/>
          <w:szCs w:val="10"/>
          <w:b w:val="1"/>
          <w:bCs w:val="1"/>
          <w:color w:val="auto"/>
        </w:rPr>
        <w:t>IRST</w:t>
      </w:r>
      <w:r>
        <w:rPr>
          <w:rFonts w:ascii="Arial" w:cs="Arial" w:eastAsia="Arial" w:hAnsi="Arial"/>
          <w:sz w:val="16"/>
          <w:szCs w:val="16"/>
          <w:b w:val="1"/>
          <w:bCs w:val="1"/>
          <w:color w:val="auto"/>
        </w:rPr>
        <w:t xml:space="preserve">: </w:t>
      </w:r>
      <w:r>
        <w:rPr>
          <w:rFonts w:ascii="Arial" w:cs="Arial" w:eastAsia="Arial" w:hAnsi="Arial"/>
          <w:sz w:val="16"/>
          <w:szCs w:val="16"/>
          <w:color w:val="auto"/>
        </w:rPr>
        <w:t>The name of the corporation is</w:t>
      </w:r>
      <w:r>
        <w:rPr>
          <w:rFonts w:ascii="Arial" w:cs="Arial" w:eastAsia="Arial" w:hAnsi="Arial"/>
          <w:sz w:val="16"/>
          <w:szCs w:val="16"/>
          <w:b w:val="1"/>
          <w:bCs w:val="1"/>
          <w:color w:val="auto"/>
        </w:rPr>
        <w:t xml:space="preserve"> U</w:t>
      </w:r>
      <w:r>
        <w:rPr>
          <w:rFonts w:ascii="Arial" w:cs="Arial" w:eastAsia="Arial" w:hAnsi="Arial"/>
          <w:sz w:val="10"/>
          <w:szCs w:val="10"/>
          <w:b w:val="1"/>
          <w:bCs w:val="1"/>
          <w:color w:val="auto"/>
        </w:rPr>
        <w:t>NITED</w:t>
      </w:r>
      <w:r>
        <w:rPr>
          <w:rFonts w:ascii="Arial" w:cs="Arial" w:eastAsia="Arial" w:hAnsi="Arial"/>
          <w:sz w:val="16"/>
          <w:szCs w:val="16"/>
          <w:b w:val="1"/>
          <w:bCs w:val="1"/>
          <w:color w:val="auto"/>
        </w:rPr>
        <w:t xml:space="preserve"> C</w:t>
      </w:r>
      <w:r>
        <w:rPr>
          <w:rFonts w:ascii="Arial" w:cs="Arial" w:eastAsia="Arial" w:hAnsi="Arial"/>
          <w:sz w:val="10"/>
          <w:szCs w:val="10"/>
          <w:b w:val="1"/>
          <w:bCs w:val="1"/>
          <w:color w:val="auto"/>
        </w:rPr>
        <w:t>OMMUNITY</w:t>
      </w:r>
      <w:r>
        <w:rPr>
          <w:rFonts w:ascii="Arial" w:cs="Arial" w:eastAsia="Arial" w:hAnsi="Arial"/>
          <w:sz w:val="16"/>
          <w:szCs w:val="16"/>
          <w:b w:val="1"/>
          <w:bCs w:val="1"/>
          <w:color w:val="auto"/>
        </w:rPr>
        <w:t xml:space="preserve"> B</w:t>
      </w:r>
      <w:r>
        <w:rPr>
          <w:rFonts w:ascii="Arial" w:cs="Arial" w:eastAsia="Arial" w:hAnsi="Arial"/>
          <w:sz w:val="10"/>
          <w:szCs w:val="10"/>
          <w:b w:val="1"/>
          <w:bCs w:val="1"/>
          <w:color w:val="auto"/>
        </w:rPr>
        <w:t>ANKS</w:t>
      </w:r>
      <w:r>
        <w:rPr>
          <w:rFonts w:ascii="Arial" w:cs="Arial" w:eastAsia="Arial" w:hAnsi="Arial"/>
          <w:sz w:val="16"/>
          <w:szCs w:val="16"/>
          <w:b w:val="1"/>
          <w:bCs w:val="1"/>
          <w:color w:val="auto"/>
        </w:rPr>
        <w:t>, I</w:t>
      </w:r>
      <w:r>
        <w:rPr>
          <w:rFonts w:ascii="Arial" w:cs="Arial" w:eastAsia="Arial" w:hAnsi="Arial"/>
          <w:sz w:val="10"/>
          <w:szCs w:val="10"/>
          <w:b w:val="1"/>
          <w:bCs w:val="1"/>
          <w:color w:val="auto"/>
        </w:rPr>
        <w:t>NC</w:t>
      </w:r>
      <w:r>
        <w:rPr>
          <w:rFonts w:ascii="Arial" w:cs="Arial" w:eastAsia="Arial" w:hAnsi="Arial"/>
          <w:sz w:val="16"/>
          <w:szCs w:val="16"/>
          <w:b w:val="1"/>
          <w:bCs w:val="1"/>
          <w:color w:val="auto"/>
        </w:rPr>
        <w:t>.</w:t>
      </w:r>
      <w:r>
        <w:rPr>
          <w:rFonts w:ascii="Arial" w:cs="Arial" w:eastAsia="Arial" w:hAnsi="Arial"/>
          <w:sz w:val="16"/>
          <w:szCs w:val="16"/>
          <w:color w:val="auto"/>
        </w:rPr>
        <w:t>, a corporation organized and existing under the laws of the State of Georgia (the “</w:t>
      </w:r>
      <w:r>
        <w:rPr>
          <w:rFonts w:ascii="Arial" w:cs="Arial" w:eastAsia="Arial" w:hAnsi="Arial"/>
          <w:sz w:val="16"/>
          <w:szCs w:val="16"/>
          <w:u w:val="single" w:color="auto"/>
          <w:color w:val="auto"/>
        </w:rPr>
        <w:t>Issuer</w:t>
      </w:r>
      <w:r>
        <w:rPr>
          <w:rFonts w:ascii="Arial" w:cs="Arial" w:eastAsia="Arial" w:hAnsi="Arial"/>
          <w:sz w:val="16"/>
          <w:szCs w:val="16"/>
          <w:color w:val="auto"/>
        </w:rPr>
        <w:t>”).</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ECOND</w:t>
      </w:r>
      <w:r>
        <w:rPr>
          <w:rFonts w:ascii="Arial" w:cs="Arial" w:eastAsia="Arial" w:hAnsi="Arial"/>
          <w:sz w:val="17"/>
          <w:szCs w:val="17"/>
          <w:b w:val="1"/>
          <w:bCs w:val="1"/>
          <w:color w:val="auto"/>
        </w:rPr>
        <w:t xml:space="preserve">: </w:t>
      </w:r>
      <w:r>
        <w:rPr>
          <w:rFonts w:ascii="Arial" w:cs="Arial" w:eastAsia="Arial" w:hAnsi="Arial"/>
          <w:sz w:val="17"/>
          <w:szCs w:val="17"/>
          <w:color w:val="auto"/>
        </w:rPr>
        <w:t>The Restated Articles of Incorporation of the Issuer, as amended, authorize the issuance of 10,000,000 shares of preferred stock, par value $1.00 per share, of</w:t>
      </w:r>
      <w:r>
        <w:rPr>
          <w:rFonts w:ascii="Arial" w:cs="Arial" w:eastAsia="Arial" w:hAnsi="Arial"/>
          <w:sz w:val="17"/>
          <w:szCs w:val="17"/>
          <w:b w:val="1"/>
          <w:bCs w:val="1"/>
          <w:color w:val="auto"/>
        </w:rPr>
        <w:t xml:space="preserve"> </w:t>
      </w:r>
      <w:r>
        <w:rPr>
          <w:rFonts w:ascii="Arial" w:cs="Arial" w:eastAsia="Arial" w:hAnsi="Arial"/>
          <w:sz w:val="17"/>
          <w:szCs w:val="17"/>
          <w:color w:val="auto"/>
        </w:rPr>
        <w:t>the Issuer (“</w:t>
      </w:r>
      <w:r>
        <w:rPr>
          <w:rFonts w:ascii="Arial" w:cs="Arial" w:eastAsia="Arial" w:hAnsi="Arial"/>
          <w:sz w:val="17"/>
          <w:szCs w:val="17"/>
          <w:u w:val="single" w:color="auto"/>
          <w:color w:val="auto"/>
        </w:rPr>
        <w:t>Preferred Stock</w:t>
      </w:r>
      <w:r>
        <w:rPr>
          <w:rFonts w:ascii="Arial" w:cs="Arial" w:eastAsia="Arial" w:hAnsi="Arial"/>
          <w:sz w:val="17"/>
          <w:szCs w:val="17"/>
          <w:color w:val="auto"/>
        </w:rPr>
        <w:t>”) in one or more series, and authorizes the Board of Directors of the Issuer (the “</w:t>
      </w:r>
      <w:r>
        <w:rPr>
          <w:rFonts w:ascii="Arial" w:cs="Arial" w:eastAsia="Arial" w:hAnsi="Arial"/>
          <w:sz w:val="17"/>
          <w:szCs w:val="17"/>
          <w:u w:val="single" w:color="auto"/>
          <w:color w:val="auto"/>
        </w:rPr>
        <w:t>Board of Directors</w:t>
      </w:r>
      <w:r>
        <w:rPr>
          <w:rFonts w:ascii="Arial" w:cs="Arial" w:eastAsia="Arial" w:hAnsi="Arial"/>
          <w:sz w:val="17"/>
          <w:szCs w:val="17"/>
          <w:color w:val="auto"/>
        </w:rPr>
        <w:t>”) to fix by resolution or resolutions the designation and number of shares of such series, and the voting and other powers, preferences and relative, participating, optional or other special rights, and the qualifications, limitations and restrictions thereof, of the shares of such series.</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HIRD</w:t>
      </w:r>
      <w:r>
        <w:rPr>
          <w:rFonts w:ascii="Arial" w:cs="Arial" w:eastAsia="Arial" w:hAnsi="Arial"/>
          <w:sz w:val="17"/>
          <w:szCs w:val="17"/>
          <w:b w:val="1"/>
          <w:bCs w:val="1"/>
          <w:color w:val="auto"/>
        </w:rPr>
        <w:t xml:space="preserve">: </w:t>
      </w:r>
      <w:r>
        <w:rPr>
          <w:rFonts w:ascii="Arial" w:cs="Arial" w:eastAsia="Arial" w:hAnsi="Arial"/>
          <w:sz w:val="17"/>
          <w:szCs w:val="17"/>
          <w:color w:val="auto"/>
        </w:rPr>
        <w:t>That the following resolution was duly adopted by the Board of Directors as required by O.C.G.A. § 14-2-602 and Article V of the Restated Articles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at a meeting duly convened and held on January 26, 2015, at which a quorum was present and acting throughout.</w:t>
      </w:r>
    </w:p>
    <w:p>
      <w:pPr>
        <w:spacing w:after="0" w:line="182" w:lineRule="exact"/>
        <w:rPr>
          <w:sz w:val="20"/>
          <w:szCs w:val="20"/>
          <w:color w:val="auto"/>
        </w:rPr>
      </w:pPr>
    </w:p>
    <w:p>
      <w:pPr>
        <w:jc w:val="both"/>
        <w:ind w:firstLine="615"/>
        <w:spacing w:after="0" w:line="318" w:lineRule="auto"/>
        <w:rPr>
          <w:sz w:val="20"/>
          <w:szCs w:val="20"/>
          <w:color w:val="auto"/>
        </w:rPr>
      </w:pPr>
      <w:r>
        <w:rPr>
          <w:rFonts w:ascii="Arial" w:cs="Arial" w:eastAsia="Arial" w:hAnsi="Arial"/>
          <w:sz w:val="15"/>
          <w:szCs w:val="15"/>
          <w:b w:val="1"/>
          <w:bCs w:val="1"/>
          <w:color w:val="auto"/>
        </w:rPr>
        <w:t>R</w:t>
      </w:r>
      <w:r>
        <w:rPr>
          <w:rFonts w:ascii="Arial" w:cs="Arial" w:eastAsia="Arial" w:hAnsi="Arial"/>
          <w:sz w:val="10"/>
          <w:szCs w:val="10"/>
          <w:b w:val="1"/>
          <w:bCs w:val="1"/>
          <w:color w:val="auto"/>
        </w:rPr>
        <w:t>ESOLVED</w:t>
      </w:r>
      <w:r>
        <w:rPr>
          <w:rFonts w:ascii="Arial" w:cs="Arial" w:eastAsia="Arial" w:hAnsi="Arial"/>
          <w:sz w:val="15"/>
          <w:szCs w:val="15"/>
          <w:b w:val="1"/>
          <w:bCs w:val="1"/>
          <w:color w:val="auto"/>
        </w:rPr>
        <w:t xml:space="preserve">, </w:t>
      </w:r>
      <w:r>
        <w:rPr>
          <w:rFonts w:ascii="Arial" w:cs="Arial" w:eastAsia="Arial" w:hAnsi="Arial"/>
          <w:sz w:val="15"/>
          <w:szCs w:val="15"/>
          <w:color w:val="auto"/>
        </w:rPr>
        <w:t>that pursuant to the provisions of the Restated Articles of Incorporation of the Issuer, as amended, and applicable law, a series of Preferred Stock,</w:t>
      </w:r>
      <w:r>
        <w:rPr>
          <w:rFonts w:ascii="Arial" w:cs="Arial" w:eastAsia="Arial" w:hAnsi="Arial"/>
          <w:sz w:val="15"/>
          <w:szCs w:val="15"/>
          <w:b w:val="1"/>
          <w:bCs w:val="1"/>
          <w:color w:val="auto"/>
        </w:rPr>
        <w:t xml:space="preserve"> </w:t>
      </w:r>
      <w:r>
        <w:rPr>
          <w:rFonts w:ascii="Arial" w:cs="Arial" w:eastAsia="Arial" w:hAnsi="Arial"/>
          <w:sz w:val="15"/>
          <w:szCs w:val="15"/>
          <w:color w:val="auto"/>
        </w:rPr>
        <w:t>par value $1.00 per share, of the Issuer be and hereby is created, and that the designation and number of shares of such series, and the voting and other powers, preferences and relative, participating, optional or other rights, and the qualifications, limitations and restrictions thereof, of the shares of such series, are as follows: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RIGHTS AND PREFERENCES</w:t>
      </w:r>
    </w:p>
    <w:p>
      <w:pPr>
        <w:spacing w:after="0" w:line="244" w:lineRule="exact"/>
        <w:rPr>
          <w:sz w:val="20"/>
          <w:szCs w:val="20"/>
          <w:color w:val="auto"/>
        </w:rPr>
      </w:pPr>
    </w:p>
    <w:p>
      <w:pPr>
        <w:jc w:val="both"/>
        <w:ind w:firstLine="615"/>
        <w:spacing w:after="0" w:line="264" w:lineRule="auto"/>
        <w:rPr>
          <w:sz w:val="20"/>
          <w:szCs w:val="20"/>
          <w:color w:val="auto"/>
        </w:rPr>
      </w:pPr>
      <w:r>
        <w:rPr>
          <w:rFonts w:ascii="Arial" w:cs="Arial" w:eastAsia="Arial" w:hAnsi="Arial"/>
          <w:sz w:val="17"/>
          <w:szCs w:val="17"/>
          <w:i w:val="1"/>
          <w:iCs w:val="1"/>
          <w:color w:val="auto"/>
        </w:rPr>
        <w:t>Section 1. Designation and Number of Shares</w:t>
      </w:r>
      <w:r>
        <w:rPr>
          <w:rFonts w:ascii="Arial" w:cs="Arial" w:eastAsia="Arial" w:hAnsi="Arial"/>
          <w:sz w:val="17"/>
          <w:szCs w:val="17"/>
          <w:color w:val="auto"/>
        </w:rPr>
        <w:t>. There is hereby created out of the authorized and unissued shares of preferred stock of the Issuer a series of</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stock designated as the “Senior Non-Cumulative Perpetual Preferred Stock, Series H” (the “</w:t>
      </w:r>
      <w:r>
        <w:rPr>
          <w:rFonts w:ascii="Arial" w:cs="Arial" w:eastAsia="Arial" w:hAnsi="Arial"/>
          <w:sz w:val="17"/>
          <w:szCs w:val="17"/>
          <w:u w:val="single" w:color="auto"/>
          <w:color w:val="auto"/>
        </w:rPr>
        <w:t>Designated Preferred Stock</w:t>
      </w:r>
      <w:r>
        <w:rPr>
          <w:rFonts w:ascii="Arial" w:cs="Arial" w:eastAsia="Arial" w:hAnsi="Arial"/>
          <w:sz w:val="17"/>
          <w:szCs w:val="17"/>
          <w:color w:val="auto"/>
        </w:rPr>
        <w:t>”). The authorized number of shares of Designated Preferred Stock shall be 9,992.</w:t>
      </w:r>
    </w:p>
    <w:p>
      <w:pPr>
        <w:spacing w:after="0" w:line="201" w:lineRule="exact"/>
        <w:rPr>
          <w:sz w:val="20"/>
          <w:szCs w:val="20"/>
          <w:color w:val="auto"/>
        </w:rPr>
      </w:pPr>
    </w:p>
    <w:p>
      <w:pPr>
        <w:jc w:val="both"/>
        <w:ind w:firstLine="615"/>
        <w:spacing w:after="0" w:line="277" w:lineRule="auto"/>
        <w:rPr>
          <w:sz w:val="20"/>
          <w:szCs w:val="20"/>
          <w:color w:val="auto"/>
        </w:rPr>
      </w:pPr>
      <w:r>
        <w:rPr>
          <w:rFonts w:ascii="Arial" w:cs="Arial" w:eastAsia="Arial" w:hAnsi="Arial"/>
          <w:sz w:val="17"/>
          <w:szCs w:val="17"/>
          <w:i w:val="1"/>
          <w:iCs w:val="1"/>
          <w:color w:val="auto"/>
        </w:rPr>
        <w:t>Section 2. Standard Provisions</w:t>
      </w:r>
      <w:r>
        <w:rPr>
          <w:rFonts w:ascii="Arial" w:cs="Arial" w:eastAsia="Arial" w:hAnsi="Arial"/>
          <w:sz w:val="17"/>
          <w:szCs w:val="17"/>
          <w:color w:val="auto"/>
        </w:rPr>
        <w:t>. The Standard Provisions contained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Schedule A</w:t>
      </w:r>
      <w:r>
        <w:rPr>
          <w:rFonts w:ascii="Arial" w:cs="Arial" w:eastAsia="Arial" w:hAnsi="Arial"/>
          <w:sz w:val="17"/>
          <w:szCs w:val="17"/>
          <w:i w:val="1"/>
          <w:iCs w:val="1"/>
          <w:color w:val="auto"/>
        </w:rPr>
        <w:t xml:space="preserve"> </w:t>
      </w:r>
      <w:r>
        <w:rPr>
          <w:rFonts w:ascii="Arial" w:cs="Arial" w:eastAsia="Arial" w:hAnsi="Arial"/>
          <w:sz w:val="17"/>
          <w:szCs w:val="17"/>
          <w:color w:val="auto"/>
        </w:rPr>
        <w:t>attached hereto are incorporated herein by reference in their entirety and</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deemed to be a part of this Certificate of Designation to the same extent as if such provisions had been set forth in full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388620</wp:posOffset>
            </wp:positionV>
            <wp:extent cx="72536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64" w:name="page65"/>
    <w:bookmarkEnd w:id="64"/>
    <w:p>
      <w:pPr>
        <w:ind w:left="620"/>
        <w:spacing w:after="0"/>
        <w:rPr>
          <w:sz w:val="20"/>
          <w:szCs w:val="20"/>
          <w:color w:val="auto"/>
        </w:rPr>
      </w:pPr>
      <w:r>
        <w:rPr>
          <w:rFonts w:ascii="Arial" w:cs="Arial" w:eastAsia="Arial" w:hAnsi="Arial"/>
          <w:sz w:val="16"/>
          <w:szCs w:val="16"/>
          <w:i w:val="1"/>
          <w:iCs w:val="1"/>
          <w:color w:val="auto"/>
        </w:rPr>
        <w:t>Section 3. Definitions</w:t>
      </w:r>
      <w:r>
        <w:rPr>
          <w:rFonts w:ascii="Arial" w:cs="Arial" w:eastAsia="Arial" w:hAnsi="Arial"/>
          <w:sz w:val="16"/>
          <w:szCs w:val="16"/>
          <w:color w:val="auto"/>
        </w:rPr>
        <w:t>. The following terms are used in this Certificate of Designation (including the Standard Provisions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Schedule A</w:t>
      </w:r>
      <w:r>
        <w:rPr>
          <w:rFonts w:ascii="Arial" w:cs="Arial" w:eastAsia="Arial" w:hAnsi="Arial"/>
          <w:sz w:val="16"/>
          <w:szCs w:val="16"/>
          <w:i w:val="1"/>
          <w:iCs w:val="1"/>
          <w:color w:val="auto"/>
        </w:rPr>
        <w:t xml:space="preserve"> </w:t>
      </w:r>
      <w:r>
        <w:rPr>
          <w:rFonts w:ascii="Arial" w:cs="Arial" w:eastAsia="Arial" w:hAnsi="Arial"/>
          <w:sz w:val="16"/>
          <w:szCs w:val="16"/>
          <w:color w:val="auto"/>
        </w:rPr>
        <w:t>hereto) as defined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below:</w:t>
      </w:r>
    </w:p>
    <w:p>
      <w:pPr>
        <w:spacing w:after="0" w:line="229" w:lineRule="exact"/>
        <w:rPr>
          <w:sz w:val="20"/>
          <w:szCs w:val="20"/>
          <w:color w:val="auto"/>
        </w:rPr>
      </w:pPr>
    </w:p>
    <w:p>
      <w:pPr>
        <w:ind w:left="1900" w:hanging="667"/>
        <w:spacing w:after="0"/>
        <w:tabs>
          <w:tab w:leader="none" w:pos="1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means the common stock, par value $1.00 per share, of the Issuer.</w:t>
      </w:r>
    </w:p>
    <w:p>
      <w:pPr>
        <w:spacing w:after="0" w:line="240" w:lineRule="exact"/>
        <w:rPr>
          <w:rFonts w:ascii="Arial" w:cs="Arial" w:eastAsia="Arial" w:hAnsi="Arial"/>
          <w:sz w:val="17"/>
          <w:szCs w:val="17"/>
          <w:color w:val="auto"/>
        </w:rPr>
      </w:pPr>
    </w:p>
    <w:p>
      <w:pPr>
        <w:jc w:val="both"/>
        <w:ind w:firstLine="1233"/>
        <w:spacing w:after="0" w:line="315" w:lineRule="auto"/>
        <w:tabs>
          <w:tab w:leader="none" w:pos="2195" w:val="left"/>
        </w:tabs>
        <w:numPr>
          <w:ilvl w:val="0"/>
          <w:numId w:val="1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Definitive Agreement</w:t>
      </w:r>
      <w:r>
        <w:rPr>
          <w:rFonts w:ascii="Arial" w:cs="Arial" w:eastAsia="Arial" w:hAnsi="Arial"/>
          <w:sz w:val="15"/>
          <w:szCs w:val="15"/>
          <w:color w:val="auto"/>
        </w:rPr>
        <w:t>” means that certain Securities Purchase Agreement by and between MoneyTree Corporation, a Tennessee corporation (“</w:t>
      </w:r>
      <w:r>
        <w:rPr>
          <w:rFonts w:ascii="Arial" w:cs="Arial" w:eastAsia="Arial" w:hAnsi="Arial"/>
          <w:sz w:val="15"/>
          <w:szCs w:val="15"/>
          <w:u w:val="single" w:color="auto"/>
          <w:color w:val="auto"/>
        </w:rPr>
        <w:t>MoneyTree</w:t>
      </w:r>
      <w:r>
        <w:rPr>
          <w:rFonts w:ascii="Arial" w:cs="Arial" w:eastAsia="Arial" w:hAnsi="Arial"/>
          <w:sz w:val="15"/>
          <w:szCs w:val="15"/>
          <w:color w:val="auto"/>
        </w:rPr>
        <w:t>”), and Treasury, dated as of the Original Signing Date, August 18, 2011, the obligations of which the Issuer agreed to assume pursuant to that certain Assignment and Assumption Agreement, by and between the Issuer and MoneyTree, and acknowledged by Treasury, dated as of the Signing Date.</w:t>
      </w:r>
    </w:p>
    <w:p>
      <w:pPr>
        <w:spacing w:after="0" w:line="166" w:lineRule="exact"/>
        <w:rPr>
          <w:rFonts w:ascii="Arial" w:cs="Arial" w:eastAsia="Arial" w:hAnsi="Arial"/>
          <w:sz w:val="15"/>
          <w:szCs w:val="15"/>
          <w:color w:val="auto"/>
        </w:rPr>
      </w:pPr>
    </w:p>
    <w:p>
      <w:pPr>
        <w:ind w:firstLine="1233"/>
        <w:spacing w:after="0" w:line="309" w:lineRule="auto"/>
        <w:tabs>
          <w:tab w:leader="none" w:pos="1942"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Junior Stock</w:t>
      </w:r>
      <w:r>
        <w:rPr>
          <w:rFonts w:ascii="Arial" w:cs="Arial" w:eastAsia="Arial" w:hAnsi="Arial"/>
          <w:sz w:val="16"/>
          <w:szCs w:val="16"/>
          <w:color w:val="auto"/>
        </w:rPr>
        <w:t>” means the Common Stock, and any other class or series of stock of the Issuer the terms of which expressly provide that it ranks junior to Designated Preferred Stock as to dividend and redemption rights and/or as to rights on liquidation, dissolution or winding up of the Issuer.</w:t>
      </w:r>
    </w:p>
    <w:p>
      <w:pPr>
        <w:spacing w:after="0" w:line="167" w:lineRule="exact"/>
        <w:rPr>
          <w:rFonts w:ascii="Arial" w:cs="Arial" w:eastAsia="Arial" w:hAnsi="Arial"/>
          <w:sz w:val="16"/>
          <w:szCs w:val="16"/>
          <w:color w:val="auto"/>
        </w:rPr>
      </w:pPr>
    </w:p>
    <w:p>
      <w:pPr>
        <w:ind w:left="1900" w:hanging="667"/>
        <w:spacing w:after="0"/>
        <w:tabs>
          <w:tab w:leader="none" w:pos="1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Liquidation Amount</w:t>
      </w:r>
      <w:r>
        <w:rPr>
          <w:rFonts w:ascii="Arial" w:cs="Arial" w:eastAsia="Arial" w:hAnsi="Arial"/>
          <w:sz w:val="17"/>
          <w:szCs w:val="17"/>
          <w:color w:val="auto"/>
        </w:rPr>
        <w:t>” means $1,000 per share of Designated Preferred Stock.</w:t>
      </w:r>
    </w:p>
    <w:p>
      <w:pPr>
        <w:spacing w:after="0" w:line="240" w:lineRule="exact"/>
        <w:rPr>
          <w:rFonts w:ascii="Arial" w:cs="Arial" w:eastAsia="Arial" w:hAnsi="Arial"/>
          <w:sz w:val="17"/>
          <w:szCs w:val="17"/>
          <w:color w:val="auto"/>
        </w:rPr>
      </w:pPr>
    </w:p>
    <w:p>
      <w:pPr>
        <w:jc w:val="both"/>
        <w:ind w:firstLine="1233"/>
        <w:spacing w:after="0" w:line="264" w:lineRule="auto"/>
        <w:tabs>
          <w:tab w:leader="none" w:pos="2121" w:val="left"/>
        </w:tabs>
        <w:numPr>
          <w:ilvl w:val="0"/>
          <w:numId w:val="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Amount</w:t>
      </w:r>
      <w:r>
        <w:rPr>
          <w:rFonts w:ascii="Arial" w:cs="Arial" w:eastAsia="Arial" w:hAnsi="Arial"/>
          <w:sz w:val="17"/>
          <w:szCs w:val="17"/>
          <w:color w:val="auto"/>
        </w:rPr>
        <w:t>” means (i) the amount equal to twenty-five percent (25%) of the aggregate Liquidation Amount of Designated Preferred Stock issued on the Original Issue Date or (ii) all of the outstanding Designated Preferred Stock, if the aggregate liquidation preference of the outstanding Designated Preferred Stock is less than the amount set forth in the preceding clause (i).</w:t>
      </w:r>
    </w:p>
    <w:p>
      <w:pPr>
        <w:spacing w:after="0" w:line="201" w:lineRule="exact"/>
        <w:rPr>
          <w:rFonts w:ascii="Arial" w:cs="Arial" w:eastAsia="Arial" w:hAnsi="Arial"/>
          <w:sz w:val="17"/>
          <w:szCs w:val="17"/>
          <w:color w:val="auto"/>
        </w:rPr>
      </w:pPr>
    </w:p>
    <w:p>
      <w:pPr>
        <w:ind w:left="1880" w:hanging="647"/>
        <w:spacing w:after="0"/>
        <w:tabs>
          <w:tab w:leader="none" w:pos="1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Original Signing Date</w:t>
      </w:r>
      <w:r>
        <w:rPr>
          <w:rFonts w:ascii="Arial" w:cs="Arial" w:eastAsia="Arial" w:hAnsi="Arial"/>
          <w:sz w:val="17"/>
          <w:szCs w:val="17"/>
          <w:color w:val="auto"/>
        </w:rPr>
        <w:t>” means August 18, 2011.</w:t>
      </w:r>
    </w:p>
    <w:p>
      <w:pPr>
        <w:spacing w:after="0" w:line="240" w:lineRule="exact"/>
        <w:rPr>
          <w:rFonts w:ascii="Arial" w:cs="Arial" w:eastAsia="Arial" w:hAnsi="Arial"/>
          <w:sz w:val="17"/>
          <w:szCs w:val="17"/>
          <w:color w:val="auto"/>
        </w:rPr>
      </w:pPr>
    </w:p>
    <w:p>
      <w:pPr>
        <w:jc w:val="both"/>
        <w:ind w:firstLine="1233"/>
        <w:spacing w:after="0" w:line="264" w:lineRule="auto"/>
        <w:tabs>
          <w:tab w:leader="none" w:pos="1913" w:val="left"/>
        </w:tabs>
        <w:numPr>
          <w:ilvl w:val="0"/>
          <w:numId w:val="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Parity Stock</w:t>
      </w:r>
      <w:r>
        <w:rPr>
          <w:rFonts w:ascii="Arial" w:cs="Arial" w:eastAsia="Arial" w:hAnsi="Arial"/>
          <w:sz w:val="17"/>
          <w:szCs w:val="17"/>
          <w:color w:val="auto"/>
        </w:rPr>
        <w:t>” means any class or series of stock of the Issuer (other than Designated Preferred Stock) the terms of which do not expressly provide that such class or series will rank senior or junior to Designated Preferred Stock as to dividend rights and/or as to rights on liquidation, dissolution or winding up of the Issuer (in each ease without regard to whether dividends accrue cumulatively or non-cumulatively).</w:t>
      </w:r>
    </w:p>
    <w:p>
      <w:pPr>
        <w:spacing w:after="0" w:line="201" w:lineRule="exact"/>
        <w:rPr>
          <w:rFonts w:ascii="Arial" w:cs="Arial" w:eastAsia="Arial" w:hAnsi="Arial"/>
          <w:sz w:val="17"/>
          <w:szCs w:val="17"/>
          <w:color w:val="auto"/>
        </w:rPr>
      </w:pPr>
    </w:p>
    <w:p>
      <w:pPr>
        <w:ind w:left="1900" w:hanging="667"/>
        <w:spacing w:after="0"/>
        <w:tabs>
          <w:tab w:leader="none" w:pos="1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Signing Date</w:t>
      </w:r>
      <w:r>
        <w:rPr>
          <w:rFonts w:ascii="Arial" w:cs="Arial" w:eastAsia="Arial" w:hAnsi="Arial"/>
          <w:sz w:val="17"/>
          <w:szCs w:val="17"/>
          <w:color w:val="auto"/>
        </w:rPr>
        <w:t>” means May 1, 2015.</w:t>
      </w:r>
    </w:p>
    <w:p>
      <w:pPr>
        <w:spacing w:after="0" w:line="240" w:lineRule="exact"/>
        <w:rPr>
          <w:rFonts w:ascii="Arial" w:cs="Arial" w:eastAsia="Arial" w:hAnsi="Arial"/>
          <w:sz w:val="17"/>
          <w:szCs w:val="17"/>
          <w:color w:val="auto"/>
        </w:rPr>
      </w:pPr>
    </w:p>
    <w:p>
      <w:pPr>
        <w:ind w:left="1900" w:hanging="667"/>
        <w:spacing w:after="0"/>
        <w:tabs>
          <w:tab w:leader="none" w:pos="1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Treasury</w:t>
      </w:r>
      <w:r>
        <w:rPr>
          <w:rFonts w:ascii="Arial" w:cs="Arial" w:eastAsia="Arial" w:hAnsi="Arial"/>
          <w:sz w:val="17"/>
          <w:szCs w:val="17"/>
          <w:color w:val="auto"/>
        </w:rPr>
        <w:t>” means the United States Department of the Treasury and any successor in interest thereto.</w:t>
      </w:r>
    </w:p>
    <w:p>
      <w:pPr>
        <w:spacing w:after="0" w:line="240" w:lineRule="exact"/>
        <w:rPr>
          <w:sz w:val="20"/>
          <w:szCs w:val="20"/>
          <w:color w:val="auto"/>
        </w:rPr>
      </w:pPr>
    </w:p>
    <w:p>
      <w:pPr>
        <w:ind w:firstLine="615"/>
        <w:spacing w:after="0" w:line="277" w:lineRule="auto"/>
        <w:rPr>
          <w:sz w:val="20"/>
          <w:szCs w:val="20"/>
          <w:color w:val="auto"/>
        </w:rPr>
      </w:pPr>
      <w:r>
        <w:rPr>
          <w:rFonts w:ascii="Arial" w:cs="Arial" w:eastAsia="Arial" w:hAnsi="Arial"/>
          <w:sz w:val="17"/>
          <w:szCs w:val="17"/>
          <w:i w:val="1"/>
          <w:iCs w:val="1"/>
          <w:color w:val="auto"/>
        </w:rPr>
        <w:t>Section 4. Certain Voting Matters</w:t>
      </w:r>
      <w:r>
        <w:rPr>
          <w:rFonts w:ascii="Arial" w:cs="Arial" w:eastAsia="Arial" w:hAnsi="Arial"/>
          <w:sz w:val="17"/>
          <w:szCs w:val="17"/>
          <w:color w:val="auto"/>
        </w:rPr>
        <w:t>. Holders of shares of Designated Preferred Stock will be entitled to one vote for each such share on any matter on which</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Designated Preferred stock are entitled to vote, including any action by written consent.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83"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7"/>
          <w:szCs w:val="17"/>
          <w:b w:val="1"/>
          <w:bCs w:val="1"/>
          <w:color w:val="auto"/>
        </w:rPr>
        <w:t>Schedule A</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STANDARD PROVISIONS</w:t>
      </w:r>
    </w:p>
    <w:p>
      <w:pPr>
        <w:spacing w:after="0" w:line="244" w:lineRule="exact"/>
        <w:rPr>
          <w:sz w:val="20"/>
          <w:szCs w:val="20"/>
          <w:color w:val="auto"/>
        </w:rPr>
      </w:pPr>
    </w:p>
    <w:p>
      <w:pPr>
        <w:jc w:val="both"/>
        <w:ind w:firstLine="615"/>
        <w:spacing w:after="0" w:line="260"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General Matters</w:t>
      </w:r>
      <w:r>
        <w:rPr>
          <w:rFonts w:ascii="Arial" w:cs="Arial" w:eastAsia="Arial" w:hAnsi="Arial"/>
          <w:sz w:val="17"/>
          <w:szCs w:val="17"/>
          <w:color w:val="auto"/>
        </w:rPr>
        <w:t>. Each share of Designated Preferred Stock shall be identical in all respects to every other share of Designated Preferred Stock. The Designated Preferred Stock shall be perpetual, subject to the provisions of Section 5 of these Standard Provisions that form a part of the Certificate of Designation. The Designated Preferred Stock shall rank equally with Parity Stock and shall rank senior to Junior Stock with respect to the payment of dividends and the distribution of assets in the event of any dissolution, liquidation or winding up of the issuer, as set forth below.</w:t>
      </w:r>
    </w:p>
    <w:p>
      <w:pPr>
        <w:spacing w:after="0" w:line="204" w:lineRule="exact"/>
        <w:rPr>
          <w:sz w:val="20"/>
          <w:szCs w:val="20"/>
          <w:color w:val="auto"/>
        </w:rPr>
      </w:pPr>
    </w:p>
    <w:p>
      <w:pPr>
        <w:ind w:left="620"/>
        <w:spacing w:after="0"/>
        <w:tabs>
          <w:tab w:leader="none" w:pos="1880" w:val="left"/>
        </w:tabs>
        <w:rPr>
          <w:sz w:val="20"/>
          <w:szCs w:val="20"/>
          <w:color w:val="auto"/>
        </w:rPr>
      </w:pPr>
      <w:r>
        <w:rPr>
          <w:rFonts w:ascii="Arial" w:cs="Arial" w:eastAsia="Arial" w:hAnsi="Arial"/>
          <w:sz w:val="17"/>
          <w:szCs w:val="17"/>
          <w:color w:val="auto"/>
        </w:rPr>
        <w:t>Section 2.</w:t>
      </w:r>
      <w:r>
        <w:rPr>
          <w:sz w:val="20"/>
          <w:szCs w:val="20"/>
          <w:color w:val="auto"/>
        </w:rPr>
        <w:tab/>
      </w:r>
      <w:r>
        <w:rPr>
          <w:rFonts w:ascii="Arial" w:cs="Arial" w:eastAsia="Arial" w:hAnsi="Arial"/>
          <w:sz w:val="15"/>
          <w:szCs w:val="15"/>
          <w:u w:val="single" w:color="auto"/>
          <w:color w:val="auto"/>
        </w:rPr>
        <w:t>Standard Definitions</w:t>
      </w:r>
      <w:r>
        <w:rPr>
          <w:rFonts w:ascii="Arial" w:cs="Arial" w:eastAsia="Arial" w:hAnsi="Arial"/>
          <w:sz w:val="15"/>
          <w:szCs w:val="15"/>
          <w:color w:val="auto"/>
        </w:rPr>
        <w:t>. As used herein with respect to Designated Preferred Stock:</w:t>
      </w:r>
    </w:p>
    <w:p>
      <w:pPr>
        <w:spacing w:after="0" w:line="240" w:lineRule="exact"/>
        <w:rPr>
          <w:sz w:val="20"/>
          <w:szCs w:val="20"/>
          <w:color w:val="auto"/>
        </w:rPr>
      </w:pPr>
    </w:p>
    <w:p>
      <w:pPr>
        <w:jc w:val="both"/>
        <w:ind w:firstLine="1233"/>
        <w:spacing w:after="0" w:line="264" w:lineRule="auto"/>
        <w:tabs>
          <w:tab w:leader="none" w:pos="1929" w:val="left"/>
        </w:tabs>
        <w:numPr>
          <w:ilvl w:val="0"/>
          <w:numId w:val="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Acquiror</w:t>
      </w:r>
      <w:r>
        <w:rPr>
          <w:rFonts w:ascii="Arial" w:cs="Arial" w:eastAsia="Arial" w:hAnsi="Arial"/>
          <w:sz w:val="17"/>
          <w:szCs w:val="17"/>
          <w:color w:val="auto"/>
        </w:rPr>
        <w:t>,” in any Holding Company Transaction, means the surviving or resulting entity or its ultimate parent in the case of a merger or consolidation or the transferee in the case of a sale, lease or other transfer in one transaction or a series of related transactions of all or substantially all of the consolidated assets of the Issuer and its subsidiaries, taken as a whole.</w:t>
      </w:r>
    </w:p>
    <w:p>
      <w:pPr>
        <w:spacing w:after="0" w:line="201" w:lineRule="exact"/>
        <w:rPr>
          <w:rFonts w:ascii="Arial" w:cs="Arial" w:eastAsia="Arial" w:hAnsi="Arial"/>
          <w:sz w:val="17"/>
          <w:szCs w:val="17"/>
          <w:color w:val="auto"/>
        </w:rPr>
      </w:pPr>
    </w:p>
    <w:p>
      <w:pPr>
        <w:jc w:val="both"/>
        <w:ind w:firstLine="1233"/>
        <w:spacing w:after="0" w:line="281" w:lineRule="auto"/>
        <w:tabs>
          <w:tab w:leader="none" w:pos="1964"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person directly or indirectly controlling, controlled by or under common control with, such other person. For purposes of this definition, “</w:t>
      </w:r>
      <w:r>
        <w:rPr>
          <w:rFonts w:ascii="Arial" w:cs="Arial" w:eastAsia="Arial" w:hAnsi="Arial"/>
          <w:sz w:val="16"/>
          <w:szCs w:val="16"/>
          <w:u w:val="single" w:color="auto"/>
          <w:color w:val="auto"/>
        </w:rPr>
        <w:t>control</w:t>
      </w:r>
      <w:r>
        <w:rPr>
          <w:rFonts w:ascii="Arial" w:cs="Arial" w:eastAsia="Arial" w:hAnsi="Arial"/>
          <w:sz w:val="16"/>
          <w:szCs w:val="16"/>
          <w:color w:val="auto"/>
        </w:rPr>
        <w:t>” (including, with correlative meanings, the terms “</w:t>
      </w:r>
      <w:r>
        <w:rPr>
          <w:rFonts w:ascii="Arial" w:cs="Arial" w:eastAsia="Arial" w:hAnsi="Arial"/>
          <w:sz w:val="16"/>
          <w:szCs w:val="16"/>
          <w:u w:val="single" w:color="auto"/>
          <w:color w:val="auto"/>
        </w:rPr>
        <w:t>controlled by</w:t>
      </w:r>
      <w:r>
        <w:rPr>
          <w:rFonts w:ascii="Arial" w:cs="Arial" w:eastAsia="Arial" w:hAnsi="Arial"/>
          <w:sz w:val="16"/>
          <w:szCs w:val="16"/>
          <w:color w:val="auto"/>
        </w:rPr>
        <w:t>” and “</w:t>
      </w:r>
      <w:r>
        <w:rPr>
          <w:rFonts w:ascii="Arial" w:cs="Arial" w:eastAsia="Arial" w:hAnsi="Arial"/>
          <w:sz w:val="16"/>
          <w:szCs w:val="16"/>
          <w:u w:val="single" w:color="auto"/>
          <w:color w:val="auto"/>
        </w:rPr>
        <w:t>under common control with</w:t>
      </w:r>
      <w:r>
        <w:rPr>
          <w:rFonts w:ascii="Arial" w:cs="Arial" w:eastAsia="Arial" w:hAnsi="Arial"/>
          <w:sz w:val="16"/>
          <w:szCs w:val="16"/>
          <w:color w:val="auto"/>
        </w:rPr>
        <w:t>”) when used with respect to any person, means the possession, directly or indirectly through one or more intermediaries, of the power to cause the direction of management and/or policies of such person, whether through the ownership of voting securities by contract or otherwise.</w:t>
      </w:r>
    </w:p>
    <w:p>
      <w:pPr>
        <w:spacing w:after="0" w:line="189" w:lineRule="exact"/>
        <w:rPr>
          <w:rFonts w:ascii="Arial" w:cs="Arial" w:eastAsia="Arial" w:hAnsi="Arial"/>
          <w:sz w:val="16"/>
          <w:szCs w:val="16"/>
          <w:color w:val="auto"/>
        </w:rPr>
      </w:pPr>
    </w:p>
    <w:p>
      <w:pPr>
        <w:ind w:left="1900" w:hanging="667"/>
        <w:spacing w:after="0"/>
        <w:tabs>
          <w:tab w:leader="none" w:pos="1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Dividend Rate</w:t>
      </w:r>
      <w:r>
        <w:rPr>
          <w:rFonts w:ascii="Arial" w:cs="Arial" w:eastAsia="Arial" w:hAnsi="Arial"/>
          <w:sz w:val="17"/>
          <w:szCs w:val="17"/>
          <w:color w:val="auto"/>
        </w:rPr>
        <w:t>” has the meaning set forth in Section 3(a).</w:t>
      </w:r>
    </w:p>
    <w:p>
      <w:pPr>
        <w:spacing w:after="0" w:line="240" w:lineRule="exact"/>
        <w:rPr>
          <w:rFonts w:ascii="Arial" w:cs="Arial" w:eastAsia="Arial" w:hAnsi="Arial"/>
          <w:sz w:val="17"/>
          <w:szCs w:val="17"/>
          <w:color w:val="auto"/>
        </w:rPr>
      </w:pPr>
    </w:p>
    <w:p>
      <w:pPr>
        <w:ind w:firstLine="1233"/>
        <w:spacing w:after="0" w:line="277" w:lineRule="auto"/>
        <w:tabs>
          <w:tab w:leader="none" w:pos="1964" w:val="left"/>
        </w:tabs>
        <w:numPr>
          <w:ilvl w:val="0"/>
          <w:numId w:val="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Appropriate Federal Banking Agency</w:t>
      </w:r>
      <w:r>
        <w:rPr>
          <w:rFonts w:ascii="Arial" w:cs="Arial" w:eastAsia="Arial" w:hAnsi="Arial"/>
          <w:sz w:val="17"/>
          <w:szCs w:val="17"/>
          <w:color w:val="auto"/>
        </w:rPr>
        <w:t>” means the “appropriate Federal banking agency” with respect to the Issuer as defined in Section 3(q) of the Federal Deposit Insurance Act (12 U.S.C. Section 1813(q)), or any successor provision.</w:t>
      </w:r>
    </w:p>
    <w:p>
      <w:pPr>
        <w:spacing w:after="0" w:line="189" w:lineRule="exact"/>
        <w:rPr>
          <w:rFonts w:ascii="Arial" w:cs="Arial" w:eastAsia="Arial" w:hAnsi="Arial"/>
          <w:sz w:val="17"/>
          <w:szCs w:val="17"/>
          <w:color w:val="auto"/>
        </w:rPr>
      </w:pPr>
    </w:p>
    <w:p>
      <w:pPr>
        <w:ind w:firstLine="1233"/>
        <w:spacing w:after="0" w:line="277" w:lineRule="auto"/>
        <w:tabs>
          <w:tab w:leader="none" w:pos="189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 Holding Company</w:t>
      </w:r>
      <w:r>
        <w:rPr>
          <w:rFonts w:ascii="Arial" w:cs="Arial" w:eastAsia="Arial" w:hAnsi="Arial"/>
          <w:sz w:val="17"/>
          <w:szCs w:val="17"/>
          <w:color w:val="auto"/>
        </w:rPr>
        <w:t>” means a company registered as such with the Board of Governors of the Federal Reserve System pursuant to 12 U.S.C. §1842 and the regulations of the Board of Governors of the Federal Reserve System thereunder.</w:t>
      </w:r>
    </w:p>
    <w:p>
      <w:pPr>
        <w:spacing w:after="0" w:line="189" w:lineRule="exact"/>
        <w:rPr>
          <w:rFonts w:ascii="Arial" w:cs="Arial" w:eastAsia="Arial" w:hAnsi="Arial"/>
          <w:sz w:val="17"/>
          <w:szCs w:val="17"/>
          <w:color w:val="auto"/>
        </w:rPr>
      </w:pPr>
    </w:p>
    <w:p>
      <w:pPr>
        <w:ind w:firstLine="1233"/>
        <w:spacing w:after="0" w:line="277" w:lineRule="auto"/>
        <w:tabs>
          <w:tab w:leader="none" w:pos="1923" w:val="left"/>
        </w:tabs>
        <w:numPr>
          <w:ilvl w:val="0"/>
          <w:numId w:val="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Baseline</w:t>
      </w:r>
      <w:r>
        <w:rPr>
          <w:rFonts w:ascii="Arial" w:cs="Arial" w:eastAsia="Arial" w:hAnsi="Arial"/>
          <w:sz w:val="17"/>
          <w:szCs w:val="17"/>
          <w:color w:val="auto"/>
        </w:rPr>
        <w:t>” means the “Initial Small Business Lending Baseline” set forth on the Initial Supplemental Report (as defined in the Definitive Agreement), subject to adjustment pursuant to Section 3(a).</w:t>
      </w:r>
    </w:p>
    <w:p>
      <w:pPr>
        <w:spacing w:after="0" w:line="189" w:lineRule="exact"/>
        <w:rPr>
          <w:rFonts w:ascii="Arial" w:cs="Arial" w:eastAsia="Arial" w:hAnsi="Arial"/>
          <w:sz w:val="17"/>
          <w:szCs w:val="17"/>
          <w:color w:val="auto"/>
        </w:rPr>
      </w:pPr>
    </w:p>
    <w:p>
      <w:pPr>
        <w:ind w:left="1980" w:hanging="747"/>
        <w:spacing w:after="0"/>
        <w:tabs>
          <w:tab w:leader="none" w:pos="19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 Combination</w:t>
      </w:r>
      <w:r>
        <w:rPr>
          <w:rFonts w:ascii="Arial" w:cs="Arial" w:eastAsia="Arial" w:hAnsi="Arial"/>
          <w:sz w:val="15"/>
          <w:szCs w:val="15"/>
          <w:color w:val="auto"/>
        </w:rPr>
        <w:t>” means a merger, consolidation, statutory share exchange or similar transaction that requires the approval of the</w:t>
      </w:r>
    </w:p>
    <w:p>
      <w:pPr>
        <w:spacing w:after="0" w:line="4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Issuer’s stockholders.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66" w:name="page67"/>
    <w:bookmarkEnd w:id="66"/>
    <w:p>
      <w:pPr>
        <w:ind w:firstLine="1233"/>
        <w:spacing w:after="0" w:line="277" w:lineRule="auto"/>
        <w:tabs>
          <w:tab w:leader="none" w:pos="2079" w:val="left"/>
        </w:tabs>
        <w:numPr>
          <w:ilvl w:val="0"/>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Saturday, Sunday and any day on which banking institutions in the State of New York or the District of Columbia generally are authorized or required by law or other governmental actions to close.</w:t>
      </w:r>
    </w:p>
    <w:p>
      <w:pPr>
        <w:spacing w:after="0" w:line="189" w:lineRule="exact"/>
        <w:rPr>
          <w:rFonts w:ascii="Arial" w:cs="Arial" w:eastAsia="Arial" w:hAnsi="Arial"/>
          <w:sz w:val="17"/>
          <w:szCs w:val="17"/>
          <w:color w:val="auto"/>
        </w:rPr>
      </w:pPr>
    </w:p>
    <w:p>
      <w:pPr>
        <w:ind w:left="1900" w:hanging="667"/>
        <w:spacing w:after="0"/>
        <w:tabs>
          <w:tab w:leader="none" w:pos="1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Bylaws</w:t>
      </w:r>
      <w:r>
        <w:rPr>
          <w:rFonts w:ascii="Arial" w:cs="Arial" w:eastAsia="Arial" w:hAnsi="Arial"/>
          <w:sz w:val="17"/>
          <w:szCs w:val="17"/>
          <w:color w:val="auto"/>
        </w:rPr>
        <w:t>” means the bylaws of the Issuer, as they may be amended from time to time.</w:t>
      </w:r>
    </w:p>
    <w:p>
      <w:pPr>
        <w:spacing w:after="0" w:line="240" w:lineRule="exact"/>
        <w:rPr>
          <w:rFonts w:ascii="Arial" w:cs="Arial" w:eastAsia="Arial" w:hAnsi="Arial"/>
          <w:sz w:val="17"/>
          <w:szCs w:val="17"/>
          <w:color w:val="auto"/>
        </w:rPr>
      </w:pPr>
    </w:p>
    <w:p>
      <w:pPr>
        <w:ind w:left="1900" w:hanging="667"/>
        <w:spacing w:after="0"/>
        <w:tabs>
          <w:tab w:leader="none" w:pos="1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Call Report</w:t>
      </w:r>
      <w:r>
        <w:rPr>
          <w:rFonts w:ascii="Arial" w:cs="Arial" w:eastAsia="Arial" w:hAnsi="Arial"/>
          <w:sz w:val="17"/>
          <w:szCs w:val="17"/>
          <w:color w:val="auto"/>
        </w:rPr>
        <w:t>” has the meaning set forth in the Definitive Agreement.</w:t>
      </w:r>
    </w:p>
    <w:p>
      <w:pPr>
        <w:spacing w:after="0" w:line="240" w:lineRule="exact"/>
        <w:rPr>
          <w:rFonts w:ascii="Arial" w:cs="Arial" w:eastAsia="Arial" w:hAnsi="Arial"/>
          <w:sz w:val="17"/>
          <w:szCs w:val="17"/>
          <w:color w:val="auto"/>
        </w:rPr>
      </w:pPr>
    </w:p>
    <w:p>
      <w:pPr>
        <w:ind w:firstLine="1233"/>
        <w:spacing w:after="0" w:line="277" w:lineRule="auto"/>
        <w:tabs>
          <w:tab w:leader="none" w:pos="1938" w:val="left"/>
        </w:tabs>
        <w:numPr>
          <w:ilvl w:val="0"/>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Certificate of Designation</w:t>
      </w:r>
      <w:r>
        <w:rPr>
          <w:rFonts w:ascii="Arial" w:cs="Arial" w:eastAsia="Arial" w:hAnsi="Arial"/>
          <w:sz w:val="17"/>
          <w:szCs w:val="17"/>
          <w:color w:val="auto"/>
        </w:rPr>
        <w:t>” means the Certificate of Designation or comparable instrument relating to the Designated Preferred Stock, of which these Standard Provisions form a part, as it may be amended from time to time.</w:t>
      </w:r>
    </w:p>
    <w:p>
      <w:pPr>
        <w:spacing w:after="0" w:line="189" w:lineRule="exact"/>
        <w:rPr>
          <w:rFonts w:ascii="Arial" w:cs="Arial" w:eastAsia="Arial" w:hAnsi="Arial"/>
          <w:sz w:val="17"/>
          <w:szCs w:val="17"/>
          <w:color w:val="auto"/>
        </w:rPr>
      </w:pPr>
    </w:p>
    <w:p>
      <w:pPr>
        <w:ind w:firstLine="1233"/>
        <w:spacing w:after="0" w:line="277" w:lineRule="auto"/>
        <w:tabs>
          <w:tab w:leader="none" w:pos="1905" w:val="left"/>
        </w:tabs>
        <w:numPr>
          <w:ilvl w:val="0"/>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Charge-Offs</w:t>
      </w:r>
      <w:r>
        <w:rPr>
          <w:rFonts w:ascii="Arial" w:cs="Arial" w:eastAsia="Arial" w:hAnsi="Arial"/>
          <w:sz w:val="17"/>
          <w:szCs w:val="17"/>
          <w:color w:val="auto"/>
        </w:rPr>
        <w:t>” means the net amount of loans charged off by the Issuer or, if the Issuer is a Bank Holding Company or a Savings and Loan Holding Company, by the IDI Subsidiary(ies) during quarters that begin on or after the Original Signing Date, determined as follows:</w:t>
      </w:r>
    </w:p>
    <w:p>
      <w:pPr>
        <w:spacing w:after="0" w:line="189" w:lineRule="exact"/>
        <w:rPr>
          <w:rFonts w:ascii="Arial" w:cs="Arial" w:eastAsia="Arial" w:hAnsi="Arial"/>
          <w:sz w:val="17"/>
          <w:szCs w:val="17"/>
          <w:color w:val="auto"/>
        </w:rPr>
      </w:pPr>
    </w:p>
    <w:p>
      <w:pPr>
        <w:jc w:val="both"/>
        <w:ind w:left="620" w:firstLine="1275"/>
        <w:spacing w:after="0" w:line="264" w:lineRule="auto"/>
        <w:tabs>
          <w:tab w:leader="none" w:pos="2571" w:val="left"/>
        </w:tabs>
        <w:numPr>
          <w:ilvl w:val="1"/>
          <w:numId w:val="12"/>
        </w:numPr>
        <w:rPr>
          <w:rFonts w:ascii="Arial" w:cs="Arial" w:eastAsia="Arial" w:hAnsi="Arial"/>
          <w:sz w:val="17"/>
          <w:szCs w:val="17"/>
          <w:color w:val="auto"/>
        </w:rPr>
      </w:pPr>
      <w:r>
        <w:rPr>
          <w:rFonts w:ascii="Arial" w:cs="Arial" w:eastAsia="Arial" w:hAnsi="Arial"/>
          <w:sz w:val="17"/>
          <w:szCs w:val="17"/>
          <w:color w:val="auto"/>
        </w:rPr>
        <w:t>if the Issuer or the applicable IDI Subsidiary is a bank, by subtracting (A) the aggregate dollar amount of recoveries reflected on line RIAD4605 of its Call Reports for such quarters from (B) the aggregate dollar amount of charge-offs reflected on line RIAD4635 of its Call Reports for such quarters (without duplication as a result of such dollar amounts being reported on a year-to-date basis); or</w:t>
      </w:r>
    </w:p>
    <w:p>
      <w:pPr>
        <w:spacing w:after="0" w:line="201" w:lineRule="exact"/>
        <w:rPr>
          <w:rFonts w:ascii="Arial" w:cs="Arial" w:eastAsia="Arial" w:hAnsi="Arial"/>
          <w:sz w:val="17"/>
          <w:szCs w:val="17"/>
          <w:color w:val="auto"/>
        </w:rPr>
      </w:pPr>
    </w:p>
    <w:p>
      <w:pPr>
        <w:jc w:val="both"/>
        <w:ind w:left="620" w:firstLine="1278"/>
        <w:spacing w:after="0" w:line="288" w:lineRule="auto"/>
        <w:tabs>
          <w:tab w:leader="none" w:pos="2598" w:val="left"/>
        </w:tabs>
        <w:numPr>
          <w:ilvl w:val="1"/>
          <w:numId w:val="12"/>
        </w:numPr>
        <w:rPr>
          <w:rFonts w:ascii="Arial" w:cs="Arial" w:eastAsia="Arial" w:hAnsi="Arial"/>
          <w:sz w:val="16"/>
          <w:szCs w:val="16"/>
          <w:color w:val="auto"/>
        </w:rPr>
      </w:pPr>
      <w:r>
        <w:rPr>
          <w:rFonts w:ascii="Arial" w:cs="Arial" w:eastAsia="Arial" w:hAnsi="Arial"/>
          <w:sz w:val="16"/>
          <w:szCs w:val="16"/>
          <w:color w:val="auto"/>
        </w:rPr>
        <w:t>if the Issuer or the applicable IDI Subsidiary is a thrift, by subtracting (A) the sum of the aggregate dollar amount of recoveries reflected on line VA140 of its Call Reports for such quarters and the aggregate dollar amount of adjustments reflected on line VA150 of its Call Reports for such quarters from (B) the aggregate dollar amount of charge-offs reflected on line VA160 of its Call Reports for such quarters.</w:t>
      </w:r>
    </w:p>
    <w:p>
      <w:pPr>
        <w:spacing w:after="0" w:line="183" w:lineRule="exact"/>
        <w:rPr>
          <w:rFonts w:ascii="Arial" w:cs="Arial" w:eastAsia="Arial" w:hAnsi="Arial"/>
          <w:sz w:val="16"/>
          <w:szCs w:val="16"/>
          <w:color w:val="auto"/>
        </w:rPr>
      </w:pPr>
    </w:p>
    <w:p>
      <w:pPr>
        <w:ind w:left="1900" w:hanging="667"/>
        <w:spacing w:after="0"/>
        <w:tabs>
          <w:tab w:leader="none" w:pos="1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Charter</w:t>
      </w:r>
      <w:r>
        <w:rPr>
          <w:rFonts w:ascii="Arial" w:cs="Arial" w:eastAsia="Arial" w:hAnsi="Arial"/>
          <w:sz w:val="17"/>
          <w:szCs w:val="17"/>
          <w:color w:val="auto"/>
        </w:rPr>
        <w:t>” means the Issuer’s certificate or articles of incorporation, articles of association, or similar organizational document.</w:t>
      </w:r>
    </w:p>
    <w:p>
      <w:pPr>
        <w:spacing w:after="0" w:line="240" w:lineRule="exact"/>
        <w:rPr>
          <w:rFonts w:ascii="Arial" w:cs="Arial" w:eastAsia="Arial" w:hAnsi="Arial"/>
          <w:sz w:val="17"/>
          <w:szCs w:val="17"/>
          <w:color w:val="auto"/>
        </w:rPr>
      </w:pPr>
    </w:p>
    <w:p>
      <w:pPr>
        <w:ind w:left="1900" w:hanging="667"/>
        <w:spacing w:after="0"/>
        <w:tabs>
          <w:tab w:leader="none" w:pos="1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CPP Lending, Incentive Fee</w:t>
      </w:r>
      <w:r>
        <w:rPr>
          <w:rFonts w:ascii="Arial" w:cs="Arial" w:eastAsia="Arial" w:hAnsi="Arial"/>
          <w:sz w:val="17"/>
          <w:szCs w:val="17"/>
          <w:color w:val="auto"/>
        </w:rPr>
        <w:t>” has the meaning set forth in Section 3(e).</w:t>
      </w:r>
    </w:p>
    <w:p>
      <w:pPr>
        <w:spacing w:after="0" w:line="240" w:lineRule="exact"/>
        <w:rPr>
          <w:rFonts w:ascii="Arial" w:cs="Arial" w:eastAsia="Arial" w:hAnsi="Arial"/>
          <w:sz w:val="17"/>
          <w:szCs w:val="17"/>
          <w:color w:val="auto"/>
        </w:rPr>
      </w:pPr>
    </w:p>
    <w:p>
      <w:pPr>
        <w:ind w:left="1900" w:hanging="667"/>
        <w:spacing w:after="0"/>
        <w:tabs>
          <w:tab w:leader="none" w:pos="1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Current Period</w:t>
      </w:r>
      <w:r>
        <w:rPr>
          <w:rFonts w:ascii="Arial" w:cs="Arial" w:eastAsia="Arial" w:hAnsi="Arial"/>
          <w:sz w:val="17"/>
          <w:szCs w:val="17"/>
          <w:color w:val="auto"/>
        </w:rPr>
        <w:t>” has the meaning set forth in Section 3(a)(i)(2).</w:t>
      </w:r>
    </w:p>
    <w:p>
      <w:pPr>
        <w:spacing w:after="0" w:line="240" w:lineRule="exact"/>
        <w:rPr>
          <w:rFonts w:ascii="Arial" w:cs="Arial" w:eastAsia="Arial" w:hAnsi="Arial"/>
          <w:sz w:val="17"/>
          <w:szCs w:val="17"/>
          <w:color w:val="auto"/>
        </w:rPr>
      </w:pPr>
    </w:p>
    <w:p>
      <w:pPr>
        <w:ind w:left="1900" w:hanging="667"/>
        <w:spacing w:after="0"/>
        <w:tabs>
          <w:tab w:leader="none" w:pos="1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Dividend Payment Date</w:t>
      </w:r>
      <w:r>
        <w:rPr>
          <w:rFonts w:ascii="Arial" w:cs="Arial" w:eastAsia="Arial" w:hAnsi="Arial"/>
          <w:sz w:val="17"/>
          <w:szCs w:val="17"/>
          <w:color w:val="auto"/>
        </w:rPr>
        <w:t>” means January 1, April 1, July 1, and October 1 of each year.</w:t>
      </w:r>
    </w:p>
    <w:p>
      <w:pPr>
        <w:spacing w:after="0" w:line="240" w:lineRule="exact"/>
        <w:rPr>
          <w:rFonts w:ascii="Arial" w:cs="Arial" w:eastAsia="Arial" w:hAnsi="Arial"/>
          <w:sz w:val="17"/>
          <w:szCs w:val="17"/>
          <w:color w:val="auto"/>
        </w:rPr>
      </w:pPr>
    </w:p>
    <w:p>
      <w:pPr>
        <w:jc w:val="both"/>
        <w:ind w:firstLine="1233"/>
        <w:spacing w:after="0" w:line="264" w:lineRule="auto"/>
        <w:tabs>
          <w:tab w:leader="none" w:pos="1951" w:val="left"/>
        </w:tabs>
        <w:numPr>
          <w:ilvl w:val="0"/>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Dividend Period</w:t>
      </w:r>
      <w:r>
        <w:rPr>
          <w:rFonts w:ascii="Arial" w:cs="Arial" w:eastAsia="Arial" w:hAnsi="Arial"/>
          <w:sz w:val="17"/>
          <w:szCs w:val="17"/>
          <w:color w:val="auto"/>
        </w:rPr>
        <w:t xml:space="preserve">” means the period from and including any Dividend Payment Date to, but excluding, the next Dividend Payment Date; </w:t>
      </w:r>
      <w:r>
        <w:rPr>
          <w:rFonts w:ascii="Arial" w:cs="Arial" w:eastAsia="Arial" w:hAnsi="Arial"/>
          <w:sz w:val="17"/>
          <w:szCs w:val="17"/>
          <w:u w:val="single" w:color="auto"/>
          <w:color w:val="auto"/>
        </w:rPr>
        <w:t>provided, however</w:t>
      </w:r>
      <w:r>
        <w:rPr>
          <w:rFonts w:ascii="Arial" w:cs="Arial" w:eastAsia="Arial" w:hAnsi="Arial"/>
          <w:sz w:val="17"/>
          <w:szCs w:val="17"/>
          <w:color w:val="auto"/>
        </w:rPr>
        <w:t>, the initial Dividend Period shall be the period from and including the Original Issue Date to, but excluding, the next Dividend Payment Date (the “</w:t>
      </w:r>
      <w:r>
        <w:rPr>
          <w:rFonts w:ascii="Arial" w:cs="Arial" w:eastAsia="Arial" w:hAnsi="Arial"/>
          <w:sz w:val="17"/>
          <w:szCs w:val="17"/>
          <w:u w:val="single" w:color="auto"/>
          <w:color w:val="auto"/>
        </w:rPr>
        <w:t>Initial Dividend Period</w:t>
      </w:r>
      <w:r>
        <w:rPr>
          <w:rFonts w:ascii="Arial" w:cs="Arial" w:eastAsia="Arial" w:hAnsi="Arial"/>
          <w:sz w:val="17"/>
          <w:szCs w:val="17"/>
          <w:color w:val="auto"/>
        </w:rPr>
        <w:t>”).</w:t>
      </w:r>
    </w:p>
    <w:p>
      <w:pPr>
        <w:spacing w:after="0" w:line="201" w:lineRule="exact"/>
        <w:rPr>
          <w:rFonts w:ascii="Arial" w:cs="Arial" w:eastAsia="Arial" w:hAnsi="Arial"/>
          <w:sz w:val="17"/>
          <w:szCs w:val="17"/>
          <w:color w:val="auto"/>
        </w:rPr>
      </w:pPr>
    </w:p>
    <w:p>
      <w:pPr>
        <w:ind w:left="1920" w:hanging="687"/>
        <w:spacing w:after="0"/>
        <w:tabs>
          <w:tab w:leader="none" w:pos="1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Dividend Record Date</w:t>
      </w:r>
      <w:r>
        <w:rPr>
          <w:rFonts w:ascii="Arial" w:cs="Arial" w:eastAsia="Arial" w:hAnsi="Arial"/>
          <w:sz w:val="17"/>
          <w:szCs w:val="17"/>
          <w:color w:val="auto"/>
        </w:rPr>
        <w:t>” has the meaning set forth in Section 3(b).</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83" w:right="239" w:bottom="1440" w:gutter="0" w:footer="0" w:header="0"/>
        </w:sectPr>
      </w:pPr>
    </w:p>
    <w:bookmarkStart w:id="67" w:name="page68"/>
    <w:bookmarkEnd w:id="67"/>
    <w:p>
      <w:pPr>
        <w:ind w:left="1880" w:hanging="647"/>
        <w:spacing w:after="0"/>
        <w:tabs>
          <w:tab w:leader="none" w:pos="1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Dividend Reference Period</w:t>
      </w:r>
      <w:r>
        <w:rPr>
          <w:rFonts w:ascii="Arial" w:cs="Arial" w:eastAsia="Arial" w:hAnsi="Arial"/>
          <w:sz w:val="17"/>
          <w:szCs w:val="17"/>
          <w:color w:val="auto"/>
        </w:rPr>
        <w:t>” has the meaning set forth in Section 3(a)(i)(2).</w:t>
      </w:r>
    </w:p>
    <w:p>
      <w:pPr>
        <w:spacing w:after="0" w:line="240" w:lineRule="exact"/>
        <w:rPr>
          <w:rFonts w:ascii="Arial" w:cs="Arial" w:eastAsia="Arial" w:hAnsi="Arial"/>
          <w:sz w:val="17"/>
          <w:szCs w:val="17"/>
          <w:color w:val="auto"/>
        </w:rPr>
      </w:pPr>
    </w:p>
    <w:p>
      <w:pPr>
        <w:ind w:left="1900" w:hanging="667"/>
        <w:spacing w:after="0"/>
        <w:tabs>
          <w:tab w:leader="none" w:pos="1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generally accepted accounting principles in the United States.</w:t>
      </w:r>
    </w:p>
    <w:p>
      <w:pPr>
        <w:spacing w:after="0" w:line="240" w:lineRule="exact"/>
        <w:rPr>
          <w:rFonts w:ascii="Arial" w:cs="Arial" w:eastAsia="Arial" w:hAnsi="Arial"/>
          <w:sz w:val="17"/>
          <w:szCs w:val="17"/>
          <w:color w:val="auto"/>
        </w:rPr>
      </w:pPr>
    </w:p>
    <w:p>
      <w:pPr>
        <w:ind w:left="1900" w:hanging="667"/>
        <w:spacing w:after="0"/>
        <w:tabs>
          <w:tab w:leader="none" w:pos="1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Holding Company Preferred Stock</w:t>
      </w:r>
      <w:r>
        <w:rPr>
          <w:rFonts w:ascii="Arial" w:cs="Arial" w:eastAsia="Arial" w:hAnsi="Arial"/>
          <w:sz w:val="17"/>
          <w:szCs w:val="17"/>
          <w:color w:val="auto"/>
        </w:rPr>
        <w:t>” has the meaning set forth in Section 7(c)(v).</w:t>
      </w:r>
    </w:p>
    <w:p>
      <w:pPr>
        <w:spacing w:after="0" w:line="240" w:lineRule="exact"/>
        <w:rPr>
          <w:rFonts w:ascii="Arial" w:cs="Arial" w:eastAsia="Arial" w:hAnsi="Arial"/>
          <w:sz w:val="17"/>
          <w:szCs w:val="17"/>
          <w:color w:val="auto"/>
        </w:rPr>
      </w:pPr>
    </w:p>
    <w:p>
      <w:pPr>
        <w:jc w:val="both"/>
        <w:ind w:firstLine="1233"/>
        <w:spacing w:after="0" w:line="295" w:lineRule="auto"/>
        <w:tabs>
          <w:tab w:leader="none" w:pos="2015" w:val="left"/>
        </w:tabs>
        <w:numPr>
          <w:ilvl w:val="0"/>
          <w:numId w:val="1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Holding Company Transaction</w:t>
      </w:r>
      <w:r>
        <w:rPr>
          <w:rFonts w:ascii="Arial" w:cs="Arial" w:eastAsia="Arial" w:hAnsi="Arial"/>
          <w:sz w:val="15"/>
          <w:szCs w:val="15"/>
          <w:color w:val="auto"/>
        </w:rPr>
        <w:t xml:space="preserve">” means the occurrence of (a) any transaction (including, without limitation, any acquisition, merger or consolidation) the result of which is that a “person” or “group” within the meaning of Section 13(d) of the Securities Exchange Act of 1934, as amended, (i) becomes the direct or indirect ultimate “beneficial owner,” as defined in Rule 13d-3 under that Act, of common equity of the Issuer representing more than 50% of the voting power of the outstanding Common Stock or (ii) is otherwise required to consolidate the Issuer for purposes of generally accepted accounting principles in the United States, or (b) any consolidation or merger of the Issuer or similar transaction or any sale, lease or other transfer in one transaction or a series of related transactions of all or substantially all of the consolidated assets of the Issuer and its subsidiaries, taken as a whole, to any Person other than one of the Issuer’s subsidiaries;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case of either clause (a) or (b), the Issuer or the Acquiror is or becomes a Bank Holding Company or Savings and Loan Holding Company.</w:t>
      </w:r>
    </w:p>
    <w:p>
      <w:pPr>
        <w:spacing w:after="0" w:line="182" w:lineRule="exact"/>
        <w:rPr>
          <w:rFonts w:ascii="Arial" w:cs="Arial" w:eastAsia="Arial" w:hAnsi="Arial"/>
          <w:sz w:val="15"/>
          <w:szCs w:val="15"/>
          <w:color w:val="auto"/>
        </w:rPr>
      </w:pPr>
    </w:p>
    <w:p>
      <w:pPr>
        <w:ind w:left="1900" w:hanging="667"/>
        <w:spacing w:after="0"/>
        <w:tabs>
          <w:tab w:leader="none" w:pos="1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IDI Subsidiary</w:t>
      </w:r>
      <w:r>
        <w:rPr>
          <w:rFonts w:ascii="Arial" w:cs="Arial" w:eastAsia="Arial" w:hAnsi="Arial"/>
          <w:sz w:val="17"/>
          <w:szCs w:val="17"/>
          <w:color w:val="auto"/>
        </w:rPr>
        <w:t>” means any Issuer Subsidiary that is an insured depository institution.</w:t>
      </w:r>
    </w:p>
    <w:p>
      <w:pPr>
        <w:spacing w:after="0" w:line="240" w:lineRule="exact"/>
        <w:rPr>
          <w:rFonts w:ascii="Arial" w:cs="Arial" w:eastAsia="Arial" w:hAnsi="Arial"/>
          <w:sz w:val="17"/>
          <w:szCs w:val="17"/>
          <w:color w:val="auto"/>
        </w:rPr>
      </w:pPr>
    </w:p>
    <w:p>
      <w:pPr>
        <w:ind w:left="1900" w:hanging="667"/>
        <w:spacing w:after="0"/>
        <w:tabs>
          <w:tab w:leader="none" w:pos="1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Increase in QSBL</w:t>
      </w:r>
      <w:r>
        <w:rPr>
          <w:rFonts w:ascii="Arial" w:cs="Arial" w:eastAsia="Arial" w:hAnsi="Arial"/>
          <w:sz w:val="17"/>
          <w:szCs w:val="17"/>
          <w:color w:val="auto"/>
        </w:rPr>
        <w:t>” means:</w:t>
      </w:r>
    </w:p>
    <w:p>
      <w:pPr>
        <w:spacing w:after="0" w:line="240" w:lineRule="exact"/>
        <w:rPr>
          <w:rFonts w:ascii="Arial" w:cs="Arial" w:eastAsia="Arial" w:hAnsi="Arial"/>
          <w:sz w:val="17"/>
          <w:szCs w:val="17"/>
          <w:color w:val="auto"/>
        </w:rPr>
      </w:pPr>
    </w:p>
    <w:p>
      <w:pPr>
        <w:ind w:left="620" w:firstLine="1273"/>
        <w:spacing w:after="0" w:line="277" w:lineRule="auto"/>
        <w:tabs>
          <w:tab w:leader="none" w:pos="2543" w:val="left"/>
        </w:tabs>
        <w:numPr>
          <w:ilvl w:val="1"/>
          <w:numId w:val="13"/>
        </w:numPr>
        <w:rPr>
          <w:rFonts w:ascii="Arial" w:cs="Arial" w:eastAsia="Arial" w:hAnsi="Arial"/>
          <w:sz w:val="17"/>
          <w:szCs w:val="17"/>
          <w:color w:val="auto"/>
        </w:rPr>
      </w:pPr>
      <w:r>
        <w:rPr>
          <w:rFonts w:ascii="Arial" w:cs="Arial" w:eastAsia="Arial" w:hAnsi="Arial"/>
          <w:sz w:val="17"/>
          <w:szCs w:val="17"/>
          <w:color w:val="auto"/>
        </w:rPr>
        <w:t>with respect to the first (1st) Dividend Period, the difference obtained by subtracting (A) the Baseline from (B) QSBL set forth in the Initial Supplemental Report (as defined in the Definitive Agreement); and</w:t>
      </w:r>
    </w:p>
    <w:p>
      <w:pPr>
        <w:spacing w:after="0" w:line="189" w:lineRule="exact"/>
        <w:rPr>
          <w:rFonts w:ascii="Arial" w:cs="Arial" w:eastAsia="Arial" w:hAnsi="Arial"/>
          <w:sz w:val="17"/>
          <w:szCs w:val="17"/>
          <w:color w:val="auto"/>
        </w:rPr>
      </w:pPr>
    </w:p>
    <w:p>
      <w:pPr>
        <w:ind w:left="620" w:firstLine="1275"/>
        <w:spacing w:after="0" w:line="277" w:lineRule="auto"/>
        <w:tabs>
          <w:tab w:leader="none" w:pos="2567" w:val="left"/>
        </w:tabs>
        <w:numPr>
          <w:ilvl w:val="1"/>
          <w:numId w:val="13"/>
        </w:numPr>
        <w:rPr>
          <w:rFonts w:ascii="Arial" w:cs="Arial" w:eastAsia="Arial" w:hAnsi="Arial"/>
          <w:sz w:val="17"/>
          <w:szCs w:val="17"/>
          <w:color w:val="auto"/>
        </w:rPr>
      </w:pPr>
      <w:r>
        <w:rPr>
          <w:rFonts w:ascii="Arial" w:cs="Arial" w:eastAsia="Arial" w:hAnsi="Arial"/>
          <w:sz w:val="17"/>
          <w:szCs w:val="17"/>
          <w:color w:val="auto"/>
        </w:rPr>
        <w:t>with respect to each subsequent Dividend Period, the difference obtained by subtracting (A) the Baseline from (B) QSBL for the Dividend Reference Period for the Current Period.</w:t>
      </w:r>
    </w:p>
    <w:p>
      <w:pPr>
        <w:spacing w:after="0" w:line="189" w:lineRule="exact"/>
        <w:rPr>
          <w:rFonts w:ascii="Arial" w:cs="Arial" w:eastAsia="Arial" w:hAnsi="Arial"/>
          <w:sz w:val="17"/>
          <w:szCs w:val="17"/>
          <w:color w:val="auto"/>
        </w:rPr>
      </w:pPr>
    </w:p>
    <w:p>
      <w:pPr>
        <w:ind w:left="1900" w:hanging="667"/>
        <w:spacing w:after="0"/>
        <w:tabs>
          <w:tab w:leader="none" w:pos="1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Dividend Period</w:t>
      </w:r>
      <w:r>
        <w:rPr>
          <w:rFonts w:ascii="Arial" w:cs="Arial" w:eastAsia="Arial" w:hAnsi="Arial"/>
          <w:sz w:val="17"/>
          <w:szCs w:val="17"/>
          <w:color w:val="auto"/>
        </w:rPr>
        <w:t>” has the meaning set forth in the definition of “Dividend Period”.</w:t>
      </w:r>
    </w:p>
    <w:p>
      <w:pPr>
        <w:spacing w:after="0" w:line="240" w:lineRule="exact"/>
        <w:rPr>
          <w:rFonts w:ascii="Arial" w:cs="Arial" w:eastAsia="Arial" w:hAnsi="Arial"/>
          <w:sz w:val="17"/>
          <w:szCs w:val="17"/>
          <w:color w:val="auto"/>
        </w:rPr>
      </w:pPr>
    </w:p>
    <w:p>
      <w:pPr>
        <w:ind w:left="1900" w:hanging="667"/>
        <w:spacing w:after="0"/>
        <w:tabs>
          <w:tab w:leader="none" w:pos="1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 Subsidiary</w:t>
      </w:r>
      <w:r>
        <w:rPr>
          <w:rFonts w:ascii="Arial" w:cs="Arial" w:eastAsia="Arial" w:hAnsi="Arial"/>
          <w:sz w:val="17"/>
          <w:szCs w:val="17"/>
          <w:color w:val="auto"/>
        </w:rPr>
        <w:t>” means any subsidiary of the Issuer.</w:t>
      </w:r>
    </w:p>
    <w:p>
      <w:pPr>
        <w:spacing w:after="0" w:line="240" w:lineRule="exact"/>
        <w:rPr>
          <w:sz w:val="20"/>
          <w:szCs w:val="20"/>
          <w:color w:val="auto"/>
        </w:rPr>
      </w:pPr>
    </w:p>
    <w:p>
      <w:pPr>
        <w:ind w:left="1880" w:hanging="647"/>
        <w:spacing w:after="0"/>
        <w:tabs>
          <w:tab w:leader="none" w:pos="1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Liquidation Preference</w:t>
      </w:r>
      <w:r>
        <w:rPr>
          <w:rFonts w:ascii="Arial" w:cs="Arial" w:eastAsia="Arial" w:hAnsi="Arial"/>
          <w:sz w:val="17"/>
          <w:szCs w:val="17"/>
          <w:color w:val="auto"/>
        </w:rPr>
        <w:t>” has the meaning set forth in Section 4(a).</w:t>
      </w:r>
    </w:p>
    <w:p>
      <w:pPr>
        <w:spacing w:after="0" w:line="240" w:lineRule="exact"/>
        <w:rPr>
          <w:rFonts w:ascii="Arial" w:cs="Arial" w:eastAsia="Arial" w:hAnsi="Arial"/>
          <w:sz w:val="17"/>
          <w:szCs w:val="17"/>
          <w:color w:val="auto"/>
        </w:rPr>
      </w:pPr>
    </w:p>
    <w:p>
      <w:pPr>
        <w:ind w:firstLine="1233"/>
        <w:spacing w:after="0" w:line="277" w:lineRule="auto"/>
        <w:tabs>
          <w:tab w:leader="none" w:pos="1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Non-Qualifying Portion Percentage</w:t>
      </w:r>
      <w:r>
        <w:rPr>
          <w:rFonts w:ascii="Arial" w:cs="Arial" w:eastAsia="Arial" w:hAnsi="Arial"/>
          <w:sz w:val="17"/>
          <w:szCs w:val="17"/>
          <w:color w:val="auto"/>
        </w:rPr>
        <w:t>” means with respect to any particular Dividend Period, the percentage obtained by subtracting the Qualifying Portion Percentage from one (1).</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83" w:right="239" w:bottom="1440" w:gutter="0" w:footer="0" w:header="0"/>
        </w:sectPr>
      </w:pPr>
    </w:p>
    <w:bookmarkStart w:id="68" w:name="page69"/>
    <w:bookmarkEnd w:id="68"/>
    <w:p>
      <w:pPr>
        <w:ind w:left="1880" w:hanging="647"/>
        <w:spacing w:after="0"/>
        <w:tabs>
          <w:tab w:leader="none" w:pos="1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Original Issue Date</w:t>
      </w:r>
      <w:r>
        <w:rPr>
          <w:rFonts w:ascii="Arial" w:cs="Arial" w:eastAsia="Arial" w:hAnsi="Arial"/>
          <w:sz w:val="17"/>
          <w:szCs w:val="17"/>
          <w:color w:val="auto"/>
        </w:rPr>
        <w:t>” means the date on which shares of Designated Preferred Stock are first issued.</w:t>
      </w:r>
    </w:p>
    <w:p>
      <w:pPr>
        <w:spacing w:after="0" w:line="240" w:lineRule="exact"/>
        <w:rPr>
          <w:rFonts w:ascii="Arial" w:cs="Arial" w:eastAsia="Arial" w:hAnsi="Arial"/>
          <w:sz w:val="17"/>
          <w:szCs w:val="17"/>
          <w:color w:val="auto"/>
        </w:rPr>
      </w:pPr>
    </w:p>
    <w:p>
      <w:pPr>
        <w:ind w:left="1860" w:hanging="627"/>
        <w:spacing w:after="0"/>
        <w:tabs>
          <w:tab w:leader="none" w:pos="18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Percentage Change in QSBL</w:t>
      </w:r>
      <w:r>
        <w:rPr>
          <w:rFonts w:ascii="Arial" w:cs="Arial" w:eastAsia="Arial" w:hAnsi="Arial"/>
          <w:sz w:val="17"/>
          <w:szCs w:val="17"/>
          <w:color w:val="auto"/>
        </w:rPr>
        <w:t>” has the meaning set forth in Section 3(a)(ii)</w:t>
      </w:r>
    </w:p>
    <w:p>
      <w:pPr>
        <w:spacing w:after="0" w:line="240" w:lineRule="exact"/>
        <w:rPr>
          <w:rFonts w:ascii="Arial" w:cs="Arial" w:eastAsia="Arial" w:hAnsi="Arial"/>
          <w:sz w:val="17"/>
          <w:szCs w:val="17"/>
          <w:color w:val="auto"/>
        </w:rPr>
      </w:pPr>
    </w:p>
    <w:p>
      <w:pPr>
        <w:ind w:firstLine="1233"/>
        <w:spacing w:after="0" w:line="277" w:lineRule="auto"/>
        <w:tabs>
          <w:tab w:leader="none" w:pos="1945"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 legal person, including any individual, corporation, estate, partnership, joint venture, association, joint-stock company, limited liability company or trust.</w:t>
      </w:r>
    </w:p>
    <w:p>
      <w:pPr>
        <w:spacing w:after="0" w:line="189" w:lineRule="exact"/>
        <w:rPr>
          <w:rFonts w:ascii="Arial" w:cs="Arial" w:eastAsia="Arial" w:hAnsi="Arial"/>
          <w:sz w:val="17"/>
          <w:szCs w:val="17"/>
          <w:color w:val="auto"/>
        </w:rPr>
      </w:pPr>
    </w:p>
    <w:p>
      <w:pPr>
        <w:ind w:left="1880" w:hanging="647"/>
        <w:spacing w:after="0"/>
        <w:tabs>
          <w:tab w:leader="none" w:pos="1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Preferred Director</w:t>
      </w:r>
      <w:r>
        <w:rPr>
          <w:rFonts w:ascii="Arial" w:cs="Arial" w:eastAsia="Arial" w:hAnsi="Arial"/>
          <w:sz w:val="17"/>
          <w:szCs w:val="17"/>
          <w:color w:val="auto"/>
        </w:rPr>
        <w:t>” has the meaning set forth in Section 7(c).</w:t>
      </w:r>
    </w:p>
    <w:p>
      <w:pPr>
        <w:spacing w:after="0" w:line="240" w:lineRule="exact"/>
        <w:rPr>
          <w:rFonts w:ascii="Arial" w:cs="Arial" w:eastAsia="Arial" w:hAnsi="Arial"/>
          <w:sz w:val="17"/>
          <w:szCs w:val="17"/>
          <w:color w:val="auto"/>
        </w:rPr>
      </w:pPr>
    </w:p>
    <w:p>
      <w:pPr>
        <w:ind w:left="1860" w:hanging="627"/>
        <w:spacing w:after="0"/>
        <w:tabs>
          <w:tab w:leader="none" w:pos="18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Preferred Stock</w:t>
      </w:r>
      <w:r>
        <w:rPr>
          <w:rFonts w:ascii="Arial" w:cs="Arial" w:eastAsia="Arial" w:hAnsi="Arial"/>
          <w:sz w:val="17"/>
          <w:szCs w:val="17"/>
          <w:color w:val="auto"/>
        </w:rPr>
        <w:t>” means any and all series of preferred stock of the Issuer, including the Designated Preferred Stock.</w:t>
      </w:r>
    </w:p>
    <w:p>
      <w:pPr>
        <w:spacing w:after="0" w:line="240" w:lineRule="exact"/>
        <w:rPr>
          <w:rFonts w:ascii="Arial" w:cs="Arial" w:eastAsia="Arial" w:hAnsi="Arial"/>
          <w:sz w:val="17"/>
          <w:szCs w:val="17"/>
          <w:color w:val="auto"/>
        </w:rPr>
      </w:pPr>
    </w:p>
    <w:p>
      <w:pPr>
        <w:ind w:left="1860" w:hanging="627"/>
        <w:spacing w:after="0"/>
        <w:tabs>
          <w:tab w:leader="none" w:pos="18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Previously Acquired Preferred Shares</w:t>
      </w:r>
      <w:r>
        <w:rPr>
          <w:rFonts w:ascii="Arial" w:cs="Arial" w:eastAsia="Arial" w:hAnsi="Arial"/>
          <w:sz w:val="17"/>
          <w:szCs w:val="17"/>
          <w:color w:val="auto"/>
        </w:rPr>
        <w:t>” has the meaning set forth in the Definitive Agreement.</w:t>
      </w:r>
    </w:p>
    <w:p>
      <w:pPr>
        <w:spacing w:after="0" w:line="240" w:lineRule="exact"/>
        <w:rPr>
          <w:rFonts w:ascii="Arial" w:cs="Arial" w:eastAsia="Arial" w:hAnsi="Arial"/>
          <w:sz w:val="17"/>
          <w:szCs w:val="17"/>
          <w:color w:val="auto"/>
        </w:rPr>
      </w:pPr>
    </w:p>
    <w:p>
      <w:pPr>
        <w:jc w:val="both"/>
        <w:ind w:firstLine="1233"/>
        <w:spacing w:after="0" w:line="264" w:lineRule="auto"/>
        <w:tabs>
          <w:tab w:leader="none" w:pos="1867"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Private Capital</w:t>
      </w:r>
      <w:r>
        <w:rPr>
          <w:rFonts w:ascii="Arial" w:cs="Arial" w:eastAsia="Arial" w:hAnsi="Arial"/>
          <w:sz w:val="17"/>
          <w:szCs w:val="17"/>
          <w:color w:val="auto"/>
        </w:rPr>
        <w:t>” means, if the Issuer is Matching Private Investment Supported (as defined in the Definitive Agreement), the equity capital received by the Issuer or the applicable Affiliate of the Issuer from one or more non-governmental investors in accordance with Section 1.3(m) of the Definitive Agreement.</w:t>
      </w:r>
    </w:p>
    <w:p>
      <w:pPr>
        <w:spacing w:after="0" w:line="201" w:lineRule="exact"/>
        <w:rPr>
          <w:rFonts w:ascii="Arial" w:cs="Arial" w:eastAsia="Arial" w:hAnsi="Arial"/>
          <w:sz w:val="17"/>
          <w:szCs w:val="17"/>
          <w:color w:val="auto"/>
        </w:rPr>
      </w:pPr>
    </w:p>
    <w:p>
      <w:pPr>
        <w:ind w:firstLine="1233"/>
        <w:spacing w:after="0" w:line="277" w:lineRule="auto"/>
        <w:tabs>
          <w:tab w:leader="none" w:pos="1931"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Publicly-traded</w:t>
      </w:r>
      <w:r>
        <w:rPr>
          <w:rFonts w:ascii="Arial" w:cs="Arial" w:eastAsia="Arial" w:hAnsi="Arial"/>
          <w:sz w:val="17"/>
          <w:szCs w:val="17"/>
          <w:color w:val="auto"/>
        </w:rPr>
        <w:t>” means a company that (i) has a class of securities that is traded on a national securities exchange and (ii) is required to file periodic reports with either the Securities and Exchange Commission or its primary federal bank regulator.</w:t>
      </w:r>
    </w:p>
    <w:p>
      <w:pPr>
        <w:spacing w:after="0" w:line="189" w:lineRule="exact"/>
        <w:rPr>
          <w:rFonts w:ascii="Arial" w:cs="Arial" w:eastAsia="Arial" w:hAnsi="Arial"/>
          <w:sz w:val="17"/>
          <w:szCs w:val="17"/>
          <w:color w:val="auto"/>
        </w:rPr>
      </w:pPr>
    </w:p>
    <w:p>
      <w:pPr>
        <w:ind w:firstLine="1233"/>
        <w:spacing w:after="0" w:line="277" w:lineRule="auto"/>
        <w:tabs>
          <w:tab w:leader="none" w:pos="2049"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Small Business Lending</w:t>
      </w:r>
      <w:r>
        <w:rPr>
          <w:rFonts w:ascii="Arial" w:cs="Arial" w:eastAsia="Arial" w:hAnsi="Arial"/>
          <w:sz w:val="17"/>
          <w:szCs w:val="17"/>
          <w:color w:val="auto"/>
        </w:rPr>
        <w:t>” or “</w:t>
      </w:r>
      <w:r>
        <w:rPr>
          <w:rFonts w:ascii="Arial" w:cs="Arial" w:eastAsia="Arial" w:hAnsi="Arial"/>
          <w:sz w:val="17"/>
          <w:szCs w:val="17"/>
          <w:u w:val="single" w:color="auto"/>
          <w:color w:val="auto"/>
        </w:rPr>
        <w:t>QSBL</w:t>
      </w:r>
      <w:r>
        <w:rPr>
          <w:rFonts w:ascii="Arial" w:cs="Arial" w:eastAsia="Arial" w:hAnsi="Arial"/>
          <w:sz w:val="17"/>
          <w:szCs w:val="17"/>
          <w:color w:val="auto"/>
        </w:rPr>
        <w:t>” means, with respect to any particular Dividend Period, the “Quarter-End Adjusted Qualified Small Business Lending” for such Dividend Period set forth in the applicable Supplemental Report.</w:t>
      </w:r>
    </w:p>
    <w:p>
      <w:pPr>
        <w:spacing w:after="0" w:line="189" w:lineRule="exact"/>
        <w:rPr>
          <w:rFonts w:ascii="Arial" w:cs="Arial" w:eastAsia="Arial" w:hAnsi="Arial"/>
          <w:sz w:val="17"/>
          <w:szCs w:val="17"/>
          <w:color w:val="auto"/>
        </w:rPr>
      </w:pPr>
    </w:p>
    <w:p>
      <w:pPr>
        <w:ind w:firstLine="1233"/>
        <w:spacing w:after="0" w:line="277" w:lineRule="auto"/>
        <w:tabs>
          <w:tab w:leader="none" w:pos="2059"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Qualifying Portion Percentage</w:t>
      </w:r>
      <w:r>
        <w:rPr>
          <w:rFonts w:ascii="Arial" w:cs="Arial" w:eastAsia="Arial" w:hAnsi="Arial"/>
          <w:sz w:val="17"/>
          <w:szCs w:val="17"/>
          <w:color w:val="auto"/>
        </w:rPr>
        <w:t>” means, with respect to any particular “Dividend Period, the percentage obtained by dividing (i) the Increase in QSBL for such Dividend Period by (ii) the aggregate Liquidation Amount of then-outstanding Designated Preferred Stock.</w:t>
      </w:r>
    </w:p>
    <w:p>
      <w:pPr>
        <w:spacing w:after="0" w:line="189" w:lineRule="exact"/>
        <w:rPr>
          <w:rFonts w:ascii="Arial" w:cs="Arial" w:eastAsia="Arial" w:hAnsi="Arial"/>
          <w:sz w:val="17"/>
          <w:szCs w:val="17"/>
          <w:color w:val="auto"/>
        </w:rPr>
      </w:pPr>
    </w:p>
    <w:p>
      <w:pPr>
        <w:ind w:firstLine="1233"/>
        <w:spacing w:after="0" w:line="277" w:lineRule="auto"/>
        <w:tabs>
          <w:tab w:leader="none" w:pos="1918"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Savings and Loan Holding Company</w:t>
      </w:r>
      <w:r>
        <w:rPr>
          <w:rFonts w:ascii="Arial" w:cs="Arial" w:eastAsia="Arial" w:hAnsi="Arial"/>
          <w:sz w:val="17"/>
          <w:szCs w:val="17"/>
          <w:color w:val="auto"/>
        </w:rPr>
        <w:t>” means a company registered as such with the Office of Thrift Supervision pursuant to 12 U.S.C. §1467a(b) and the regulations of the Office of Thrift Supervision promulgated thereunder.</w:t>
      </w:r>
    </w:p>
    <w:p>
      <w:pPr>
        <w:spacing w:after="0" w:line="189" w:lineRule="exact"/>
        <w:rPr>
          <w:rFonts w:ascii="Arial" w:cs="Arial" w:eastAsia="Arial" w:hAnsi="Arial"/>
          <w:sz w:val="17"/>
          <w:szCs w:val="17"/>
          <w:color w:val="auto"/>
        </w:rPr>
      </w:pPr>
    </w:p>
    <w:p>
      <w:pPr>
        <w:jc w:val="both"/>
        <w:ind w:firstLine="1233"/>
        <w:spacing w:after="0" w:line="260" w:lineRule="auto"/>
        <w:tabs>
          <w:tab w:leader="none" w:pos="1857"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 Dilution Amount</w:t>
      </w:r>
      <w:r>
        <w:rPr>
          <w:rFonts w:ascii="Arial" w:cs="Arial" w:eastAsia="Arial" w:hAnsi="Arial"/>
          <w:sz w:val="17"/>
          <w:szCs w:val="17"/>
          <w:color w:val="auto"/>
        </w:rPr>
        <w:t>” means the increase in the number of diluted shares outstanding (determined in accordance with GAAP applied on a consistent basis, and as measured from the date of the Issuer’s or MoneyTree’s, as applicable most recent consolidated financial statements prior to the Signing Date) resulting from the grant, vesting or exercise of equity-based compensation to employees and equitably adjusted for any stock split, stock dividend, reverse stock split, reclassification or similar transaction.</w:t>
      </w:r>
    </w:p>
    <w:p>
      <w:pPr>
        <w:spacing w:after="0" w:line="204" w:lineRule="exact"/>
        <w:rPr>
          <w:rFonts w:ascii="Arial" w:cs="Arial" w:eastAsia="Arial" w:hAnsi="Arial"/>
          <w:sz w:val="17"/>
          <w:szCs w:val="17"/>
          <w:color w:val="auto"/>
        </w:rPr>
      </w:pPr>
    </w:p>
    <w:p>
      <w:pPr>
        <w:ind w:left="1860" w:hanging="627"/>
        <w:spacing w:after="0"/>
        <w:tabs>
          <w:tab w:leader="none" w:pos="18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Original Signing Date Tier 1 Capital Amount</w:t>
      </w:r>
      <w:r>
        <w:rPr>
          <w:rFonts w:ascii="Arial" w:cs="Arial" w:eastAsia="Arial" w:hAnsi="Arial"/>
          <w:sz w:val="17"/>
          <w:szCs w:val="17"/>
          <w:color w:val="auto"/>
        </w:rPr>
        <w:t>” means $31,579,357.</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83" w:right="239" w:bottom="1440" w:gutter="0" w:footer="0" w:header="0"/>
        </w:sectPr>
      </w:pPr>
    </w:p>
    <w:bookmarkStart w:id="69" w:name="page70"/>
    <w:bookmarkEnd w:id="69"/>
    <w:p>
      <w:pPr>
        <w:ind w:left="2060" w:hanging="827"/>
        <w:spacing w:after="0"/>
        <w:tabs>
          <w:tab w:leader="none" w:pos="2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Standard Provisions</w:t>
      </w:r>
      <w:r>
        <w:rPr>
          <w:rFonts w:ascii="Arial" w:cs="Arial" w:eastAsia="Arial" w:hAnsi="Arial"/>
          <w:sz w:val="16"/>
          <w:szCs w:val="16"/>
          <w:color w:val="auto"/>
        </w:rPr>
        <w:t>” mean these Standard Provisions that form a part of the Certificate of Designation relating to the Designated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Preferred Stock.</w:t>
      </w:r>
    </w:p>
    <w:p>
      <w:pPr>
        <w:spacing w:after="0" w:line="229" w:lineRule="exact"/>
        <w:rPr>
          <w:sz w:val="20"/>
          <w:szCs w:val="20"/>
          <w:color w:val="auto"/>
        </w:rPr>
      </w:pPr>
    </w:p>
    <w:p>
      <w:pPr>
        <w:ind w:left="1860" w:hanging="627"/>
        <w:spacing w:after="0"/>
        <w:tabs>
          <w:tab w:leader="none" w:pos="1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Supplemental Report</w:t>
      </w:r>
      <w:r>
        <w:rPr>
          <w:rFonts w:ascii="Arial" w:cs="Arial" w:eastAsia="Arial" w:hAnsi="Arial"/>
          <w:sz w:val="16"/>
          <w:szCs w:val="16"/>
          <w:color w:val="auto"/>
        </w:rPr>
        <w:t>” means a Supplemental Report delivered by the Issuer to Treasury pursuant to the Definitive Agreement.</w:t>
      </w:r>
    </w:p>
    <w:p>
      <w:pPr>
        <w:spacing w:after="0" w:line="251" w:lineRule="exact"/>
        <w:rPr>
          <w:rFonts w:ascii="Arial" w:cs="Arial" w:eastAsia="Arial" w:hAnsi="Arial"/>
          <w:sz w:val="16"/>
          <w:szCs w:val="16"/>
          <w:color w:val="auto"/>
        </w:rPr>
      </w:pPr>
    </w:p>
    <w:p>
      <w:pPr>
        <w:ind w:left="1840" w:hanging="607"/>
        <w:spacing w:after="0"/>
        <w:tabs>
          <w:tab w:leader="none" w:pos="18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Tier 1 Dividend Threshold</w:t>
      </w:r>
      <w:r>
        <w:rPr>
          <w:rFonts w:ascii="Arial" w:cs="Arial" w:eastAsia="Arial" w:hAnsi="Arial"/>
          <w:sz w:val="17"/>
          <w:szCs w:val="17"/>
          <w:color w:val="auto"/>
        </w:rPr>
        <w:t>” means, as of any particular date, the result of the following formula:</w:t>
      </w:r>
    </w:p>
    <w:p>
      <w:pPr>
        <w:spacing w:after="0" w:line="240" w:lineRule="exact"/>
        <w:rPr>
          <w:sz w:val="20"/>
          <w:szCs w:val="20"/>
          <w:color w:val="auto"/>
        </w:rPr>
      </w:pPr>
    </w:p>
    <w:p>
      <w:pPr>
        <w:ind w:left="1240" w:right="8500" w:hanging="7"/>
        <w:spacing w:after="0" w:line="535" w:lineRule="auto"/>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A + B – C) * 0.9) – D where:</w:t>
      </w:r>
    </w:p>
    <w:p>
      <w:pPr>
        <w:ind w:left="1240"/>
        <w:spacing w:after="0"/>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6"/>
          <w:szCs w:val="16"/>
          <w:color w:val="auto"/>
        </w:rPr>
        <w:t>Original Signing Date Tier 1 Capital Amount;</w:t>
      </w:r>
    </w:p>
    <w:p>
      <w:pPr>
        <w:spacing w:after="0" w:line="240" w:lineRule="exact"/>
        <w:rPr>
          <w:rFonts w:ascii="Arial" w:cs="Arial" w:eastAsia="Arial" w:hAnsi="Arial"/>
          <w:sz w:val="17"/>
          <w:szCs w:val="17"/>
          <w:color w:val="auto"/>
        </w:rPr>
      </w:pPr>
    </w:p>
    <w:p>
      <w:pPr>
        <w:ind w:left="1240"/>
        <w:spacing w:after="0"/>
        <w:rPr>
          <w:rFonts w:ascii="Arial" w:cs="Arial" w:eastAsia="Arial" w:hAnsi="Arial"/>
          <w:sz w:val="17"/>
          <w:szCs w:val="17"/>
          <w:color w:val="auto"/>
        </w:rPr>
      </w:pPr>
      <w:r>
        <w:rPr>
          <w:rFonts w:ascii="Arial" w:cs="Arial" w:eastAsia="Arial" w:hAnsi="Arial"/>
          <w:sz w:val="17"/>
          <w:szCs w:val="17"/>
          <w:color w:val="auto"/>
        </w:rPr>
        <w:t>B =</w:t>
      </w:r>
      <w:r>
        <w:rPr>
          <w:rFonts w:ascii="Arial" w:cs="Arial" w:eastAsia="Arial" w:hAnsi="Arial"/>
          <w:sz w:val="15"/>
          <w:szCs w:val="15"/>
          <w:color w:val="auto"/>
        </w:rPr>
        <w:t>the aggregate Liquidation Amount of the Designated Preferred Stock issued to Treasury;</w:t>
      </w:r>
    </w:p>
    <w:p>
      <w:pPr>
        <w:spacing w:after="0" w:line="240" w:lineRule="exact"/>
        <w:rPr>
          <w:rFonts w:ascii="Arial" w:cs="Arial" w:eastAsia="Arial" w:hAnsi="Arial"/>
          <w:sz w:val="17"/>
          <w:szCs w:val="17"/>
          <w:color w:val="auto"/>
        </w:rPr>
      </w:pPr>
    </w:p>
    <w:p>
      <w:pPr>
        <w:ind w:left="1240"/>
        <w:spacing w:after="0"/>
        <w:rPr>
          <w:rFonts w:ascii="Arial" w:cs="Arial" w:eastAsia="Arial" w:hAnsi="Arial"/>
          <w:sz w:val="17"/>
          <w:szCs w:val="17"/>
          <w:color w:val="auto"/>
        </w:rPr>
      </w:pPr>
      <w:r>
        <w:rPr>
          <w:rFonts w:ascii="Arial" w:cs="Arial" w:eastAsia="Arial" w:hAnsi="Arial"/>
          <w:sz w:val="17"/>
          <w:szCs w:val="17"/>
          <w:color w:val="auto"/>
        </w:rPr>
        <w:t>C =</w:t>
      </w:r>
      <w:r>
        <w:rPr>
          <w:rFonts w:ascii="Arial" w:cs="Arial" w:eastAsia="Arial" w:hAnsi="Arial"/>
          <w:sz w:val="15"/>
          <w:szCs w:val="15"/>
          <w:color w:val="auto"/>
        </w:rPr>
        <w:t>the aggregate amount of Charge-Offs since the Original Signing Date; and</w:t>
      </w:r>
    </w:p>
    <w:p>
      <w:pPr>
        <w:spacing w:after="0" w:line="240" w:lineRule="exact"/>
        <w:rPr>
          <w:sz w:val="20"/>
          <w:szCs w:val="20"/>
          <w:color w:val="auto"/>
        </w:rPr>
      </w:pPr>
    </w:p>
    <w:p>
      <w:pPr>
        <w:jc w:val="both"/>
        <w:ind w:left="1840" w:hanging="614"/>
        <w:spacing w:after="0" w:line="260" w:lineRule="auto"/>
        <w:tabs>
          <w:tab w:leader="none" w:pos="1820" w:val="left"/>
        </w:tabs>
        <w:rPr>
          <w:sz w:val="20"/>
          <w:szCs w:val="20"/>
          <w:color w:val="auto"/>
        </w:rPr>
      </w:pPr>
      <w:r>
        <w:rPr>
          <w:rFonts w:ascii="Arial" w:cs="Arial" w:eastAsia="Arial" w:hAnsi="Arial"/>
          <w:sz w:val="17"/>
          <w:szCs w:val="17"/>
          <w:color w:val="auto"/>
        </w:rPr>
        <w:t>D =</w:t>
      </w:r>
      <w:r>
        <w:rPr>
          <w:sz w:val="20"/>
          <w:szCs w:val="20"/>
          <w:color w:val="auto"/>
        </w:rPr>
        <w:tab/>
      </w:r>
      <w:r>
        <w:rPr>
          <w:rFonts w:ascii="Arial" w:cs="Arial" w:eastAsia="Arial" w:hAnsi="Arial"/>
          <w:sz w:val="17"/>
          <w:szCs w:val="17"/>
          <w:color w:val="auto"/>
        </w:rPr>
        <w:t>(i) beginning on the first day of the eleventh (11th) Dividend Period, the amount equal to ten percent (10%) of the aggregate Liquidation Amount of the Designated Preferred Stock issued to Treasury as of the Effective Date (without regard to any redemptions of Designated Preferred Stock that may have occurred thereafter) for every one percent (1%) of positive Percentage Change in Qualified Small Business Lending between the ninth (9th) Dividend Period and the Baseline; and</w:t>
      </w:r>
    </w:p>
    <w:p>
      <w:pPr>
        <w:spacing w:after="0" w:line="204" w:lineRule="exact"/>
        <w:rPr>
          <w:sz w:val="20"/>
          <w:szCs w:val="20"/>
          <w:color w:val="auto"/>
        </w:rPr>
      </w:pPr>
    </w:p>
    <w:p>
      <w:pPr>
        <w:ind w:left="2520" w:hanging="671"/>
        <w:spacing w:after="0"/>
        <w:tabs>
          <w:tab w:leader="none" w:pos="25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zero (0) at all other times.</w:t>
      </w:r>
    </w:p>
    <w:p>
      <w:pPr>
        <w:spacing w:after="0" w:line="240" w:lineRule="exact"/>
        <w:rPr>
          <w:rFonts w:ascii="Arial" w:cs="Arial" w:eastAsia="Arial" w:hAnsi="Arial"/>
          <w:sz w:val="17"/>
          <w:szCs w:val="17"/>
          <w:color w:val="auto"/>
        </w:rPr>
      </w:pPr>
    </w:p>
    <w:p>
      <w:pPr>
        <w:jc w:val="both"/>
        <w:ind w:firstLine="1233"/>
        <w:spacing w:after="0" w:line="264" w:lineRule="auto"/>
        <w:tabs>
          <w:tab w:leader="none" w:pos="20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Parity Stock</w:t>
      </w:r>
      <w:r>
        <w:rPr>
          <w:rFonts w:ascii="Arial" w:cs="Arial" w:eastAsia="Arial" w:hAnsi="Arial"/>
          <w:sz w:val="17"/>
          <w:szCs w:val="17"/>
          <w:color w:val="auto"/>
        </w:rPr>
        <w:t>” means, with regard to any matter as to which the holders of Designated Preferred Stock are entitled to vote as specified in Section 7(d) of these Standard Provisions that form a part of the Certificate of Designation, any and all series of Parity Stock upon which like voting rights have been conferred and are exercisable with respect to such matter.</w:t>
      </w:r>
    </w:p>
    <w:p>
      <w:pPr>
        <w:spacing w:after="0" w:line="201" w:lineRule="exact"/>
        <w:rPr>
          <w:sz w:val="20"/>
          <w:szCs w:val="20"/>
          <w:color w:val="auto"/>
        </w:rPr>
      </w:pPr>
    </w:p>
    <w:p>
      <w:pPr>
        <w:ind w:left="620"/>
        <w:spacing w:after="0"/>
        <w:tabs>
          <w:tab w:leader="none" w:pos="1840" w:val="left"/>
        </w:tabs>
        <w:rPr>
          <w:sz w:val="20"/>
          <w:szCs w:val="20"/>
          <w:color w:val="auto"/>
        </w:rPr>
      </w:pPr>
      <w:r>
        <w:rPr>
          <w:rFonts w:ascii="Arial" w:cs="Arial" w:eastAsia="Arial" w:hAnsi="Arial"/>
          <w:sz w:val="17"/>
          <w:szCs w:val="17"/>
          <w:color w:val="auto"/>
        </w:rPr>
        <w:t>Section 3.</w:t>
      </w:r>
      <w:r>
        <w:rPr>
          <w:sz w:val="20"/>
          <w:szCs w:val="20"/>
          <w:color w:val="auto"/>
        </w:rPr>
        <w:tab/>
      </w:r>
      <w:r>
        <w:rPr>
          <w:rFonts w:ascii="Arial" w:cs="Arial" w:eastAsia="Arial" w:hAnsi="Arial"/>
          <w:sz w:val="15"/>
          <w:szCs w:val="15"/>
          <w:u w:val="single" w:color="auto"/>
          <w:color w:val="auto"/>
        </w:rPr>
        <w:t>Dividends</w:t>
      </w:r>
      <w:r>
        <w:rPr>
          <w:rFonts w:ascii="Arial" w:cs="Arial" w:eastAsia="Arial" w:hAnsi="Arial"/>
          <w:sz w:val="15"/>
          <w:szCs w:val="15"/>
          <w:color w:val="auto"/>
        </w:rPr>
        <w:t>.</w:t>
      </w:r>
    </w:p>
    <w:p>
      <w:pPr>
        <w:spacing w:after="0" w:line="240" w:lineRule="exact"/>
        <w:rPr>
          <w:sz w:val="20"/>
          <w:szCs w:val="20"/>
          <w:color w:val="auto"/>
        </w:rPr>
      </w:pPr>
    </w:p>
    <w:p>
      <w:pPr>
        <w:ind w:left="1860" w:hanging="627"/>
        <w:spacing w:after="0"/>
        <w:tabs>
          <w:tab w:leader="none" w:pos="1860"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Rate</w:t>
      </w:r>
      <w:r>
        <w:rPr>
          <w:rFonts w:ascii="Arial" w:cs="Arial" w:eastAsia="Arial" w:hAnsi="Arial"/>
          <w:sz w:val="17"/>
          <w:szCs w:val="17"/>
          <w:color w:val="auto"/>
        </w:rPr>
        <w:t>.</w:t>
      </w:r>
    </w:p>
    <w:p>
      <w:pPr>
        <w:spacing w:after="0" w:line="240" w:lineRule="exact"/>
        <w:rPr>
          <w:rFonts w:ascii="Arial" w:cs="Arial" w:eastAsia="Arial" w:hAnsi="Arial"/>
          <w:sz w:val="17"/>
          <w:szCs w:val="17"/>
          <w:color w:val="auto"/>
        </w:rPr>
      </w:pPr>
    </w:p>
    <w:p>
      <w:pPr>
        <w:ind w:left="2440" w:hanging="591"/>
        <w:spacing w:after="0"/>
        <w:tabs>
          <w:tab w:leader="none" w:pos="24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Applicable Dividend Rate</w:t>
      </w:r>
      <w:r>
        <w:rPr>
          <w:rFonts w:ascii="Arial" w:cs="Arial" w:eastAsia="Arial" w:hAnsi="Arial"/>
          <w:sz w:val="17"/>
          <w:szCs w:val="17"/>
          <w:color w:val="auto"/>
        </w:rPr>
        <w:t>” shall be determined as follows:</w:t>
      </w:r>
    </w:p>
    <w:p>
      <w:pPr>
        <w:spacing w:after="0" w:line="240" w:lineRule="exact"/>
        <w:rPr>
          <w:rFonts w:ascii="Arial" w:cs="Arial" w:eastAsia="Arial" w:hAnsi="Arial"/>
          <w:sz w:val="17"/>
          <w:szCs w:val="17"/>
          <w:color w:val="auto"/>
        </w:rPr>
      </w:pPr>
    </w:p>
    <w:p>
      <w:pPr>
        <w:ind w:left="3080" w:hanging="616"/>
        <w:spacing w:after="0"/>
        <w:tabs>
          <w:tab w:leader="none" w:pos="3080" w:val="left"/>
        </w:tabs>
        <w:numPr>
          <w:ilvl w:val="2"/>
          <w:numId w:val="21"/>
        </w:numPr>
        <w:rPr>
          <w:rFonts w:ascii="Arial" w:cs="Arial" w:eastAsia="Arial" w:hAnsi="Arial"/>
          <w:sz w:val="17"/>
          <w:szCs w:val="17"/>
          <w:color w:val="auto"/>
        </w:rPr>
      </w:pPr>
      <w:r>
        <w:rPr>
          <w:rFonts w:ascii="Arial" w:cs="Arial" w:eastAsia="Arial" w:hAnsi="Arial"/>
          <w:sz w:val="17"/>
          <w:szCs w:val="17"/>
          <w:color w:val="auto"/>
        </w:rPr>
        <w:t>With respect to the Initial Dividend Period, the Applicable Dividend Rate shall be five percent (5%).</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83" w:right="239" w:bottom="1440" w:gutter="0" w:footer="0" w:header="0"/>
        </w:sectPr>
      </w:pPr>
    </w:p>
    <w:bookmarkStart w:id="70" w:name="page71"/>
    <w:bookmarkEnd w:id="70"/>
    <w:p>
      <w:pPr>
        <w:ind w:left="1880" w:hanging="616"/>
        <w:spacing w:after="0" w:line="277" w:lineRule="auto"/>
        <w:tabs>
          <w:tab w:leader="none" w:pos="1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With respect to each of the second (2nd) through the tenth (10th) Dividend Periods, inclusive (in each case, the “</w:t>
      </w:r>
      <w:r>
        <w:rPr>
          <w:rFonts w:ascii="Arial" w:cs="Arial" w:eastAsia="Arial" w:hAnsi="Arial"/>
          <w:sz w:val="17"/>
          <w:szCs w:val="17"/>
          <w:u w:val="single" w:color="auto"/>
          <w:color w:val="auto"/>
        </w:rPr>
        <w:t>Current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Period</w:t>
      </w:r>
      <w:r>
        <w:rPr>
          <w:rFonts w:ascii="Arial" w:cs="Arial" w:eastAsia="Arial" w:hAnsi="Arial"/>
          <w:sz w:val="17"/>
          <w:szCs w:val="17"/>
          <w:color w:val="auto"/>
        </w:rPr>
        <w:t>”), the Applicable Dividend Rate shall be:</w:t>
      </w:r>
    </w:p>
    <w:p>
      <w:pPr>
        <w:spacing w:after="0" w:line="189" w:lineRule="exact"/>
        <w:rPr>
          <w:rFonts w:ascii="Arial" w:cs="Arial" w:eastAsia="Arial" w:hAnsi="Arial"/>
          <w:sz w:val="17"/>
          <w:szCs w:val="17"/>
          <w:color w:val="auto"/>
        </w:rPr>
      </w:pPr>
    </w:p>
    <w:p>
      <w:pPr>
        <w:jc w:val="both"/>
        <w:ind w:left="1260" w:firstLine="619"/>
        <w:spacing w:after="0" w:line="264" w:lineRule="auto"/>
        <w:tabs>
          <w:tab w:leader="none" w:pos="2606" w:val="left"/>
        </w:tabs>
        <w:numPr>
          <w:ilvl w:val="1"/>
          <w:numId w:val="22"/>
        </w:numPr>
        <w:rPr>
          <w:rFonts w:ascii="Arial" w:cs="Arial" w:eastAsia="Arial" w:hAnsi="Arial"/>
          <w:sz w:val="17"/>
          <w:szCs w:val="17"/>
          <w:color w:val="auto"/>
        </w:rPr>
      </w:pPr>
      <w:r>
        <w:rPr>
          <w:rFonts w:ascii="Arial" w:cs="Arial" w:eastAsia="Arial" w:hAnsi="Arial"/>
          <w:sz w:val="17"/>
          <w:szCs w:val="17"/>
          <w:color w:val="auto"/>
        </w:rPr>
        <w:t>(x) the applicable rate set forth in column “A” of the table in Section 3(a)(iii), based on the Percentage Change in QSBL between the Dividend Period that was two Dividend Periods prior to the Current Period (the “</w:t>
      </w:r>
      <w:r>
        <w:rPr>
          <w:rFonts w:ascii="Arial" w:cs="Arial" w:eastAsia="Arial" w:hAnsi="Arial"/>
          <w:sz w:val="17"/>
          <w:szCs w:val="17"/>
          <w:u w:val="single" w:color="auto"/>
          <w:color w:val="auto"/>
        </w:rPr>
        <w:t>Dividend Reference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Period</w:t>
      </w:r>
      <w:r>
        <w:rPr>
          <w:rFonts w:ascii="Arial" w:cs="Arial" w:eastAsia="Arial" w:hAnsi="Arial"/>
          <w:sz w:val="17"/>
          <w:szCs w:val="17"/>
          <w:color w:val="auto"/>
        </w:rPr>
        <w:t>”) and the Baseline, multiplied by (y) the Qualifying Portion Percentage; plus</w:t>
      </w:r>
    </w:p>
    <w:p>
      <w:pPr>
        <w:spacing w:after="0" w:line="201" w:lineRule="exact"/>
        <w:rPr>
          <w:rFonts w:ascii="Arial" w:cs="Arial" w:eastAsia="Arial" w:hAnsi="Arial"/>
          <w:sz w:val="17"/>
          <w:szCs w:val="17"/>
          <w:color w:val="auto"/>
        </w:rPr>
      </w:pPr>
    </w:p>
    <w:p>
      <w:pPr>
        <w:ind w:left="2580" w:hanging="701"/>
        <w:spacing w:after="0"/>
        <w:tabs>
          <w:tab w:leader="none" w:pos="25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(x) five percent (5%) multiplied by (y) the Non-Qualifying Portion Percentage.</w:t>
      </w:r>
    </w:p>
    <w:p>
      <w:pPr>
        <w:spacing w:after="0" w:line="240" w:lineRule="exact"/>
        <w:rPr>
          <w:sz w:val="20"/>
          <w:szCs w:val="20"/>
          <w:color w:val="auto"/>
        </w:rPr>
      </w:pPr>
    </w:p>
    <w:p>
      <w:pPr>
        <w:ind w:left="1260"/>
        <w:spacing w:after="0" w:line="277" w:lineRule="auto"/>
        <w:rPr>
          <w:sz w:val="20"/>
          <w:szCs w:val="20"/>
          <w:color w:val="auto"/>
        </w:rPr>
      </w:pPr>
      <w:r>
        <w:rPr>
          <w:rFonts w:ascii="Arial" w:cs="Arial" w:eastAsia="Arial" w:hAnsi="Arial"/>
          <w:sz w:val="17"/>
          <w:szCs w:val="17"/>
          <w:color w:val="auto"/>
        </w:rPr>
        <w:t>In each such case, the Applicable Dividend Rate shall be determined at the time the Issuer delivers a complete and accurate Supplemental Report to Treasury with respect to the Dividend Reference Period.</w:t>
      </w:r>
    </w:p>
    <w:p>
      <w:pPr>
        <w:spacing w:after="0" w:line="190" w:lineRule="exact"/>
        <w:rPr>
          <w:sz w:val="20"/>
          <w:szCs w:val="20"/>
          <w:color w:val="auto"/>
        </w:rPr>
      </w:pPr>
    </w:p>
    <w:p>
      <w:pPr>
        <w:jc w:val="both"/>
        <w:ind w:left="1880" w:hanging="616"/>
        <w:spacing w:after="0" w:line="264" w:lineRule="auto"/>
        <w:tabs>
          <w:tab w:leader="none" w:pos="1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With respect to the eleventh (11th) through the eighteenth (18th) Dividend Periods, inclusive, and that portion of the nineteenth (19th) Dividend Period prior to, but not including, the four and one half (4½) year anniversary of the Original Issue Date, the Applicable Dividend Rate shall be:</w:t>
      </w:r>
    </w:p>
    <w:p>
      <w:pPr>
        <w:spacing w:after="0" w:line="201" w:lineRule="exact"/>
        <w:rPr>
          <w:rFonts w:ascii="Arial" w:cs="Arial" w:eastAsia="Arial" w:hAnsi="Arial"/>
          <w:sz w:val="17"/>
          <w:szCs w:val="17"/>
          <w:color w:val="auto"/>
        </w:rPr>
      </w:pPr>
    </w:p>
    <w:p>
      <w:pPr>
        <w:jc w:val="both"/>
        <w:ind w:left="1260" w:firstLine="619"/>
        <w:spacing w:after="0" w:line="264" w:lineRule="auto"/>
        <w:tabs>
          <w:tab w:leader="none" w:pos="2611" w:val="left"/>
        </w:tabs>
        <w:numPr>
          <w:ilvl w:val="1"/>
          <w:numId w:val="23"/>
        </w:numPr>
        <w:rPr>
          <w:rFonts w:ascii="Arial" w:cs="Arial" w:eastAsia="Arial" w:hAnsi="Arial"/>
          <w:sz w:val="17"/>
          <w:szCs w:val="17"/>
          <w:color w:val="auto"/>
        </w:rPr>
      </w:pPr>
      <w:r>
        <w:rPr>
          <w:rFonts w:ascii="Arial" w:cs="Arial" w:eastAsia="Arial" w:hAnsi="Arial"/>
          <w:sz w:val="17"/>
          <w:szCs w:val="17"/>
          <w:color w:val="auto"/>
        </w:rPr>
        <w:t>(x) the applicable rate set forth in column “B” of the table in Section 3(a)(iii), based on the Percentage Change in QSBL between the ninth (9th) Dividend Period and the Baseline, multiplied by (y) the Qualifying Portion Percentage, calculated as of the last day of the ninth (9th) Dividend Period; plus</w:t>
      </w:r>
    </w:p>
    <w:p>
      <w:pPr>
        <w:spacing w:after="0" w:line="201" w:lineRule="exact"/>
        <w:rPr>
          <w:rFonts w:ascii="Arial" w:cs="Arial" w:eastAsia="Arial" w:hAnsi="Arial"/>
          <w:sz w:val="17"/>
          <w:szCs w:val="17"/>
          <w:color w:val="auto"/>
        </w:rPr>
      </w:pPr>
    </w:p>
    <w:p>
      <w:pPr>
        <w:ind w:left="1260" w:firstLine="619"/>
        <w:spacing w:after="0" w:line="277" w:lineRule="auto"/>
        <w:tabs>
          <w:tab w:leader="none" w:pos="2623" w:val="left"/>
        </w:tabs>
        <w:numPr>
          <w:ilvl w:val="1"/>
          <w:numId w:val="23"/>
        </w:numPr>
        <w:rPr>
          <w:rFonts w:ascii="Arial" w:cs="Arial" w:eastAsia="Arial" w:hAnsi="Arial"/>
          <w:sz w:val="17"/>
          <w:szCs w:val="17"/>
          <w:color w:val="auto"/>
        </w:rPr>
      </w:pPr>
      <w:r>
        <w:rPr>
          <w:rFonts w:ascii="Arial" w:cs="Arial" w:eastAsia="Arial" w:hAnsi="Arial"/>
          <w:sz w:val="17"/>
          <w:szCs w:val="17"/>
          <w:color w:val="auto"/>
        </w:rPr>
        <w:t>(x) five percent (5%) multiplied by (y) the Non-Qualifying Portion Percentage, calculated as of the last day of the ninth (9th) Dividend Period.</w:t>
      </w:r>
    </w:p>
    <w:p>
      <w:pPr>
        <w:spacing w:after="0" w:line="190" w:lineRule="exact"/>
        <w:rPr>
          <w:sz w:val="20"/>
          <w:szCs w:val="20"/>
          <w:color w:val="auto"/>
        </w:rPr>
      </w:pPr>
    </w:p>
    <w:p>
      <w:pPr>
        <w:ind w:left="1260"/>
        <w:spacing w:after="0" w:line="277" w:lineRule="auto"/>
        <w:rPr>
          <w:sz w:val="20"/>
          <w:szCs w:val="20"/>
          <w:color w:val="auto"/>
        </w:rPr>
      </w:pPr>
      <w:r>
        <w:rPr>
          <w:rFonts w:ascii="Arial" w:cs="Arial" w:eastAsia="Arial" w:hAnsi="Arial"/>
          <w:sz w:val="17"/>
          <w:szCs w:val="17"/>
          <w:color w:val="auto"/>
        </w:rPr>
        <w:t>In such case, the Applicable Dividend Rate shall be determined at the time the Issuer delivers a complete and accurate Supplemental Report to Treasury with respect to the ninth (9th) Dividend Period.</w:t>
      </w:r>
    </w:p>
    <w:p>
      <w:pPr>
        <w:spacing w:after="0" w:line="190" w:lineRule="exact"/>
        <w:rPr>
          <w:sz w:val="20"/>
          <w:szCs w:val="20"/>
          <w:color w:val="auto"/>
        </w:rPr>
      </w:pPr>
    </w:p>
    <w:p>
      <w:pPr>
        <w:jc w:val="both"/>
        <w:ind w:left="1880" w:hanging="616"/>
        <w:spacing w:after="0" w:line="264" w:lineRule="auto"/>
        <w:tabs>
          <w:tab w:leader="none" w:pos="1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With respect to (A) that portion of the nineteenth (19th) Dividend Period beginning on the four and one half (4½) year anniversary of the Original Issue Date and (B) all Dividend Periods thereafter, the Applicable Dividend Rate shall be nine percent (9%).</w:t>
      </w:r>
    </w:p>
    <w:p>
      <w:pPr>
        <w:spacing w:after="0" w:line="201" w:lineRule="exact"/>
        <w:rPr>
          <w:rFonts w:ascii="Arial" w:cs="Arial" w:eastAsia="Arial" w:hAnsi="Arial"/>
          <w:sz w:val="17"/>
          <w:szCs w:val="17"/>
          <w:color w:val="auto"/>
        </w:rPr>
      </w:pPr>
    </w:p>
    <w:p>
      <w:pPr>
        <w:jc w:val="both"/>
        <w:ind w:left="1880" w:hanging="616"/>
        <w:spacing w:after="0" w:line="260" w:lineRule="auto"/>
        <w:tabs>
          <w:tab w:leader="none" w:pos="1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Notwithstanding anything herein to the contrary, if the Issuer fails to submit a Supplemental Report that is due during any of the second (2nd) through tenth (10th) Dividend Periods on or before the sixtieth (60th) day of such Dividend Period, the Issuer’s QSBL for the Dividend Period that would have been covered by such Supplemental Report shall be zero (0) for purposes hereof.</w:t>
      </w:r>
    </w:p>
    <w:p>
      <w:pPr>
        <w:spacing w:after="0" w:line="200" w:lineRule="exact"/>
        <w:rPr>
          <w:sz w:val="20"/>
          <w:szCs w:val="20"/>
          <w:color w:val="auto"/>
        </w:rPr>
      </w:pPr>
    </w:p>
    <w:p>
      <w:pPr>
        <w:spacing w:after="0" w:line="209"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13970</wp:posOffset>
            </wp:positionV>
            <wp:extent cx="72536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0220"/>
          </w:cols>
          <w:pgMar w:left="1440" w:top="883" w:right="239" w:bottom="1440" w:gutter="0" w:footer="0" w:header="0"/>
        </w:sectPr>
      </w:pPr>
    </w:p>
    <w:bookmarkStart w:id="71" w:name="page72"/>
    <w:bookmarkEnd w:id="71"/>
    <w:p>
      <w:pPr>
        <w:jc w:val="both"/>
        <w:ind w:left="3080" w:hanging="616"/>
        <w:spacing w:after="0" w:line="278" w:lineRule="auto"/>
        <w:tabs>
          <w:tab w:leader="none" w:pos="30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Notwithstanding anything herein to the contrary, but subject to Section 3(a)(i)(5) above, if the Issuer fails to submit the Supplemental Report that is due during the tenth (10th) Dividend Period, the Issuer’s QSBL for the shall be zero (0) for purposes of calculating the Applicable Dividend Rate pursuant to Section 3(a)(i)(3) and (4). The Applicable Dividend Rate shall be re-determined effective as of the first day of the calendar quarter following the date such failure is remedied, provided it is remedied prior to the four and one half (4½) anniversary of the Original Issue Date.</w:t>
      </w:r>
    </w:p>
    <w:p>
      <w:pPr>
        <w:spacing w:after="0" w:line="190" w:lineRule="exact"/>
        <w:rPr>
          <w:rFonts w:ascii="Arial" w:cs="Arial" w:eastAsia="Arial" w:hAnsi="Arial"/>
          <w:sz w:val="16"/>
          <w:szCs w:val="16"/>
          <w:color w:val="auto"/>
        </w:rPr>
      </w:pPr>
    </w:p>
    <w:p>
      <w:pPr>
        <w:jc w:val="both"/>
        <w:ind w:left="3080" w:hanging="616"/>
        <w:spacing w:after="0" w:line="293" w:lineRule="auto"/>
        <w:tabs>
          <w:tab w:leader="none" w:pos="3080" w:val="left"/>
        </w:tabs>
        <w:numPr>
          <w:ilvl w:val="1"/>
          <w:numId w:val="25"/>
        </w:numPr>
        <w:rPr>
          <w:rFonts w:ascii="Arial" w:cs="Arial" w:eastAsia="Arial" w:hAnsi="Arial"/>
          <w:sz w:val="15"/>
          <w:szCs w:val="15"/>
          <w:color w:val="auto"/>
        </w:rPr>
      </w:pPr>
      <w:r>
        <w:rPr>
          <w:rFonts w:ascii="Arial" w:cs="Arial" w:eastAsia="Arial" w:hAnsi="Arial"/>
          <w:sz w:val="15"/>
          <w:szCs w:val="15"/>
          <w:color w:val="auto"/>
        </w:rPr>
        <w:t>Notwithstanding anything herein on the contrary, if the Issuer fails to submit any of the certificates required by Sections 3.1(d)(ii) or 3.1(d)(iii) of the Definitive Agreement when and as required thereby, the Issuer’s QSBL for the shall be zero</w:t>
      </w:r>
    </w:p>
    <w:p>
      <w:pPr>
        <w:ind w:left="3080"/>
        <w:spacing w:after="0" w:line="263" w:lineRule="auto"/>
        <w:rPr>
          <w:rFonts w:ascii="Arial" w:cs="Arial" w:eastAsia="Arial" w:hAnsi="Arial"/>
          <w:sz w:val="15"/>
          <w:szCs w:val="15"/>
          <w:color w:val="auto"/>
        </w:rPr>
      </w:pPr>
      <w:r>
        <w:rPr>
          <w:rFonts w:ascii="Arial" w:cs="Arial" w:eastAsia="Arial" w:hAnsi="Arial"/>
          <w:sz w:val="17"/>
          <w:szCs w:val="17"/>
          <w:color w:val="auto"/>
        </w:rPr>
        <w:t>(0) for purposes of calculating the Applicable Dividend Rate pursuant to Section 3(a)(1)(2) or (3) above until such failure is remedied.</w:t>
      </w:r>
    </w:p>
    <w:p>
      <w:pPr>
        <w:spacing w:after="0" w:line="201" w:lineRule="exact"/>
        <w:rPr>
          <w:rFonts w:ascii="Arial" w:cs="Arial" w:eastAsia="Arial" w:hAnsi="Arial"/>
          <w:sz w:val="15"/>
          <w:szCs w:val="15"/>
          <w:color w:val="auto"/>
        </w:rPr>
      </w:pPr>
    </w:p>
    <w:p>
      <w:pPr>
        <w:ind w:left="620" w:firstLine="1229"/>
        <w:spacing w:after="0" w:line="277" w:lineRule="auto"/>
        <w:tabs>
          <w:tab w:leader="none" w:pos="255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Percentage Change in Qualified Lending</w:t>
      </w:r>
      <w:r>
        <w:rPr>
          <w:rFonts w:ascii="Arial" w:cs="Arial" w:eastAsia="Arial" w:hAnsi="Arial"/>
          <w:sz w:val="17"/>
          <w:szCs w:val="17"/>
          <w:color w:val="auto"/>
        </w:rPr>
        <w:t>” between any given Dividend Period and the Baseline shall be the result of the following formula, expressed as a percentage:</w:t>
      </w:r>
    </w:p>
    <w:p>
      <w:pPr>
        <w:spacing w:after="0" w:line="164" w:lineRule="exact"/>
        <w:rPr>
          <w:sz w:val="20"/>
          <w:szCs w:val="20"/>
          <w:color w:val="auto"/>
        </w:rPr>
      </w:pPr>
    </w:p>
    <w:tbl>
      <w:tblPr>
        <w:tblLayout w:type="fixed"/>
        <w:tblInd w:w="4940" w:type="dxa"/>
        <w:tblCellMar>
          <w:top w:w="0" w:type="dxa"/>
          <w:left w:w="0" w:type="dxa"/>
          <w:bottom w:w="0" w:type="dxa"/>
          <w:right w:w="0" w:type="dxa"/>
        </w:tblCellMar>
      </w:tblPr>
      <w:tr>
        <w:trPr>
          <w:trHeight w:val="306"/>
        </w:trPr>
        <w:tc>
          <w:tcPr>
            <w:tcW w:w="200" w:type="dxa"/>
            <w:vAlign w:val="bottom"/>
            <w:vMerge w:val="restart"/>
          </w:tcPr>
          <w:p>
            <w:pPr>
              <w:jc w:val="right"/>
              <w:spacing w:after="0"/>
              <w:rPr>
                <w:sz w:val="20"/>
                <w:szCs w:val="20"/>
                <w:color w:val="auto"/>
              </w:rPr>
            </w:pPr>
            <w:r>
              <w:rPr>
                <w:rFonts w:ascii="Arial" w:cs="Arial" w:eastAsia="Arial" w:hAnsi="Arial"/>
                <w:sz w:val="62"/>
                <w:szCs w:val="62"/>
                <w:color w:val="auto"/>
                <w:w w:val="86"/>
              </w:rPr>
              <w:t>(</w:t>
            </w:r>
          </w:p>
        </w:tc>
        <w:tc>
          <w:tcPr>
            <w:tcW w:w="5140" w:type="dxa"/>
            <w:vAlign w:val="bottom"/>
          </w:tcPr>
          <w:p>
            <w:pPr>
              <w:jc w:val="center"/>
              <w:spacing w:after="0"/>
              <w:rPr>
                <w:sz w:val="20"/>
                <w:szCs w:val="20"/>
                <w:color w:val="auto"/>
              </w:rPr>
            </w:pPr>
            <w:r>
              <w:rPr>
                <w:rFonts w:ascii="Arial" w:cs="Arial" w:eastAsia="Arial" w:hAnsi="Arial"/>
                <w:sz w:val="17"/>
                <w:szCs w:val="17"/>
                <w:color w:val="auto"/>
                <w:w w:val="93"/>
              </w:rPr>
              <w:t>( QSBL for the Dividend Period – Baseline )</w:t>
            </w:r>
          </w:p>
        </w:tc>
        <w:tc>
          <w:tcPr>
            <w:tcW w:w="200" w:type="dxa"/>
            <w:vAlign w:val="bottom"/>
            <w:vMerge w:val="restart"/>
          </w:tcPr>
          <w:p>
            <w:pPr>
              <w:jc w:val="right"/>
              <w:spacing w:after="0"/>
              <w:rPr>
                <w:sz w:val="20"/>
                <w:szCs w:val="20"/>
                <w:color w:val="auto"/>
              </w:rPr>
            </w:pPr>
            <w:r>
              <w:rPr>
                <w:rFonts w:ascii="Arial" w:cs="Arial" w:eastAsia="Arial" w:hAnsi="Arial"/>
                <w:sz w:val="62"/>
                <w:szCs w:val="62"/>
                <w:color w:val="auto"/>
                <w:w w:val="86"/>
              </w:rPr>
              <w:t>)</w:t>
            </w:r>
          </w:p>
        </w:tc>
        <w:tc>
          <w:tcPr>
            <w:tcW w:w="0" w:type="dxa"/>
            <w:vAlign w:val="bottom"/>
          </w:tcPr>
          <w:p>
            <w:pPr>
              <w:spacing w:after="0"/>
              <w:rPr>
                <w:sz w:val="1"/>
                <w:szCs w:val="1"/>
                <w:color w:val="auto"/>
              </w:rPr>
            </w:pPr>
          </w:p>
        </w:tc>
      </w:tr>
      <w:tr>
        <w:trPr>
          <w:trHeight w:val="84"/>
        </w:trPr>
        <w:tc>
          <w:tcPr>
            <w:tcW w:w="200" w:type="dxa"/>
            <w:vAlign w:val="bottom"/>
            <w:vMerge w:val="continue"/>
          </w:tcPr>
          <w:p>
            <w:pPr>
              <w:spacing w:after="0"/>
              <w:rPr>
                <w:sz w:val="7"/>
                <w:szCs w:val="7"/>
                <w:color w:val="auto"/>
              </w:rPr>
            </w:pPr>
          </w:p>
        </w:tc>
        <w:tc>
          <w:tcPr>
            <w:tcW w:w="5140" w:type="dxa"/>
            <w:vAlign w:val="bottom"/>
            <w:tcBorders>
              <w:bottom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6"/>
        </w:trPr>
        <w:tc>
          <w:tcPr>
            <w:tcW w:w="200" w:type="dxa"/>
            <w:vAlign w:val="bottom"/>
            <w:vMerge w:val="continue"/>
          </w:tcPr>
          <w:p>
            <w:pPr>
              <w:spacing w:after="0"/>
              <w:rPr>
                <w:sz w:val="24"/>
                <w:szCs w:val="24"/>
                <w:color w:val="auto"/>
              </w:rPr>
            </w:pPr>
          </w:p>
        </w:tc>
        <w:tc>
          <w:tcPr>
            <w:tcW w:w="5140" w:type="dxa"/>
            <w:vAlign w:val="bottom"/>
          </w:tcPr>
          <w:p>
            <w:pPr>
              <w:jc w:val="center"/>
              <w:spacing w:after="0"/>
              <w:rPr>
                <w:sz w:val="20"/>
                <w:szCs w:val="20"/>
                <w:color w:val="auto"/>
              </w:rPr>
            </w:pPr>
            <w:r>
              <w:rPr>
                <w:rFonts w:ascii="Arial" w:cs="Arial" w:eastAsia="Arial" w:hAnsi="Arial"/>
                <w:sz w:val="17"/>
                <w:szCs w:val="17"/>
                <w:color w:val="auto"/>
                <w:w w:val="88"/>
              </w:rPr>
              <w:t>Baseline</w:t>
            </w:r>
          </w:p>
        </w:tc>
        <w:tc>
          <w:tcPr>
            <w:tcW w:w="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440" w:hanging="591"/>
        <w:spacing w:after="0"/>
        <w:tabs>
          <w:tab w:leader="none" w:pos="24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following table shall be used for determining the Applicable Dividend Rate:</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80" w:type="dxa"/>
            <w:vAlign w:val="bottom"/>
            <w:tcBorders>
              <w:top w:val="single" w:sz="8" w:color="auto"/>
              <w:left w:val="single" w:sz="8" w:color="auto"/>
            </w:tcBorders>
          </w:tcPr>
          <w:p>
            <w:pPr>
              <w:spacing w:after="0"/>
              <w:rPr>
                <w:sz w:val="16"/>
                <w:szCs w:val="16"/>
                <w:color w:val="auto"/>
              </w:rPr>
            </w:pPr>
          </w:p>
        </w:tc>
        <w:tc>
          <w:tcPr>
            <w:tcW w:w="3360" w:type="dxa"/>
            <w:vAlign w:val="bottom"/>
            <w:tcBorders>
              <w:top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5320" w:type="dxa"/>
            <w:vAlign w:val="bottom"/>
            <w:tcBorders>
              <w:top w:val="single" w:sz="8" w:color="auto"/>
              <w:right w:val="single" w:sz="8" w:color="auto"/>
            </w:tcBorders>
            <w:gridSpan w:val="13"/>
          </w:tcPr>
          <w:p>
            <w:pPr>
              <w:ind w:left="140"/>
              <w:spacing w:after="0" w:line="193" w:lineRule="exact"/>
              <w:rPr>
                <w:sz w:val="20"/>
                <w:szCs w:val="20"/>
                <w:color w:val="auto"/>
              </w:rPr>
            </w:pPr>
            <w:r>
              <w:rPr>
                <w:rFonts w:ascii="Arial" w:cs="Arial" w:eastAsia="Arial" w:hAnsi="Arial"/>
                <w:sz w:val="17"/>
                <w:szCs w:val="17"/>
                <w:color w:val="auto"/>
              </w:rPr>
              <w:t>The Applicable Dividend Rate shall be:</w:t>
            </w:r>
          </w:p>
        </w:tc>
        <w:tc>
          <w:tcPr>
            <w:tcW w:w="0" w:type="dxa"/>
            <w:vAlign w:val="bottom"/>
          </w:tcPr>
          <w:p>
            <w:pPr>
              <w:spacing w:after="0"/>
              <w:rPr>
                <w:sz w:val="1"/>
                <w:szCs w:val="1"/>
                <w:color w:val="auto"/>
              </w:rPr>
            </w:pPr>
          </w:p>
        </w:tc>
      </w:tr>
      <w:tr>
        <w:trPr>
          <w:trHeight w:val="21"/>
        </w:trPr>
        <w:tc>
          <w:tcPr>
            <w:tcW w:w="180" w:type="dxa"/>
            <w:vAlign w:val="bottom"/>
            <w:tcBorders>
              <w:left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260" w:type="dxa"/>
            <w:vAlign w:val="bottom"/>
            <w:gridSpan w:val="4"/>
            <w:vMerge w:val="restart"/>
          </w:tcPr>
          <w:p>
            <w:pPr>
              <w:jc w:val="center"/>
              <w:ind w:right="1460"/>
              <w:spacing w:after="0" w:line="170" w:lineRule="exact"/>
              <w:rPr>
                <w:sz w:val="20"/>
                <w:szCs w:val="20"/>
                <w:color w:val="auto"/>
              </w:rPr>
            </w:pPr>
            <w:r>
              <w:rPr>
                <w:rFonts w:ascii="Arial" w:cs="Arial" w:eastAsia="Arial" w:hAnsi="Arial"/>
                <w:sz w:val="17"/>
                <w:szCs w:val="17"/>
                <w:color w:val="auto"/>
                <w:w w:val="93"/>
              </w:rPr>
              <w:t>Column “A”</w:t>
            </w:r>
          </w:p>
        </w:tc>
        <w:tc>
          <w:tcPr>
            <w:tcW w:w="20" w:type="dxa"/>
            <w:vAlign w:val="bottom"/>
          </w:tcPr>
          <w:p>
            <w:pPr>
              <w:spacing w:after="0" w:line="20" w:lineRule="exact"/>
              <w:rPr>
                <w:sz w:val="1"/>
                <w:szCs w:val="1"/>
                <w:color w:val="auto"/>
              </w:rPr>
            </w:pPr>
          </w:p>
        </w:tc>
        <w:tc>
          <w:tcPr>
            <w:tcW w:w="12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300" w:type="dxa"/>
            <w:vAlign w:val="bottom"/>
            <w:gridSpan w:val="6"/>
            <w:vMerge w:val="restart"/>
          </w:tcPr>
          <w:p>
            <w:pPr>
              <w:jc w:val="center"/>
              <w:ind w:right="1440"/>
              <w:spacing w:after="0" w:line="170" w:lineRule="exact"/>
              <w:rPr>
                <w:sz w:val="20"/>
                <w:szCs w:val="20"/>
                <w:color w:val="auto"/>
              </w:rPr>
            </w:pPr>
            <w:r>
              <w:rPr>
                <w:rFonts w:ascii="Arial" w:cs="Arial" w:eastAsia="Arial" w:hAnsi="Arial"/>
                <w:sz w:val="17"/>
                <w:szCs w:val="17"/>
                <w:color w:val="auto"/>
                <w:w w:val="99"/>
              </w:rPr>
              <w:t>Column “B”</w:t>
            </w: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33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6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260" w:type="dxa"/>
            <w:vAlign w:val="bottom"/>
            <w:gridSpan w:val="4"/>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4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2300" w:type="dxa"/>
            <w:vAlign w:val="bottom"/>
            <w:gridSpan w:val="6"/>
            <w:vMerge w:val="continue"/>
          </w:tcPr>
          <w:p>
            <w:pPr>
              <w:spacing w:after="0"/>
              <w:rPr>
                <w:sz w:val="12"/>
                <w:szCs w:val="12"/>
                <w:color w:val="auto"/>
              </w:rPr>
            </w:pPr>
          </w:p>
        </w:tc>
        <w:tc>
          <w:tcPr>
            <w:tcW w:w="40" w:type="dxa"/>
            <w:vAlign w:val="bottom"/>
            <w:tcBorders>
              <w:right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840" w:type="dxa"/>
            <w:vAlign w:val="bottom"/>
            <w:tcBorders>
              <w:left w:val="single" w:sz="8" w:color="auto"/>
              <w:right w:val="single" w:sz="8" w:color="auto"/>
            </w:tcBorders>
            <w:gridSpan w:val="3"/>
            <w:vMerge w:val="restart"/>
          </w:tcPr>
          <w:p>
            <w:pPr>
              <w:ind w:left="180"/>
              <w:spacing w:after="0"/>
              <w:rPr>
                <w:sz w:val="20"/>
                <w:szCs w:val="20"/>
                <w:color w:val="auto"/>
              </w:rPr>
            </w:pPr>
            <w:r>
              <w:rPr>
                <w:rFonts w:ascii="Arial" w:cs="Arial" w:eastAsia="Arial" w:hAnsi="Arial"/>
                <w:sz w:val="17"/>
                <w:szCs w:val="17"/>
                <w:color w:val="auto"/>
                <w:w w:val="97"/>
              </w:rPr>
              <w:t>If the Percentage Change in Qualified Lending is:</w:t>
            </w: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center"/>
              <w:spacing w:after="0" w:line="185" w:lineRule="exact"/>
              <w:rPr>
                <w:sz w:val="20"/>
                <w:szCs w:val="20"/>
                <w:color w:val="auto"/>
              </w:rPr>
            </w:pPr>
            <w:r>
              <w:rPr>
                <w:rFonts w:ascii="Arial" w:cs="Arial" w:eastAsia="Arial" w:hAnsi="Arial"/>
                <w:sz w:val="17"/>
                <w:szCs w:val="17"/>
                <w:color w:val="auto"/>
                <w:w w:val="86"/>
              </w:rPr>
              <w:t>(each of the</w:t>
            </w:r>
          </w:p>
        </w:tc>
        <w:tc>
          <w:tcPr>
            <w:tcW w:w="1500" w:type="dxa"/>
            <w:vAlign w:val="bottom"/>
            <w:gridSpan w:val="3"/>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6"/>
          </w:tcPr>
          <w:p>
            <w:pPr>
              <w:jc w:val="center"/>
              <w:ind w:right="1320"/>
              <w:spacing w:after="0" w:line="185" w:lineRule="exact"/>
              <w:rPr>
                <w:sz w:val="20"/>
                <w:szCs w:val="20"/>
                <w:color w:val="auto"/>
              </w:rPr>
            </w:pPr>
            <w:r>
              <w:rPr>
                <w:rFonts w:ascii="Arial" w:cs="Arial" w:eastAsia="Arial" w:hAnsi="Arial"/>
                <w:sz w:val="17"/>
                <w:szCs w:val="17"/>
                <w:color w:val="auto"/>
                <w:w w:val="79"/>
              </w:rPr>
              <w:t>(11th – 18th and</w:t>
            </w:r>
          </w:p>
        </w:tc>
        <w:tc>
          <w:tcPr>
            <w:tcW w:w="40" w:type="dxa"/>
            <w:vAlign w:val="bottom"/>
            <w:tcBorders>
              <w:right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40" w:type="dxa"/>
            <w:vAlign w:val="bottom"/>
            <w:tcBorders>
              <w:left w:val="single" w:sz="8" w:color="auto"/>
              <w:right w:val="single" w:sz="8" w:color="auto"/>
            </w:tcBorders>
            <w:gridSpan w:val="3"/>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3840" w:type="dxa"/>
            <w:vAlign w:val="bottom"/>
            <w:tcBorders>
              <w:left w:val="single" w:sz="8" w:color="auto"/>
              <w:right w:val="single" w:sz="8" w:color="auto"/>
            </w:tcBorders>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vMerge w:val="restart"/>
          </w:tcPr>
          <w:p>
            <w:pPr>
              <w:jc w:val="center"/>
              <w:spacing w:after="0" w:line="185" w:lineRule="exact"/>
              <w:rPr>
                <w:sz w:val="20"/>
                <w:szCs w:val="20"/>
                <w:color w:val="auto"/>
              </w:rPr>
            </w:pPr>
            <w:r>
              <w:rPr>
                <w:rFonts w:ascii="Arial" w:cs="Arial" w:eastAsia="Arial" w:hAnsi="Arial"/>
                <w:sz w:val="17"/>
                <w:szCs w:val="17"/>
                <w:color w:val="auto"/>
                <w:w w:val="92"/>
              </w:rPr>
              <w:t>2nd – 10th</w:t>
            </w:r>
          </w:p>
        </w:tc>
        <w:tc>
          <w:tcPr>
            <w:tcW w:w="1500" w:type="dxa"/>
            <w:vAlign w:val="bottom"/>
            <w:gridSpan w:val="3"/>
            <w:vMerge w:val="restart"/>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240" w:type="dxa"/>
            <w:vAlign w:val="bottom"/>
            <w:vMerge w:val="restart"/>
          </w:tcPr>
          <w:p>
            <w:pPr>
              <w:spacing w:after="0"/>
              <w:rPr>
                <w:sz w:val="6"/>
                <w:szCs w:val="6"/>
                <w:color w:val="auto"/>
              </w:rPr>
            </w:pPr>
          </w:p>
        </w:tc>
        <w:tc>
          <w:tcPr>
            <w:tcW w:w="1280" w:type="dxa"/>
            <w:vAlign w:val="bottom"/>
            <w:gridSpan w:val="6"/>
            <w:vMerge w:val="restart"/>
          </w:tcPr>
          <w:p>
            <w:pPr>
              <w:jc w:val="center"/>
              <w:spacing w:after="0" w:line="185" w:lineRule="exact"/>
              <w:rPr>
                <w:sz w:val="20"/>
                <w:szCs w:val="20"/>
                <w:color w:val="auto"/>
              </w:rPr>
            </w:pPr>
            <w:r>
              <w:rPr>
                <w:rFonts w:ascii="Arial" w:cs="Arial" w:eastAsia="Arial" w:hAnsi="Arial"/>
                <w:sz w:val="17"/>
                <w:szCs w:val="17"/>
                <w:color w:val="auto"/>
                <w:w w:val="93"/>
              </w:rPr>
              <w:t>the first part of the</w:t>
            </w:r>
          </w:p>
        </w:tc>
        <w:tc>
          <w:tcPr>
            <w:tcW w:w="1240" w:type="dxa"/>
            <w:vAlign w:val="bottom"/>
            <w:vMerge w:val="restart"/>
          </w:tcPr>
          <w:p>
            <w:pPr>
              <w:spacing w:after="0"/>
              <w:rPr>
                <w:sz w:val="6"/>
                <w:szCs w:val="6"/>
                <w:color w:val="auto"/>
              </w:rPr>
            </w:pPr>
          </w:p>
        </w:tc>
        <w:tc>
          <w:tcPr>
            <w:tcW w:w="40" w:type="dxa"/>
            <w:vAlign w:val="bottom"/>
            <w:tcBorders>
              <w:right w:val="single" w:sz="8" w:color="auto"/>
            </w:tcBorders>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80" w:type="dxa"/>
            <w:vAlign w:val="bottom"/>
            <w:tcBorders>
              <w:left w:val="single" w:sz="8" w:color="auto"/>
            </w:tcBorders>
          </w:tcPr>
          <w:p>
            <w:pPr>
              <w:spacing w:after="0"/>
              <w:rPr>
                <w:sz w:val="8"/>
                <w:szCs w:val="8"/>
                <w:color w:val="auto"/>
              </w:rPr>
            </w:pPr>
          </w:p>
        </w:tc>
        <w:tc>
          <w:tcPr>
            <w:tcW w:w="3360" w:type="dxa"/>
            <w:vAlign w:val="bottom"/>
            <w:tcBorders>
              <w:top w:val="single" w:sz="8" w:color="auto"/>
            </w:tcBorders>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1500" w:type="dxa"/>
            <w:vAlign w:val="bottom"/>
            <w:gridSpan w:val="3"/>
            <w:vMerge w:val="continue"/>
          </w:tcPr>
          <w:p>
            <w:pPr>
              <w:spacing w:after="0"/>
              <w:rPr>
                <w:sz w:val="8"/>
                <w:szCs w:val="8"/>
                <w:color w:val="auto"/>
              </w:rPr>
            </w:pPr>
          </w:p>
        </w:tc>
        <w:tc>
          <w:tcPr>
            <w:tcW w:w="20" w:type="dxa"/>
            <w:vAlign w:val="bottom"/>
            <w:tcBorders>
              <w:top w:val="single" w:sz="8" w:color="auto"/>
              <w:bottom w:val="single" w:sz="8" w:color="auto"/>
            </w:tcBorders>
            <w:shd w:val="clear" w:color="auto" w:fill="000000"/>
          </w:tcPr>
          <w:p>
            <w:pPr>
              <w:spacing w:after="0"/>
              <w:rPr>
                <w:sz w:val="8"/>
                <w:szCs w:val="8"/>
                <w:color w:val="auto"/>
              </w:rPr>
            </w:pPr>
          </w:p>
        </w:tc>
        <w:tc>
          <w:tcPr>
            <w:tcW w:w="1240" w:type="dxa"/>
            <w:vAlign w:val="bottom"/>
            <w:vMerge w:val="continue"/>
          </w:tcPr>
          <w:p>
            <w:pPr>
              <w:spacing w:after="0"/>
              <w:rPr>
                <w:sz w:val="8"/>
                <w:szCs w:val="8"/>
                <w:color w:val="auto"/>
              </w:rPr>
            </w:pPr>
          </w:p>
        </w:tc>
        <w:tc>
          <w:tcPr>
            <w:tcW w:w="1280" w:type="dxa"/>
            <w:vAlign w:val="bottom"/>
            <w:tcBorders>
              <w:bottom w:val="single" w:sz="8" w:color="auto"/>
            </w:tcBorders>
            <w:gridSpan w:val="6"/>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40" w:type="dxa"/>
            <w:vAlign w:val="bottom"/>
            <w:tcBorders>
              <w:top w:val="single" w:sz="8" w:color="auto"/>
              <w:bottom w:val="single" w:sz="8" w:color="auto"/>
              <w:right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80" w:type="dxa"/>
            <w:vAlign w:val="bottom"/>
            <w:tcBorders>
              <w:left w:val="single" w:sz="8" w:color="auto"/>
            </w:tcBorders>
          </w:tcPr>
          <w:p>
            <w:pPr>
              <w:spacing w:after="0"/>
              <w:rPr>
                <w:sz w:val="16"/>
                <w:szCs w:val="16"/>
                <w:color w:val="auto"/>
              </w:rPr>
            </w:pPr>
          </w:p>
        </w:tc>
        <w:tc>
          <w:tcPr>
            <w:tcW w:w="336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2520" w:type="dxa"/>
            <w:vAlign w:val="bottom"/>
            <w:gridSpan w:val="5"/>
          </w:tcPr>
          <w:p>
            <w:pPr>
              <w:jc w:val="center"/>
              <w:ind w:right="1260"/>
              <w:spacing w:after="0" w:line="185" w:lineRule="exact"/>
              <w:rPr>
                <w:sz w:val="20"/>
                <w:szCs w:val="20"/>
                <w:color w:val="auto"/>
              </w:rPr>
            </w:pPr>
            <w:r>
              <w:rPr>
                <w:rFonts w:ascii="Arial" w:cs="Arial" w:eastAsia="Arial" w:hAnsi="Arial"/>
                <w:sz w:val="17"/>
                <w:szCs w:val="17"/>
                <w:color w:val="auto"/>
                <w:w w:val="93"/>
              </w:rPr>
              <w:t>Dividend Periods)</w:t>
            </w:r>
          </w:p>
        </w:tc>
        <w:tc>
          <w:tcPr>
            <w:tcW w:w="20" w:type="dxa"/>
            <w:vAlign w:val="bottom"/>
            <w:shd w:val="clear" w:color="auto" w:fill="000000"/>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6"/>
          </w:tcPr>
          <w:p>
            <w:pPr>
              <w:jc w:val="center"/>
              <w:ind w:right="1380"/>
              <w:spacing w:after="0" w:line="185" w:lineRule="exact"/>
              <w:rPr>
                <w:sz w:val="20"/>
                <w:szCs w:val="20"/>
                <w:color w:val="auto"/>
              </w:rPr>
            </w:pPr>
            <w:r>
              <w:rPr>
                <w:rFonts w:ascii="Arial" w:cs="Arial" w:eastAsia="Arial" w:hAnsi="Arial"/>
                <w:sz w:val="17"/>
                <w:szCs w:val="17"/>
                <w:color w:val="auto"/>
                <w:w w:val="88"/>
              </w:rPr>
              <w:t>19th Dividend</w:t>
            </w:r>
          </w:p>
        </w:tc>
        <w:tc>
          <w:tcPr>
            <w:tcW w:w="40" w:type="dxa"/>
            <w:vAlign w:val="bottom"/>
            <w:tcBorders>
              <w:right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80" w:type="dxa"/>
            <w:vAlign w:val="bottom"/>
            <w:tcBorders>
              <w:left w:val="single" w:sz="8" w:color="auto"/>
            </w:tcBorders>
          </w:tcPr>
          <w:p>
            <w:pPr>
              <w:spacing w:after="0"/>
              <w:rPr>
                <w:sz w:val="16"/>
                <w:szCs w:val="16"/>
                <w:color w:val="auto"/>
              </w:rPr>
            </w:pPr>
          </w:p>
        </w:tc>
        <w:tc>
          <w:tcPr>
            <w:tcW w:w="336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3"/>
          </w:tcPr>
          <w:p>
            <w:pPr>
              <w:jc w:val="center"/>
              <w:ind w:right="280"/>
              <w:spacing w:after="0" w:line="185" w:lineRule="exact"/>
              <w:rPr>
                <w:sz w:val="20"/>
                <w:szCs w:val="20"/>
                <w:color w:val="auto"/>
              </w:rPr>
            </w:pPr>
            <w:r>
              <w:rPr>
                <w:rFonts w:ascii="Arial" w:cs="Arial" w:eastAsia="Arial" w:hAnsi="Arial"/>
                <w:sz w:val="17"/>
                <w:szCs w:val="17"/>
                <w:color w:val="auto"/>
                <w:w w:val="88"/>
              </w:rPr>
              <w:t>Periods)</w:t>
            </w:r>
          </w:p>
        </w:tc>
        <w:tc>
          <w:tcPr>
            <w:tcW w:w="1320" w:type="dxa"/>
            <w:vAlign w:val="bottom"/>
            <w:gridSpan w:val="2"/>
          </w:tcPr>
          <w:p>
            <w:pPr>
              <w:spacing w:after="0"/>
              <w:rPr>
                <w:sz w:val="16"/>
                <w:szCs w:val="16"/>
                <w:color w:val="auto"/>
              </w:rPr>
            </w:pPr>
          </w:p>
        </w:tc>
        <w:tc>
          <w:tcPr>
            <w:tcW w:w="40" w:type="dxa"/>
            <w:vAlign w:val="bottom"/>
            <w:tcBorders>
              <w:top w:val="single" w:sz="8" w:color="auto"/>
              <w:right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80" w:type="dxa"/>
            <w:vAlign w:val="bottom"/>
            <w:tcBorders>
              <w:left w:val="single" w:sz="8" w:color="auto"/>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shd w:val="clear" w:color="auto" w:fill="000000"/>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top w:val="single" w:sz="8" w:color="auto"/>
              <w:bottom w:val="single" w:sz="8" w:color="auto"/>
              <w:right w:val="single" w:sz="8" w:color="auto"/>
            </w:tcBorders>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840" w:type="dxa"/>
            <w:vAlign w:val="bottom"/>
            <w:tcBorders>
              <w:left w:val="single" w:sz="8" w:color="auto"/>
              <w:bottom w:val="single" w:sz="8" w:color="auto"/>
              <w:right w:val="single" w:sz="8" w:color="auto"/>
            </w:tcBorders>
            <w:gridSpan w:val="3"/>
          </w:tcPr>
          <w:p>
            <w:pPr>
              <w:ind w:left="180"/>
              <w:spacing w:after="0"/>
              <w:rPr>
                <w:sz w:val="20"/>
                <w:szCs w:val="20"/>
                <w:color w:val="auto"/>
              </w:rPr>
            </w:pPr>
            <w:r>
              <w:rPr>
                <w:rFonts w:ascii="Arial" w:cs="Arial" w:eastAsia="Arial" w:hAnsi="Arial"/>
                <w:sz w:val="17"/>
                <w:szCs w:val="17"/>
                <w:color w:val="auto"/>
              </w:rPr>
              <w:t>0% or less</w:t>
            </w:r>
          </w:p>
        </w:tc>
        <w:tc>
          <w:tcPr>
            <w:tcW w:w="2280" w:type="dxa"/>
            <w:vAlign w:val="bottom"/>
            <w:tcBorders>
              <w:bottom w:val="single" w:sz="8" w:color="auto"/>
            </w:tcBorders>
            <w:gridSpan w:val="3"/>
          </w:tcPr>
          <w:p>
            <w:pPr>
              <w:jc w:val="center"/>
              <w:ind w:left="1415"/>
              <w:spacing w:after="0"/>
              <w:rPr>
                <w:sz w:val="20"/>
                <w:szCs w:val="20"/>
                <w:color w:val="auto"/>
              </w:rPr>
            </w:pPr>
            <w:r>
              <w:rPr>
                <w:rFonts w:ascii="Arial" w:cs="Arial" w:eastAsia="Arial" w:hAnsi="Arial"/>
                <w:sz w:val="17"/>
                <w:szCs w:val="17"/>
                <w:color w:val="auto"/>
                <w:w w:val="89"/>
              </w:rPr>
              <w:t>5%</w:t>
            </w: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2160" w:type="dxa"/>
            <w:vAlign w:val="bottom"/>
            <w:tcBorders>
              <w:bottom w:val="single" w:sz="8" w:color="auto"/>
            </w:tcBorders>
            <w:gridSpan w:val="4"/>
          </w:tcPr>
          <w:p>
            <w:pPr>
              <w:jc w:val="center"/>
              <w:ind w:left="1515"/>
              <w:spacing w:after="0"/>
              <w:rPr>
                <w:sz w:val="20"/>
                <w:szCs w:val="20"/>
                <w:color w:val="auto"/>
              </w:rPr>
            </w:pPr>
            <w:r>
              <w:rPr>
                <w:rFonts w:ascii="Arial" w:cs="Arial" w:eastAsia="Arial" w:hAnsi="Arial"/>
                <w:sz w:val="17"/>
                <w:szCs w:val="17"/>
                <w:color w:val="auto"/>
                <w:w w:val="97"/>
              </w:rPr>
              <w:t>7%</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40" w:type="dxa"/>
            <w:vAlign w:val="bottom"/>
            <w:tcBorders>
              <w:left w:val="single" w:sz="8" w:color="auto"/>
              <w:bottom w:val="single" w:sz="8" w:color="auto"/>
              <w:right w:val="single" w:sz="8" w:color="auto"/>
            </w:tcBorders>
            <w:gridSpan w:val="3"/>
          </w:tcPr>
          <w:p>
            <w:pPr>
              <w:ind w:left="180"/>
              <w:spacing w:after="0"/>
              <w:rPr>
                <w:sz w:val="20"/>
                <w:szCs w:val="20"/>
                <w:color w:val="auto"/>
              </w:rPr>
            </w:pPr>
            <w:r>
              <w:rPr>
                <w:rFonts w:ascii="Arial" w:cs="Arial" w:eastAsia="Arial" w:hAnsi="Arial"/>
                <w:sz w:val="17"/>
                <w:szCs w:val="17"/>
                <w:color w:val="auto"/>
              </w:rPr>
              <w:t>More than 0%, but less than 2.5%</w:t>
            </w:r>
          </w:p>
        </w:tc>
        <w:tc>
          <w:tcPr>
            <w:tcW w:w="2280" w:type="dxa"/>
            <w:vAlign w:val="bottom"/>
            <w:tcBorders>
              <w:bottom w:val="single" w:sz="8" w:color="auto"/>
            </w:tcBorders>
            <w:gridSpan w:val="3"/>
          </w:tcPr>
          <w:p>
            <w:pPr>
              <w:jc w:val="center"/>
              <w:ind w:left="1415"/>
              <w:spacing w:after="0"/>
              <w:rPr>
                <w:sz w:val="20"/>
                <w:szCs w:val="20"/>
                <w:color w:val="auto"/>
              </w:rPr>
            </w:pPr>
            <w:r>
              <w:rPr>
                <w:rFonts w:ascii="Arial" w:cs="Arial" w:eastAsia="Arial" w:hAnsi="Arial"/>
                <w:sz w:val="17"/>
                <w:szCs w:val="17"/>
                <w:color w:val="auto"/>
                <w:w w:val="89"/>
              </w:rPr>
              <w:t>5%</w:t>
            </w: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2160" w:type="dxa"/>
            <w:vAlign w:val="bottom"/>
            <w:tcBorders>
              <w:bottom w:val="single" w:sz="8" w:color="auto"/>
            </w:tcBorders>
            <w:gridSpan w:val="4"/>
          </w:tcPr>
          <w:p>
            <w:pPr>
              <w:jc w:val="center"/>
              <w:ind w:left="1515"/>
              <w:spacing w:after="0"/>
              <w:rPr>
                <w:sz w:val="20"/>
                <w:szCs w:val="20"/>
                <w:color w:val="auto"/>
              </w:rPr>
            </w:pPr>
            <w:r>
              <w:rPr>
                <w:rFonts w:ascii="Arial" w:cs="Arial" w:eastAsia="Arial" w:hAnsi="Arial"/>
                <w:sz w:val="17"/>
                <w:szCs w:val="17"/>
                <w:color w:val="auto"/>
                <w:w w:val="97"/>
              </w:rPr>
              <w:t>5%</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40" w:type="dxa"/>
            <w:vAlign w:val="bottom"/>
            <w:tcBorders>
              <w:left w:val="single" w:sz="8" w:color="auto"/>
              <w:bottom w:val="single" w:sz="8" w:color="auto"/>
              <w:right w:val="single" w:sz="8" w:color="auto"/>
            </w:tcBorders>
            <w:gridSpan w:val="3"/>
          </w:tcPr>
          <w:p>
            <w:pPr>
              <w:ind w:left="180"/>
              <w:spacing w:after="0"/>
              <w:rPr>
                <w:sz w:val="20"/>
                <w:szCs w:val="20"/>
                <w:color w:val="auto"/>
              </w:rPr>
            </w:pPr>
            <w:r>
              <w:rPr>
                <w:rFonts w:ascii="Arial" w:cs="Arial" w:eastAsia="Arial" w:hAnsi="Arial"/>
                <w:sz w:val="17"/>
                <w:szCs w:val="17"/>
                <w:color w:val="auto"/>
              </w:rPr>
              <w:t>2.5% or more, but less than 5%</w:t>
            </w:r>
          </w:p>
        </w:tc>
        <w:tc>
          <w:tcPr>
            <w:tcW w:w="2280" w:type="dxa"/>
            <w:vAlign w:val="bottom"/>
            <w:tcBorders>
              <w:bottom w:val="single" w:sz="8" w:color="auto"/>
            </w:tcBorders>
            <w:gridSpan w:val="3"/>
          </w:tcPr>
          <w:p>
            <w:pPr>
              <w:jc w:val="center"/>
              <w:ind w:left="1415"/>
              <w:spacing w:after="0"/>
              <w:rPr>
                <w:sz w:val="20"/>
                <w:szCs w:val="20"/>
                <w:color w:val="auto"/>
              </w:rPr>
            </w:pPr>
            <w:r>
              <w:rPr>
                <w:rFonts w:ascii="Arial" w:cs="Arial" w:eastAsia="Arial" w:hAnsi="Arial"/>
                <w:sz w:val="17"/>
                <w:szCs w:val="17"/>
                <w:color w:val="auto"/>
                <w:w w:val="89"/>
              </w:rPr>
              <w:t>4%</w:t>
            </w: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2160" w:type="dxa"/>
            <w:vAlign w:val="bottom"/>
            <w:tcBorders>
              <w:bottom w:val="single" w:sz="8" w:color="auto"/>
            </w:tcBorders>
            <w:gridSpan w:val="4"/>
          </w:tcPr>
          <w:p>
            <w:pPr>
              <w:jc w:val="center"/>
              <w:ind w:left="1515"/>
              <w:spacing w:after="0"/>
              <w:rPr>
                <w:sz w:val="20"/>
                <w:szCs w:val="20"/>
                <w:color w:val="auto"/>
              </w:rPr>
            </w:pPr>
            <w:r>
              <w:rPr>
                <w:rFonts w:ascii="Arial" w:cs="Arial" w:eastAsia="Arial" w:hAnsi="Arial"/>
                <w:sz w:val="17"/>
                <w:szCs w:val="17"/>
                <w:color w:val="auto"/>
                <w:w w:val="97"/>
              </w:rPr>
              <w:t>4%</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40" w:type="dxa"/>
            <w:vAlign w:val="bottom"/>
            <w:tcBorders>
              <w:left w:val="single" w:sz="8" w:color="auto"/>
              <w:bottom w:val="single" w:sz="8" w:color="auto"/>
              <w:right w:val="single" w:sz="8" w:color="auto"/>
            </w:tcBorders>
            <w:gridSpan w:val="3"/>
          </w:tcPr>
          <w:p>
            <w:pPr>
              <w:ind w:left="180"/>
              <w:spacing w:after="0"/>
              <w:rPr>
                <w:sz w:val="20"/>
                <w:szCs w:val="20"/>
                <w:color w:val="auto"/>
              </w:rPr>
            </w:pPr>
            <w:r>
              <w:rPr>
                <w:rFonts w:ascii="Arial" w:cs="Arial" w:eastAsia="Arial" w:hAnsi="Arial"/>
                <w:sz w:val="17"/>
                <w:szCs w:val="17"/>
                <w:color w:val="auto"/>
              </w:rPr>
              <w:t>5% or more, but less than 7.5%</w:t>
            </w:r>
          </w:p>
        </w:tc>
        <w:tc>
          <w:tcPr>
            <w:tcW w:w="2280" w:type="dxa"/>
            <w:vAlign w:val="bottom"/>
            <w:tcBorders>
              <w:bottom w:val="single" w:sz="8" w:color="auto"/>
            </w:tcBorders>
            <w:gridSpan w:val="3"/>
          </w:tcPr>
          <w:p>
            <w:pPr>
              <w:jc w:val="center"/>
              <w:ind w:left="1415"/>
              <w:spacing w:after="0"/>
              <w:rPr>
                <w:sz w:val="20"/>
                <w:szCs w:val="20"/>
                <w:color w:val="auto"/>
              </w:rPr>
            </w:pPr>
            <w:r>
              <w:rPr>
                <w:rFonts w:ascii="Arial" w:cs="Arial" w:eastAsia="Arial" w:hAnsi="Arial"/>
                <w:sz w:val="17"/>
                <w:szCs w:val="17"/>
                <w:color w:val="auto"/>
                <w:w w:val="89"/>
              </w:rPr>
              <w:t>3%</w:t>
            </w: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2160" w:type="dxa"/>
            <w:vAlign w:val="bottom"/>
            <w:tcBorders>
              <w:bottom w:val="single" w:sz="8" w:color="auto"/>
            </w:tcBorders>
            <w:gridSpan w:val="4"/>
          </w:tcPr>
          <w:p>
            <w:pPr>
              <w:jc w:val="center"/>
              <w:ind w:left="1515"/>
              <w:spacing w:after="0"/>
              <w:rPr>
                <w:sz w:val="20"/>
                <w:szCs w:val="20"/>
                <w:color w:val="auto"/>
              </w:rPr>
            </w:pPr>
            <w:r>
              <w:rPr>
                <w:rFonts w:ascii="Arial" w:cs="Arial" w:eastAsia="Arial" w:hAnsi="Arial"/>
                <w:sz w:val="17"/>
                <w:szCs w:val="17"/>
                <w:color w:val="auto"/>
                <w:w w:val="97"/>
              </w:rPr>
              <w:t>3%</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40" w:type="dxa"/>
            <w:vAlign w:val="bottom"/>
            <w:tcBorders>
              <w:left w:val="single" w:sz="8" w:color="auto"/>
              <w:bottom w:val="single" w:sz="8" w:color="auto"/>
              <w:right w:val="single" w:sz="8" w:color="auto"/>
            </w:tcBorders>
            <w:gridSpan w:val="3"/>
          </w:tcPr>
          <w:p>
            <w:pPr>
              <w:ind w:left="180"/>
              <w:spacing w:after="0"/>
              <w:rPr>
                <w:sz w:val="20"/>
                <w:szCs w:val="20"/>
                <w:color w:val="auto"/>
              </w:rPr>
            </w:pPr>
            <w:r>
              <w:rPr>
                <w:rFonts w:ascii="Arial" w:cs="Arial" w:eastAsia="Arial" w:hAnsi="Arial"/>
                <w:sz w:val="17"/>
                <w:szCs w:val="17"/>
                <w:color w:val="auto"/>
              </w:rPr>
              <w:t>7.5% or more, but less than 10%</w:t>
            </w:r>
          </w:p>
        </w:tc>
        <w:tc>
          <w:tcPr>
            <w:tcW w:w="2280" w:type="dxa"/>
            <w:vAlign w:val="bottom"/>
            <w:tcBorders>
              <w:bottom w:val="single" w:sz="8" w:color="auto"/>
            </w:tcBorders>
            <w:gridSpan w:val="3"/>
          </w:tcPr>
          <w:p>
            <w:pPr>
              <w:jc w:val="center"/>
              <w:ind w:left="1415"/>
              <w:spacing w:after="0"/>
              <w:rPr>
                <w:sz w:val="20"/>
                <w:szCs w:val="20"/>
                <w:color w:val="auto"/>
              </w:rPr>
            </w:pPr>
            <w:r>
              <w:rPr>
                <w:rFonts w:ascii="Arial" w:cs="Arial" w:eastAsia="Arial" w:hAnsi="Arial"/>
                <w:sz w:val="17"/>
                <w:szCs w:val="17"/>
                <w:color w:val="auto"/>
                <w:w w:val="89"/>
              </w:rPr>
              <w:t>2%</w:t>
            </w: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2160" w:type="dxa"/>
            <w:vAlign w:val="bottom"/>
            <w:tcBorders>
              <w:bottom w:val="single" w:sz="8" w:color="auto"/>
            </w:tcBorders>
            <w:gridSpan w:val="4"/>
          </w:tcPr>
          <w:p>
            <w:pPr>
              <w:jc w:val="center"/>
              <w:ind w:left="1515"/>
              <w:spacing w:after="0"/>
              <w:rPr>
                <w:sz w:val="20"/>
                <w:szCs w:val="20"/>
                <w:color w:val="auto"/>
              </w:rPr>
            </w:pPr>
            <w:r>
              <w:rPr>
                <w:rFonts w:ascii="Arial" w:cs="Arial" w:eastAsia="Arial" w:hAnsi="Arial"/>
                <w:sz w:val="17"/>
                <w:szCs w:val="17"/>
                <w:color w:val="auto"/>
                <w:w w:val="97"/>
              </w:rPr>
              <w:t>2%</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40" w:type="dxa"/>
            <w:vAlign w:val="bottom"/>
            <w:tcBorders>
              <w:left w:val="single" w:sz="8" w:color="auto"/>
              <w:bottom w:val="single" w:sz="8" w:color="auto"/>
              <w:right w:val="single" w:sz="8" w:color="auto"/>
            </w:tcBorders>
            <w:gridSpan w:val="3"/>
          </w:tcPr>
          <w:p>
            <w:pPr>
              <w:ind w:left="180"/>
              <w:spacing w:after="0"/>
              <w:rPr>
                <w:sz w:val="20"/>
                <w:szCs w:val="20"/>
                <w:color w:val="auto"/>
              </w:rPr>
            </w:pPr>
            <w:r>
              <w:rPr>
                <w:rFonts w:ascii="Arial" w:cs="Arial" w:eastAsia="Arial" w:hAnsi="Arial"/>
                <w:sz w:val="17"/>
                <w:szCs w:val="17"/>
                <w:color w:val="auto"/>
              </w:rPr>
              <w:t>10% or more</w:t>
            </w:r>
          </w:p>
        </w:tc>
        <w:tc>
          <w:tcPr>
            <w:tcW w:w="2280" w:type="dxa"/>
            <w:vAlign w:val="bottom"/>
            <w:tcBorders>
              <w:bottom w:val="single" w:sz="8" w:color="auto"/>
            </w:tcBorders>
            <w:gridSpan w:val="3"/>
          </w:tcPr>
          <w:p>
            <w:pPr>
              <w:jc w:val="center"/>
              <w:ind w:left="1415"/>
              <w:spacing w:after="0"/>
              <w:rPr>
                <w:sz w:val="20"/>
                <w:szCs w:val="20"/>
                <w:color w:val="auto"/>
              </w:rPr>
            </w:pPr>
            <w:r>
              <w:rPr>
                <w:rFonts w:ascii="Arial" w:cs="Arial" w:eastAsia="Arial" w:hAnsi="Arial"/>
                <w:sz w:val="17"/>
                <w:szCs w:val="17"/>
                <w:color w:val="auto"/>
                <w:w w:val="89"/>
              </w:rPr>
              <w:t>1%</w:t>
            </w: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2160" w:type="dxa"/>
            <w:vAlign w:val="bottom"/>
            <w:tcBorders>
              <w:bottom w:val="single" w:sz="8" w:color="auto"/>
            </w:tcBorders>
            <w:gridSpan w:val="4"/>
          </w:tcPr>
          <w:p>
            <w:pPr>
              <w:jc w:val="center"/>
              <w:ind w:left="1515"/>
              <w:spacing w:after="0"/>
              <w:rPr>
                <w:sz w:val="20"/>
                <w:szCs w:val="20"/>
                <w:color w:val="auto"/>
              </w:rPr>
            </w:pPr>
            <w:r>
              <w:rPr>
                <w:rFonts w:ascii="Arial" w:cs="Arial" w:eastAsia="Arial" w:hAnsi="Arial"/>
                <w:sz w:val="17"/>
                <w:szCs w:val="17"/>
                <w:color w:val="auto"/>
                <w:w w:val="97"/>
              </w:rPr>
              <w:t>1%</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640"/>
        </w:trPr>
        <w:tc>
          <w:tcPr>
            <w:tcW w:w="180" w:type="dxa"/>
            <w:vAlign w:val="bottom"/>
            <w:tcBorders>
              <w:bottom w:val="single" w:sz="8" w:color="DCDCDC"/>
            </w:tcBorders>
          </w:tcPr>
          <w:p>
            <w:pPr>
              <w:spacing w:after="0"/>
              <w:rPr>
                <w:sz w:val="24"/>
                <w:szCs w:val="24"/>
                <w:color w:val="auto"/>
              </w:rPr>
            </w:pPr>
          </w:p>
        </w:tc>
        <w:tc>
          <w:tcPr>
            <w:tcW w:w="336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126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2260" w:type="dxa"/>
            <w:vAlign w:val="bottom"/>
            <w:tcBorders>
              <w:bottom w:val="single" w:sz="8" w:color="DCDCDC"/>
            </w:tcBorders>
            <w:gridSpan w:val="4"/>
          </w:tcPr>
          <w:p>
            <w:pPr>
              <w:jc w:val="center"/>
              <w:ind w:right="1560"/>
              <w:spacing w:after="0"/>
              <w:rPr>
                <w:sz w:val="20"/>
                <w:szCs w:val="20"/>
                <w:color w:val="auto"/>
              </w:rPr>
            </w:pPr>
            <w:r>
              <w:rPr>
                <w:rFonts w:ascii="Arial" w:cs="Arial" w:eastAsia="Arial" w:hAnsi="Arial"/>
                <w:sz w:val="17"/>
                <w:szCs w:val="17"/>
                <w:color w:val="auto"/>
                <w:w w:val="98"/>
              </w:rPr>
              <w:t>A-7</w:t>
            </w:r>
          </w:p>
        </w:tc>
        <w:tc>
          <w:tcPr>
            <w:tcW w:w="20" w:type="dxa"/>
            <w:vAlign w:val="bottom"/>
            <w:tcBorders>
              <w:bottom w:val="single" w:sz="8" w:color="DCDCDC"/>
            </w:tcBorders>
          </w:tcPr>
          <w:p>
            <w:pPr>
              <w:spacing w:after="0"/>
              <w:rPr>
                <w:sz w:val="24"/>
                <w:szCs w:val="24"/>
                <w:color w:val="auto"/>
              </w:rPr>
            </w:pPr>
          </w:p>
        </w:tc>
        <w:tc>
          <w:tcPr>
            <w:tcW w:w="124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24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3" w:right="239" w:bottom="1440" w:gutter="0" w:footer="0" w:header="0"/>
        </w:sectPr>
      </w:pPr>
    </w:p>
    <w:bookmarkStart w:id="72" w:name="page73"/>
    <w:bookmarkEnd w:id="72"/>
    <w:p>
      <w:pPr>
        <w:jc w:val="both"/>
        <w:ind w:left="620" w:firstLine="1229"/>
        <w:spacing w:after="0" w:line="264" w:lineRule="auto"/>
        <w:tabs>
          <w:tab w:leader="none" w:pos="2790" w:val="left"/>
        </w:tabs>
        <w:numPr>
          <w:ilvl w:val="1"/>
          <w:numId w:val="28"/>
        </w:numPr>
        <w:rPr>
          <w:rFonts w:ascii="Arial" w:cs="Arial" w:eastAsia="Arial" w:hAnsi="Arial"/>
          <w:sz w:val="17"/>
          <w:szCs w:val="17"/>
          <w:color w:val="auto"/>
        </w:rPr>
      </w:pPr>
      <w:r>
        <w:rPr>
          <w:rFonts w:ascii="Arial" w:cs="Arial" w:eastAsia="Arial" w:hAnsi="Arial"/>
          <w:sz w:val="17"/>
          <w:szCs w:val="17"/>
          <w:color w:val="auto"/>
        </w:rPr>
        <w:t>If the Issuer consummates a Business Combination, a purchase of loans or a purchase of participations in loans and the Designated Preferred Stock remains outstanding thereafter, then the Baseline shall thereafter be the “Quarter-End Adjusted Small Business Lending Baseline” set forth on the Quarterly Supplemental Report (as defined in the Definitive Agreement).</w:t>
      </w:r>
    </w:p>
    <w:p>
      <w:pPr>
        <w:spacing w:after="0" w:line="201" w:lineRule="exact"/>
        <w:rPr>
          <w:rFonts w:ascii="Arial" w:cs="Arial" w:eastAsia="Arial" w:hAnsi="Arial"/>
          <w:sz w:val="17"/>
          <w:szCs w:val="17"/>
          <w:color w:val="auto"/>
        </w:rPr>
      </w:pPr>
    </w:p>
    <w:p>
      <w:pPr>
        <w:jc w:val="both"/>
        <w:ind w:firstLine="1233"/>
        <w:spacing w:after="0" w:line="264" w:lineRule="auto"/>
        <w:tabs>
          <w:tab w:leader="none" w:pos="1896"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Holders of Designated Preferred Stock shall be entitled to receive, on each share of Designated Preferred Stock if, as and when declared by the Board of Directors or any duly authorized committee of the Board of Directors, but only out of assets legally available therefor, non-cumulative cash dividends with respect to:</w:t>
      </w:r>
    </w:p>
    <w:p>
      <w:pPr>
        <w:spacing w:after="0" w:line="201" w:lineRule="exact"/>
        <w:rPr>
          <w:rFonts w:ascii="Arial" w:cs="Arial" w:eastAsia="Arial" w:hAnsi="Arial"/>
          <w:sz w:val="17"/>
          <w:szCs w:val="17"/>
          <w:color w:val="auto"/>
        </w:rPr>
      </w:pPr>
    </w:p>
    <w:p>
      <w:pPr>
        <w:jc w:val="both"/>
        <w:ind w:left="620" w:firstLine="1229"/>
        <w:spacing w:after="0" w:line="264" w:lineRule="auto"/>
        <w:tabs>
          <w:tab w:leader="none" w:pos="2606" w:val="left"/>
        </w:tabs>
        <w:numPr>
          <w:ilvl w:val="1"/>
          <w:numId w:val="29"/>
        </w:numPr>
        <w:rPr>
          <w:rFonts w:ascii="Arial" w:cs="Arial" w:eastAsia="Arial" w:hAnsi="Arial"/>
          <w:sz w:val="17"/>
          <w:szCs w:val="17"/>
          <w:color w:val="auto"/>
        </w:rPr>
      </w:pPr>
      <w:r>
        <w:rPr>
          <w:rFonts w:ascii="Arial" w:cs="Arial" w:eastAsia="Arial" w:hAnsi="Arial"/>
          <w:sz w:val="17"/>
          <w:szCs w:val="17"/>
          <w:color w:val="auto"/>
        </w:rPr>
        <w:t>each Dividend Period (other than the Initial Dividend Period) at a rate equal to one-fourth (¼) of the Applicable Dividend Rate with respect to each Dividend Period on the Liquidation Amount per share of Designated Preferred Stock, and no more, payable quarterly in arrears on each Dividend Payment Date; and</w:t>
      </w:r>
    </w:p>
    <w:p>
      <w:pPr>
        <w:spacing w:after="0" w:line="201" w:lineRule="exact"/>
        <w:rPr>
          <w:rFonts w:ascii="Arial" w:cs="Arial" w:eastAsia="Arial" w:hAnsi="Arial"/>
          <w:sz w:val="17"/>
          <w:szCs w:val="17"/>
          <w:color w:val="auto"/>
        </w:rPr>
      </w:pPr>
    </w:p>
    <w:p>
      <w:pPr>
        <w:jc w:val="both"/>
        <w:ind w:left="620" w:firstLine="1229"/>
        <w:spacing w:after="0" w:line="264" w:lineRule="auto"/>
        <w:tabs>
          <w:tab w:leader="none" w:pos="2547"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Initial Dividend Period, on the first such Dividend Payment Date to occur at least twenty (20) calendar days after the Original Issue Date, an amount equal to (A) the Applicable Dividend Rate with respect to the Initial Dividend Period multiplied by (B) the number of days from the Original Issue Date to the last day of the Initial Dividend Period (inclusive) divided by 360.</w:t>
      </w:r>
    </w:p>
    <w:p>
      <w:pPr>
        <w:spacing w:after="0" w:line="201" w:lineRule="exact"/>
        <w:rPr>
          <w:sz w:val="20"/>
          <w:szCs w:val="20"/>
          <w:color w:val="auto"/>
        </w:rPr>
      </w:pPr>
    </w:p>
    <w:p>
      <w:pPr>
        <w:jc w:val="both"/>
        <w:ind w:firstLine="615"/>
        <w:spacing w:after="0" w:line="260" w:lineRule="auto"/>
        <w:rPr>
          <w:sz w:val="20"/>
          <w:szCs w:val="20"/>
          <w:color w:val="auto"/>
        </w:rPr>
      </w:pPr>
      <w:r>
        <w:rPr>
          <w:rFonts w:ascii="Arial" w:cs="Arial" w:eastAsia="Arial" w:hAnsi="Arial"/>
          <w:sz w:val="17"/>
          <w:szCs w:val="17"/>
          <w:color w:val="auto"/>
        </w:rPr>
        <w:t>In the event that any Dividend Payment Date would otherwise fall on a day that is not a Business Day, the dividend payment due on that date will be postponed to the next day that is a Business Day and no additional dividends will accrue as a result of that postponement. For avoidance of doubt, “payable quarterly in arrears” means that, with respect to any particular Dividend Period, dividends begin accruing on the first day of such Dividend Period and are payable on the first day of the next Dividend Period.</w:t>
      </w:r>
    </w:p>
    <w:p>
      <w:pPr>
        <w:spacing w:after="0" w:line="204" w:lineRule="exact"/>
        <w:rPr>
          <w:sz w:val="20"/>
          <w:szCs w:val="20"/>
          <w:color w:val="auto"/>
        </w:rPr>
      </w:pPr>
    </w:p>
    <w:p>
      <w:pPr>
        <w:jc w:val="both"/>
        <w:ind w:firstLine="615"/>
        <w:spacing w:after="0" w:line="277" w:lineRule="auto"/>
        <w:rPr>
          <w:sz w:val="20"/>
          <w:szCs w:val="20"/>
          <w:color w:val="auto"/>
        </w:rPr>
      </w:pPr>
      <w:r>
        <w:rPr>
          <w:rFonts w:ascii="Arial" w:cs="Arial" w:eastAsia="Arial" w:hAnsi="Arial"/>
          <w:sz w:val="17"/>
          <w:szCs w:val="17"/>
          <w:color w:val="auto"/>
        </w:rPr>
        <w:t>The amount of dividends payable on Designated Preferred Stock on any date prior to the end of a Dividend Period, and for the initial Dividend Period, shall be computed on the basis of a 360-day year consisting of four 90-day quarters, and actual days elapsed over a 90-day quarter.</w:t>
      </w:r>
    </w:p>
    <w:p>
      <w:pPr>
        <w:spacing w:after="0" w:line="190" w:lineRule="exact"/>
        <w:rPr>
          <w:sz w:val="20"/>
          <w:szCs w:val="20"/>
          <w:color w:val="auto"/>
        </w:rPr>
      </w:pPr>
    </w:p>
    <w:p>
      <w:pPr>
        <w:jc w:val="both"/>
        <w:ind w:firstLine="615"/>
        <w:spacing w:after="0" w:line="258" w:lineRule="auto"/>
        <w:rPr>
          <w:sz w:val="20"/>
          <w:szCs w:val="20"/>
          <w:color w:val="auto"/>
        </w:rPr>
      </w:pPr>
      <w:r>
        <w:rPr>
          <w:rFonts w:ascii="Arial" w:cs="Arial" w:eastAsia="Arial" w:hAnsi="Arial"/>
          <w:sz w:val="17"/>
          <w:szCs w:val="17"/>
          <w:color w:val="auto"/>
        </w:rPr>
        <w:t>Dividends that are payable on Designated Preferred Stock on any Dividend Payment Date will be payable to holders of record of Designated Preferred Stock as they appear on the stock register of the Issuer on the applicable record date, which shall be the 15th calendar day immediately preceding such Dividend Payment Date or such other record date fixed by the Board of Directors or any duly authorized committee of the Board of Directors that is not more than 60 nor less than 10 days prior to such Dividend Payment Date (each, a “</w:t>
      </w:r>
      <w:r>
        <w:rPr>
          <w:rFonts w:ascii="Arial" w:cs="Arial" w:eastAsia="Arial" w:hAnsi="Arial"/>
          <w:sz w:val="17"/>
          <w:szCs w:val="17"/>
          <w:u w:val="single" w:color="auto"/>
          <w:color w:val="auto"/>
        </w:rPr>
        <w:t>Dividend Record Date</w:t>
      </w:r>
      <w:r>
        <w:rPr>
          <w:rFonts w:ascii="Arial" w:cs="Arial" w:eastAsia="Arial" w:hAnsi="Arial"/>
          <w:sz w:val="17"/>
          <w:szCs w:val="17"/>
          <w:color w:val="auto"/>
        </w:rPr>
        <w:t>”). Any such day that is a Dividend Record Date shall be a Dividend Record Date whether or not such day is a Business Day.</w:t>
      </w:r>
    </w:p>
    <w:p>
      <w:pPr>
        <w:spacing w:after="0" w:line="206" w:lineRule="exact"/>
        <w:rPr>
          <w:sz w:val="20"/>
          <w:szCs w:val="20"/>
          <w:color w:val="auto"/>
        </w:rPr>
      </w:pPr>
    </w:p>
    <w:p>
      <w:pPr>
        <w:jc w:val="both"/>
        <w:ind w:firstLine="615"/>
        <w:spacing w:after="0" w:line="309" w:lineRule="auto"/>
        <w:rPr>
          <w:sz w:val="20"/>
          <w:szCs w:val="20"/>
          <w:color w:val="auto"/>
        </w:rPr>
      </w:pPr>
      <w:r>
        <w:rPr>
          <w:rFonts w:ascii="Arial" w:cs="Arial" w:eastAsia="Arial" w:hAnsi="Arial"/>
          <w:sz w:val="16"/>
          <w:szCs w:val="16"/>
          <w:color w:val="auto"/>
        </w:rPr>
        <w:t>Holders of Designated Preferred Stock shall not be entitled to any dividends, whether payable in cash, securities or other property, other than dividends (if any) declared and payable on Designated Preferred Stock as specified in this Section 3 (subject to the other provisions of the Certificate of Designation).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83" w:right="239" w:bottom="1440" w:gutter="0" w:footer="0" w:header="0"/>
        </w:sectPr>
      </w:pPr>
    </w:p>
    <w:bookmarkStart w:id="73" w:name="page74"/>
    <w:bookmarkEnd w:id="73"/>
    <w:p>
      <w:pPr>
        <w:ind w:firstLine="1233"/>
        <w:spacing w:after="0" w:line="309" w:lineRule="auto"/>
        <w:tabs>
          <w:tab w:leader="none" w:pos="2001"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Non-Cumulative</w:t>
      </w:r>
      <w:r>
        <w:rPr>
          <w:rFonts w:ascii="Arial" w:cs="Arial" w:eastAsia="Arial" w:hAnsi="Arial"/>
          <w:sz w:val="16"/>
          <w:szCs w:val="16"/>
          <w:color w:val="auto"/>
        </w:rPr>
        <w:t>. Dividends on shares of Designated Preferred Stock shall be non-cumulative. If the Board of Directors or any duly authorized committee of the Board of Directors does not declare a dividend on the Designated Preferred Stock in respect of any Dividend Period:</w:t>
      </w:r>
    </w:p>
    <w:p>
      <w:pPr>
        <w:spacing w:after="0" w:line="167" w:lineRule="exact"/>
        <w:rPr>
          <w:rFonts w:ascii="Arial" w:cs="Arial" w:eastAsia="Arial" w:hAnsi="Arial"/>
          <w:sz w:val="16"/>
          <w:szCs w:val="16"/>
          <w:color w:val="auto"/>
        </w:rPr>
      </w:pPr>
    </w:p>
    <w:p>
      <w:pPr>
        <w:jc w:val="both"/>
        <w:ind w:left="620" w:firstLine="1229"/>
        <w:spacing w:after="0" w:line="264" w:lineRule="auto"/>
        <w:tabs>
          <w:tab w:leader="none" w:pos="2630" w:val="left"/>
        </w:tabs>
        <w:numPr>
          <w:ilvl w:val="1"/>
          <w:numId w:val="30"/>
        </w:numPr>
        <w:rPr>
          <w:rFonts w:ascii="Arial" w:cs="Arial" w:eastAsia="Arial" w:hAnsi="Arial"/>
          <w:sz w:val="17"/>
          <w:szCs w:val="17"/>
          <w:color w:val="auto"/>
        </w:rPr>
      </w:pPr>
      <w:r>
        <w:rPr>
          <w:rFonts w:ascii="Arial" w:cs="Arial" w:eastAsia="Arial" w:hAnsi="Arial"/>
          <w:sz w:val="17"/>
          <w:szCs w:val="17"/>
          <w:color w:val="auto"/>
        </w:rPr>
        <w:t>the holders of Designated Preferred Stock shall have no right to receive any dividend for such Dividend Period, and the Issuer shall have no obligation to pay a dividend for such Dividend Period, whether or not dividends are declared for any subsequent Dividend Period with respect to the Designated Preferred Stock; and</w:t>
      </w:r>
    </w:p>
    <w:p>
      <w:pPr>
        <w:spacing w:after="0" w:line="201" w:lineRule="exact"/>
        <w:rPr>
          <w:rFonts w:ascii="Arial" w:cs="Arial" w:eastAsia="Arial" w:hAnsi="Arial"/>
          <w:sz w:val="17"/>
          <w:szCs w:val="17"/>
          <w:color w:val="auto"/>
        </w:rPr>
      </w:pPr>
    </w:p>
    <w:p>
      <w:pPr>
        <w:ind w:left="620" w:firstLine="1229"/>
        <w:spacing w:after="0" w:line="309" w:lineRule="auto"/>
        <w:tabs>
          <w:tab w:leader="none" w:pos="2588"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Issuer shall, within five (5) calendar days, deliver to the holders of the Designated Preferred Stock a written notice executed by the Chief Executive Officer and the Chief Financial Officer of the Issuer stating the Board of Directors’ rationale for not declaring dividends.</w:t>
      </w:r>
    </w:p>
    <w:p>
      <w:pPr>
        <w:spacing w:after="0" w:line="167" w:lineRule="exact"/>
        <w:rPr>
          <w:rFonts w:ascii="Arial" w:cs="Arial" w:eastAsia="Arial" w:hAnsi="Arial"/>
          <w:sz w:val="16"/>
          <w:szCs w:val="16"/>
          <w:color w:val="auto"/>
        </w:rPr>
      </w:pPr>
    </w:p>
    <w:p>
      <w:pPr>
        <w:ind w:left="1860" w:hanging="627"/>
        <w:spacing w:after="0"/>
        <w:tabs>
          <w:tab w:leader="none" w:pos="186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Priority of Dividends; Restrictions on Dividends</w:t>
      </w:r>
      <w:r>
        <w:rPr>
          <w:rFonts w:ascii="Arial" w:cs="Arial" w:eastAsia="Arial" w:hAnsi="Arial"/>
          <w:sz w:val="17"/>
          <w:szCs w:val="17"/>
          <w:color w:val="auto"/>
        </w:rPr>
        <w:t>.</w:t>
      </w:r>
    </w:p>
    <w:p>
      <w:pPr>
        <w:spacing w:after="0" w:line="240" w:lineRule="exact"/>
        <w:rPr>
          <w:rFonts w:ascii="Arial" w:cs="Arial" w:eastAsia="Arial" w:hAnsi="Arial"/>
          <w:sz w:val="17"/>
          <w:szCs w:val="17"/>
          <w:color w:val="auto"/>
        </w:rPr>
      </w:pPr>
    </w:p>
    <w:p>
      <w:pPr>
        <w:jc w:val="both"/>
        <w:ind w:left="620" w:firstLine="1229"/>
        <w:spacing w:after="0" w:line="256" w:lineRule="auto"/>
        <w:tabs>
          <w:tab w:leader="none" w:pos="2812" w:val="left"/>
        </w:tabs>
        <w:numPr>
          <w:ilvl w:val="1"/>
          <w:numId w:val="30"/>
        </w:numPr>
        <w:rPr>
          <w:rFonts w:ascii="Arial" w:cs="Arial" w:eastAsia="Arial" w:hAnsi="Arial"/>
          <w:sz w:val="17"/>
          <w:szCs w:val="17"/>
          <w:color w:val="auto"/>
        </w:rPr>
      </w:pPr>
      <w:r>
        <w:rPr>
          <w:rFonts w:ascii="Arial" w:cs="Arial" w:eastAsia="Arial" w:hAnsi="Arial"/>
          <w:sz w:val="17"/>
          <w:szCs w:val="17"/>
          <w:color w:val="auto"/>
        </w:rPr>
        <w:t>Subject to Sections 3(d)(ii), (iii) and (v) and any restrictions imposed by the Appropriate Federal Banking Agency or, if applicable, the Issuer’s state bank supervisor (as defined in Section 3(r) of the Federal Deposit Insurance Act (12 U.S.C. § 1813(q)), so long as any share of Designated Preferred Stock remains outstanding, the Issuer may declare and pay dividends on the Common Stock, any other shares of Junior Stock, or Parity Stock, in each case only if (A) after giving effect to such dividend the Issuer’s Tier 1 capital would be at least equal to the Tier 1 Dividend Threshold, and (B) full dividends on all outstanding shares of Designated Preferred Stock for the most recently completed Dividend Period have been or are contemporaneously declared and paid.</w:t>
      </w:r>
    </w:p>
    <w:p>
      <w:pPr>
        <w:spacing w:after="0" w:line="210" w:lineRule="exact"/>
        <w:rPr>
          <w:rFonts w:ascii="Arial" w:cs="Arial" w:eastAsia="Arial" w:hAnsi="Arial"/>
          <w:sz w:val="17"/>
          <w:szCs w:val="17"/>
          <w:color w:val="auto"/>
        </w:rPr>
      </w:pPr>
    </w:p>
    <w:p>
      <w:pPr>
        <w:jc w:val="both"/>
        <w:ind w:left="620" w:firstLine="1229"/>
        <w:spacing w:after="0" w:line="278" w:lineRule="auto"/>
        <w:tabs>
          <w:tab w:leader="none" w:pos="2583" w:val="left"/>
        </w:tabs>
        <w:numPr>
          <w:ilvl w:val="1"/>
          <w:numId w:val="30"/>
        </w:numPr>
        <w:rPr>
          <w:rFonts w:ascii="Arial" w:cs="Arial" w:eastAsia="Arial" w:hAnsi="Arial"/>
          <w:sz w:val="16"/>
          <w:szCs w:val="16"/>
          <w:color w:val="auto"/>
        </w:rPr>
      </w:pPr>
      <w:r>
        <w:rPr>
          <w:rFonts w:ascii="Arial" w:cs="Arial" w:eastAsia="Arial" w:hAnsi="Arial"/>
          <w:sz w:val="16"/>
          <w:szCs w:val="16"/>
          <w:color w:val="auto"/>
        </w:rPr>
        <w:t xml:space="preserve">If a dividend is not declared and paid in full on the Designated Preferred Stock in respect of any Dividend Period, then from the last day of such Dividend Period until the last day of the third (3rd) Dividend Period immediately following it, no dividend or distribution shall be declared or paid on the Common Stock or any other shares of Junior Stock (other than dividends payable solely in shares of Common Stock) or Parity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any such Dividend Period in which a dividend is declared and paid on the Designated Preferred Stock, dividends may be paid on Parity Stock to the extent necessary to avoid any material breach of a covenant by which the Issuer is bound.</w:t>
      </w:r>
    </w:p>
    <w:p>
      <w:pPr>
        <w:spacing w:after="0" w:line="190" w:lineRule="exact"/>
        <w:rPr>
          <w:rFonts w:ascii="Arial" w:cs="Arial" w:eastAsia="Arial" w:hAnsi="Arial"/>
          <w:sz w:val="16"/>
          <w:szCs w:val="16"/>
          <w:color w:val="auto"/>
        </w:rPr>
      </w:pPr>
    </w:p>
    <w:p>
      <w:pPr>
        <w:jc w:val="both"/>
        <w:ind w:left="620" w:firstLine="1229"/>
        <w:spacing w:after="0" w:line="258" w:lineRule="auto"/>
        <w:tabs>
          <w:tab w:leader="none" w:pos="2587" w:val="left"/>
        </w:tabs>
        <w:numPr>
          <w:ilvl w:val="1"/>
          <w:numId w:val="30"/>
        </w:numPr>
        <w:rPr>
          <w:rFonts w:ascii="Arial" w:cs="Arial" w:eastAsia="Arial" w:hAnsi="Arial"/>
          <w:sz w:val="17"/>
          <w:szCs w:val="17"/>
          <w:color w:val="auto"/>
        </w:rPr>
      </w:pPr>
      <w:r>
        <w:rPr>
          <w:rFonts w:ascii="Arial" w:cs="Arial" w:eastAsia="Arial" w:hAnsi="Arial"/>
          <w:sz w:val="17"/>
          <w:szCs w:val="17"/>
          <w:color w:val="auto"/>
        </w:rPr>
        <w:t>When dividends have not been declared and paid in full for an aggregate of four (4) Dividend Periods or more, and during such time the Issuer was not subject to a regulatory determination that prohibits the declaration and payment of dividends, the Issuer shall, within five (5) calendar days of each missed payment, deliver to the holders of the Designated Preferred Stock a certificate executed by at least a majority of the Board of Directors stating that the Board of Directors used its best efforts to declare and pay such dividends in a manner consistent with (A) safe and sound banking practices and (B) the directors’ fiduciary obligations.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83" w:right="239" w:bottom="1440" w:gutter="0" w:footer="0" w:header="0"/>
        </w:sectPr>
      </w:pPr>
    </w:p>
    <w:bookmarkStart w:id="74" w:name="page75"/>
    <w:bookmarkEnd w:id="74"/>
    <w:p>
      <w:pPr>
        <w:jc w:val="both"/>
        <w:ind w:left="620" w:firstLine="1274"/>
        <w:spacing w:after="0" w:line="260" w:lineRule="auto"/>
        <w:tabs>
          <w:tab w:leader="none" w:pos="2595"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Subject to the foregoing and Section 3(e) below and not otherwise, such dividends (payable in cash, securities or other property) as may be determined by the Board of Directors or any duly authorized committee of the Board of Directors may be declared and paid on any securities, including Common Stock and other Junior Stock, from time to time out of any funds legally available for such payment, and holders of Designated Preferred Stock shall not be entitled to participate in any such dividends.</w:t>
      </w:r>
    </w:p>
    <w:p>
      <w:pPr>
        <w:spacing w:after="0" w:line="202" w:lineRule="exact"/>
        <w:rPr>
          <w:rFonts w:ascii="Arial" w:cs="Arial" w:eastAsia="Arial" w:hAnsi="Arial"/>
          <w:sz w:val="17"/>
          <w:szCs w:val="17"/>
          <w:color w:val="auto"/>
        </w:rPr>
      </w:pPr>
    </w:p>
    <w:p>
      <w:pPr>
        <w:jc w:val="both"/>
        <w:ind w:left="620" w:firstLine="1278"/>
        <w:spacing w:after="0" w:line="229" w:lineRule="auto"/>
        <w:tabs>
          <w:tab w:leader="none" w:pos="2639"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the Issuer is not Publicly-Traded, then after the tenth (10</w:t>
      </w:r>
      <w:r>
        <w:rPr>
          <w:rFonts w:ascii="Arial" w:cs="Arial" w:eastAsia="Arial" w:hAnsi="Arial"/>
          <w:sz w:val="23"/>
          <w:szCs w:val="23"/>
          <w:color w:val="auto"/>
          <w:vertAlign w:val="superscript"/>
        </w:rPr>
        <w:t>th</w:t>
      </w:r>
      <w:r>
        <w:rPr>
          <w:rFonts w:ascii="Arial" w:cs="Arial" w:eastAsia="Arial" w:hAnsi="Arial"/>
          <w:sz w:val="17"/>
          <w:szCs w:val="17"/>
          <w:color w:val="auto"/>
        </w:rPr>
        <w:t>) anniversary of the Original Signing Date, so long as any share of Designated Preferred Stock remains outstanding, no dividend or distribution shall be declared or paid on the Common Stock or any other shares of Junior Stock (other than dividends payable solely in shares of Common Stock) or Parity Stock.</w:t>
      </w:r>
    </w:p>
    <w:p>
      <w:pPr>
        <w:spacing w:after="0" w:line="222" w:lineRule="exact"/>
        <w:rPr>
          <w:sz w:val="20"/>
          <w:szCs w:val="20"/>
          <w:color w:val="auto"/>
        </w:rPr>
      </w:pPr>
    </w:p>
    <w:p>
      <w:pPr>
        <w:jc w:val="both"/>
        <w:ind w:firstLine="1233"/>
        <w:spacing w:after="0" w:line="295" w:lineRule="auto"/>
        <w:tabs>
          <w:tab w:leader="none" w:pos="1954" w:val="left"/>
        </w:tabs>
        <w:numPr>
          <w:ilvl w:val="0"/>
          <w:numId w:val="32"/>
        </w:numPr>
        <w:rPr>
          <w:rFonts w:ascii="Arial" w:cs="Arial" w:eastAsia="Arial" w:hAnsi="Arial"/>
          <w:sz w:val="15"/>
          <w:szCs w:val="15"/>
          <w:color w:val="auto"/>
        </w:rPr>
      </w:pPr>
      <w:r>
        <w:rPr>
          <w:rFonts w:ascii="Arial" w:cs="Arial" w:eastAsia="Arial" w:hAnsi="Arial"/>
          <w:sz w:val="15"/>
          <w:szCs w:val="15"/>
          <w:u w:val="single" w:color="auto"/>
          <w:color w:val="auto"/>
        </w:rPr>
        <w:t>Special Lending Incentive Fee Related to CPP</w:t>
      </w:r>
      <w:r>
        <w:rPr>
          <w:rFonts w:ascii="Arial" w:cs="Arial" w:eastAsia="Arial" w:hAnsi="Arial"/>
          <w:sz w:val="15"/>
          <w:szCs w:val="15"/>
          <w:color w:val="auto"/>
        </w:rPr>
        <w:t>. If Treasury held Previously Acquired Preferred Shares immediately prior to the Original Issue Date and the Issuer did not apply to Treasury to redeem such Previously Acquired Preferred Shares prior to December 16, 2010, and if the Issuer’s Supplemental Report with respect to the ninth (9th) Dividend Period reflects an amount of Qualified Small Business Lending that is less than or equal to the Baseline (or if the Issuer fails to timely file a Supplemental Report with respect to the ninth (9th) Dividend Period), then beginning on May 15, 2014 and on all Dividend Payment Dates thereafter ending on April 1, 2016, the Issuer shall pay to the Holders of Designated Preferred Stock, on each share of Designated Preferred Stock, but only out of assets legally available therefor, a fee equal to 0.5% of the Liquidation Amount per share of Designated Preferred Stock (“</w:t>
      </w:r>
      <w:r>
        <w:rPr>
          <w:rFonts w:ascii="Arial" w:cs="Arial" w:eastAsia="Arial" w:hAnsi="Arial"/>
          <w:sz w:val="15"/>
          <w:szCs w:val="15"/>
          <w:u w:val="single" w:color="auto"/>
          <w:color w:val="auto"/>
        </w:rPr>
        <w:t>CPP Lending Incentive Fee</w:t>
      </w:r>
      <w:r>
        <w:rPr>
          <w:rFonts w:ascii="Arial" w:cs="Arial" w:eastAsia="Arial" w:hAnsi="Arial"/>
          <w:sz w:val="15"/>
          <w:szCs w:val="15"/>
          <w:color w:val="auto"/>
        </w:rPr>
        <w:t>”). All references in Section 3(d) to “dividends” on the Designated Preferred Stock shall be deemed to include the CPP Lending Incentive Fee.</w:t>
      </w:r>
    </w:p>
    <w:p>
      <w:pPr>
        <w:spacing w:after="0" w:line="183" w:lineRule="exact"/>
        <w:rPr>
          <w:sz w:val="20"/>
          <w:szCs w:val="20"/>
          <w:color w:val="auto"/>
        </w:rPr>
      </w:pPr>
    </w:p>
    <w:p>
      <w:pPr>
        <w:ind w:left="620"/>
        <w:spacing w:after="0"/>
        <w:tabs>
          <w:tab w:leader="none" w:pos="1880" w:val="left"/>
        </w:tabs>
        <w:rPr>
          <w:sz w:val="20"/>
          <w:szCs w:val="20"/>
          <w:color w:val="auto"/>
        </w:rPr>
      </w:pPr>
      <w:r>
        <w:rPr>
          <w:rFonts w:ascii="Arial" w:cs="Arial" w:eastAsia="Arial" w:hAnsi="Arial"/>
          <w:sz w:val="17"/>
          <w:szCs w:val="17"/>
          <w:color w:val="auto"/>
        </w:rPr>
        <w:t>Section 4.</w:t>
      </w:r>
      <w:r>
        <w:rPr>
          <w:sz w:val="20"/>
          <w:szCs w:val="20"/>
          <w:color w:val="auto"/>
        </w:rPr>
        <w:tab/>
      </w:r>
      <w:r>
        <w:rPr>
          <w:rFonts w:ascii="Arial" w:cs="Arial" w:eastAsia="Arial" w:hAnsi="Arial"/>
          <w:sz w:val="16"/>
          <w:szCs w:val="16"/>
          <w:u w:val="single" w:color="auto"/>
          <w:color w:val="auto"/>
        </w:rPr>
        <w:t>Liquidation Rights</w:t>
      </w:r>
      <w:r>
        <w:rPr>
          <w:rFonts w:ascii="Arial" w:cs="Arial" w:eastAsia="Arial" w:hAnsi="Arial"/>
          <w:sz w:val="16"/>
          <w:szCs w:val="16"/>
          <w:color w:val="auto"/>
        </w:rPr>
        <w:t>.</w:t>
      </w:r>
    </w:p>
    <w:p>
      <w:pPr>
        <w:spacing w:after="0" w:line="240" w:lineRule="exact"/>
        <w:rPr>
          <w:sz w:val="20"/>
          <w:szCs w:val="20"/>
          <w:color w:val="auto"/>
        </w:rPr>
      </w:pPr>
    </w:p>
    <w:p>
      <w:pPr>
        <w:jc w:val="both"/>
        <w:ind w:firstLine="1233"/>
        <w:spacing w:after="0" w:line="275" w:lineRule="auto"/>
        <w:tabs>
          <w:tab w:leader="none" w:pos="207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Voluntary or Involuntary Liquidation</w:t>
      </w:r>
      <w:r>
        <w:rPr>
          <w:rFonts w:ascii="Arial" w:cs="Arial" w:eastAsia="Arial" w:hAnsi="Arial"/>
          <w:sz w:val="16"/>
          <w:szCs w:val="16"/>
          <w:color w:val="auto"/>
        </w:rPr>
        <w:t>. In the event of any liquidation, dissolution or winding up of the affairs of the Issuer, whether voluntary or involuntary, holders of Designated Preferred Stock shall be entitled to receive for each share of Designated Preferred Stock, out of the assets of the Issuer or proceeds thereof (whether capital or surplus) available for distribution to stockholders of the Issuer, subject to the rights of any creditors of the Issuer, before any distribution of such assets or proceeds is made to or set aside for the holders of Common Stock and any other stock of the Issuer ranking junior to Designated Preferred Stock as to such distribution, payment in full in an amount equal to the sum of (i) the Liquidation Amount per share and (ii) the amount of any accrued and unpaid dividends on each such share (such amounts collectively, the “</w:t>
      </w:r>
      <w:r>
        <w:rPr>
          <w:rFonts w:ascii="Arial" w:cs="Arial" w:eastAsia="Arial" w:hAnsi="Arial"/>
          <w:sz w:val="16"/>
          <w:szCs w:val="16"/>
          <w:u w:val="single" w:color="auto"/>
          <w:color w:val="auto"/>
        </w:rPr>
        <w:t>Liquidation Preference</w:t>
      </w:r>
      <w:r>
        <w:rPr>
          <w:rFonts w:ascii="Arial" w:cs="Arial" w:eastAsia="Arial" w:hAnsi="Arial"/>
          <w:sz w:val="16"/>
          <w:szCs w:val="16"/>
          <w:color w:val="auto"/>
        </w:rPr>
        <w:t>”).</w:t>
      </w:r>
    </w:p>
    <w:p>
      <w:pPr>
        <w:spacing w:after="0" w:line="196" w:lineRule="exact"/>
        <w:rPr>
          <w:rFonts w:ascii="Arial" w:cs="Arial" w:eastAsia="Arial" w:hAnsi="Arial"/>
          <w:sz w:val="16"/>
          <w:szCs w:val="16"/>
          <w:color w:val="auto"/>
        </w:rPr>
      </w:pPr>
    </w:p>
    <w:p>
      <w:pPr>
        <w:jc w:val="both"/>
        <w:ind w:firstLine="1233"/>
        <w:spacing w:after="0" w:line="281" w:lineRule="auto"/>
        <w:tabs>
          <w:tab w:leader="none" w:pos="1925"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Partial Payment</w:t>
      </w:r>
      <w:r>
        <w:rPr>
          <w:rFonts w:ascii="Arial" w:cs="Arial" w:eastAsia="Arial" w:hAnsi="Arial"/>
          <w:sz w:val="16"/>
          <w:szCs w:val="16"/>
          <w:color w:val="auto"/>
        </w:rPr>
        <w:t>. If in any distribution described in Section 4(a) above the assets of the Issuer or proceeds thereof are not sufficient to pay in full the amounts payable with respect to all outstanding shares of Designated Preferred Stock and the corresponding amounts payable with respect of any other stock of the Issuer ranking equally with Designated Preferred Stock as to such distribution, holders of Designated Preferred Stock and the holders of such other stock shall share ratably in any such distribution in proportion to the full respective distributions to which they are entitled.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83" w:right="239" w:bottom="1440" w:gutter="0" w:footer="0" w:header="0"/>
        </w:sectPr>
      </w:pPr>
    </w:p>
    <w:bookmarkStart w:id="75" w:name="page76"/>
    <w:bookmarkEnd w:id="75"/>
    <w:p>
      <w:pPr>
        <w:jc w:val="both"/>
        <w:ind w:firstLine="1233"/>
        <w:spacing w:after="0" w:line="260" w:lineRule="auto"/>
        <w:tabs>
          <w:tab w:leader="none" w:pos="2198"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Residual Distributions</w:t>
      </w:r>
      <w:r>
        <w:rPr>
          <w:rFonts w:ascii="Arial" w:cs="Arial" w:eastAsia="Arial" w:hAnsi="Arial"/>
          <w:sz w:val="17"/>
          <w:szCs w:val="17"/>
          <w:color w:val="auto"/>
        </w:rPr>
        <w:t>. If the Liquidation Preference has been paid in full to all holders of Designated Preferred Stock and the corresponding amounts payable with respect of any other stock of the Issuer ranking equally with Designated Preferred Stock as to such distribution has been paid in full, the holders of other stock of the Issuer shall be entitled to receive all remaining assets of the Issuer for proceeds thereof) according to their respective rights and preferences.</w:t>
      </w:r>
    </w:p>
    <w:p>
      <w:pPr>
        <w:spacing w:after="0" w:line="204" w:lineRule="exact"/>
        <w:rPr>
          <w:rFonts w:ascii="Arial" w:cs="Arial" w:eastAsia="Arial" w:hAnsi="Arial"/>
          <w:sz w:val="17"/>
          <w:szCs w:val="17"/>
          <w:color w:val="auto"/>
        </w:rPr>
      </w:pPr>
    </w:p>
    <w:p>
      <w:pPr>
        <w:jc w:val="both"/>
        <w:ind w:firstLine="1233"/>
        <w:spacing w:after="0" w:line="260" w:lineRule="auto"/>
        <w:tabs>
          <w:tab w:leader="none" w:pos="190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Merger, Consolidation and Sale of Assets Is Not Liquidation</w:t>
      </w:r>
      <w:r>
        <w:rPr>
          <w:rFonts w:ascii="Arial" w:cs="Arial" w:eastAsia="Arial" w:hAnsi="Arial"/>
          <w:sz w:val="17"/>
          <w:szCs w:val="17"/>
          <w:color w:val="auto"/>
        </w:rPr>
        <w:t>. For purposes of this Section 4, the merger or consolidation of the Issuer with any other corporation or other entity, including a merger or consolidation in which the holders of Designated Preferred Stock receive cash, securities or other property for their shares, or the sale, lease or exchange (or cash, securities or other property) of all or substantially all of the assets of the Issuer, shall not constitute a liquidation, dissolution or winding up of the Issuer.</w:t>
      </w:r>
    </w:p>
    <w:p>
      <w:pPr>
        <w:spacing w:after="0" w:line="204" w:lineRule="exact"/>
        <w:rPr>
          <w:sz w:val="20"/>
          <w:szCs w:val="20"/>
          <w:color w:val="auto"/>
        </w:rPr>
      </w:pPr>
    </w:p>
    <w:p>
      <w:pPr>
        <w:ind w:left="620"/>
        <w:spacing w:after="0"/>
        <w:tabs>
          <w:tab w:leader="none" w:pos="1880" w:val="left"/>
        </w:tabs>
        <w:rPr>
          <w:sz w:val="20"/>
          <w:szCs w:val="20"/>
          <w:color w:val="auto"/>
        </w:rPr>
      </w:pPr>
      <w:r>
        <w:rPr>
          <w:rFonts w:ascii="Arial" w:cs="Arial" w:eastAsia="Arial" w:hAnsi="Arial"/>
          <w:sz w:val="17"/>
          <w:szCs w:val="17"/>
          <w:color w:val="auto"/>
        </w:rPr>
        <w:t>Section 5.</w:t>
      </w:r>
      <w:r>
        <w:rPr>
          <w:sz w:val="20"/>
          <w:szCs w:val="20"/>
          <w:color w:val="auto"/>
        </w:rPr>
        <w:tab/>
      </w:r>
      <w:r>
        <w:rPr>
          <w:rFonts w:ascii="Arial" w:cs="Arial" w:eastAsia="Arial" w:hAnsi="Arial"/>
          <w:sz w:val="15"/>
          <w:szCs w:val="15"/>
          <w:u w:val="single" w:color="auto"/>
          <w:color w:val="auto"/>
        </w:rPr>
        <w:t>Redemption</w:t>
      </w:r>
      <w:r>
        <w:rPr>
          <w:rFonts w:ascii="Arial" w:cs="Arial" w:eastAsia="Arial" w:hAnsi="Arial"/>
          <w:sz w:val="15"/>
          <w:szCs w:val="15"/>
          <w:color w:val="auto"/>
        </w:rPr>
        <w:t>.</w:t>
      </w:r>
    </w:p>
    <w:p>
      <w:pPr>
        <w:spacing w:after="0" w:line="240" w:lineRule="exact"/>
        <w:rPr>
          <w:sz w:val="20"/>
          <w:szCs w:val="20"/>
          <w:color w:val="auto"/>
        </w:rPr>
      </w:pPr>
    </w:p>
    <w:p>
      <w:pPr>
        <w:ind w:left="1900" w:hanging="667"/>
        <w:spacing w:after="0"/>
        <w:tabs>
          <w:tab w:leader="none" w:pos="190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Optional Redemption</w:t>
      </w:r>
      <w:r>
        <w:rPr>
          <w:rFonts w:ascii="Arial" w:cs="Arial" w:eastAsia="Arial" w:hAnsi="Arial"/>
          <w:sz w:val="17"/>
          <w:szCs w:val="17"/>
          <w:color w:val="auto"/>
        </w:rPr>
        <w:t>.</w:t>
      </w:r>
    </w:p>
    <w:p>
      <w:pPr>
        <w:spacing w:after="0" w:line="240" w:lineRule="exact"/>
        <w:rPr>
          <w:rFonts w:ascii="Arial" w:cs="Arial" w:eastAsia="Arial" w:hAnsi="Arial"/>
          <w:sz w:val="17"/>
          <w:szCs w:val="17"/>
          <w:color w:val="auto"/>
        </w:rPr>
      </w:pPr>
    </w:p>
    <w:p>
      <w:pPr>
        <w:ind w:left="2480" w:hanging="589"/>
        <w:spacing w:after="0"/>
        <w:tabs>
          <w:tab w:leader="none" w:pos="24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Subject to the other provisions of this Section 5:</w:t>
      </w:r>
    </w:p>
    <w:p>
      <w:pPr>
        <w:spacing w:after="0" w:line="240" w:lineRule="exact"/>
        <w:rPr>
          <w:rFonts w:ascii="Arial" w:cs="Arial" w:eastAsia="Arial" w:hAnsi="Arial"/>
          <w:sz w:val="17"/>
          <w:szCs w:val="17"/>
          <w:color w:val="auto"/>
        </w:rPr>
      </w:pPr>
    </w:p>
    <w:p>
      <w:pPr>
        <w:jc w:val="both"/>
        <w:ind w:left="3080" w:hanging="616"/>
        <w:spacing w:after="0" w:line="264" w:lineRule="auto"/>
        <w:tabs>
          <w:tab w:leader="none" w:pos="3080" w:val="left"/>
        </w:tabs>
        <w:numPr>
          <w:ilvl w:val="2"/>
          <w:numId w:val="35"/>
        </w:numPr>
        <w:rPr>
          <w:rFonts w:ascii="Arial" w:cs="Arial" w:eastAsia="Arial" w:hAnsi="Arial"/>
          <w:sz w:val="17"/>
          <w:szCs w:val="17"/>
          <w:color w:val="auto"/>
        </w:rPr>
      </w:pPr>
      <w:r>
        <w:rPr>
          <w:rFonts w:ascii="Arial" w:cs="Arial" w:eastAsia="Arial" w:hAnsi="Arial"/>
          <w:sz w:val="17"/>
          <w:szCs w:val="17"/>
          <w:color w:val="auto"/>
        </w:rPr>
        <w:t>The Issuer, at its option, subject to the approval of the Appropriate Federal Banking Agency, may redeem, in whole or in part, at any time and from time to time, out of funds legally available therefor, the shares of Designated Preferred Stock at the time outstanding; and</w:t>
      </w:r>
    </w:p>
    <w:p>
      <w:pPr>
        <w:spacing w:after="0" w:line="201" w:lineRule="exact"/>
        <w:rPr>
          <w:rFonts w:ascii="Arial" w:cs="Arial" w:eastAsia="Arial" w:hAnsi="Arial"/>
          <w:sz w:val="17"/>
          <w:szCs w:val="17"/>
          <w:color w:val="auto"/>
        </w:rPr>
      </w:pPr>
    </w:p>
    <w:p>
      <w:pPr>
        <w:jc w:val="both"/>
        <w:ind w:left="3080" w:hanging="616"/>
        <w:spacing w:after="0" w:line="281" w:lineRule="auto"/>
        <w:tabs>
          <w:tab w:leader="none" w:pos="3080" w:val="left"/>
        </w:tabs>
        <w:numPr>
          <w:ilvl w:val="2"/>
          <w:numId w:val="35"/>
        </w:numPr>
        <w:rPr>
          <w:rFonts w:ascii="Arial" w:cs="Arial" w:eastAsia="Arial" w:hAnsi="Arial"/>
          <w:sz w:val="16"/>
          <w:szCs w:val="16"/>
          <w:color w:val="auto"/>
        </w:rPr>
      </w:pPr>
      <w:r>
        <w:rPr>
          <w:rFonts w:ascii="Arial" w:cs="Arial" w:eastAsia="Arial" w:hAnsi="Arial"/>
          <w:sz w:val="16"/>
          <w:szCs w:val="16"/>
          <w:color w:val="auto"/>
        </w:rPr>
        <w:t>If, after the Signing Date, there is a change in law that modifies the terms of Treasury’s investment in the Designated Preferred Stock or the terms of Treasury’s Small Business Lending Fund program in a materially adverse respect for the Issuer or MoneyTree , as applicable, the Issuer or MoneyTree , as applicable may, after consultation with the Appropriate Federal Banking Agency, redeem all of the shares of Designated Preferred Stock at the time outstanding.</w:t>
      </w:r>
    </w:p>
    <w:p>
      <w:pPr>
        <w:spacing w:after="0" w:line="189" w:lineRule="exact"/>
        <w:rPr>
          <w:rFonts w:ascii="Arial" w:cs="Arial" w:eastAsia="Arial" w:hAnsi="Arial"/>
          <w:sz w:val="16"/>
          <w:szCs w:val="16"/>
          <w:color w:val="auto"/>
        </w:rPr>
      </w:pPr>
    </w:p>
    <w:p>
      <w:pPr>
        <w:ind w:left="2480" w:hanging="589"/>
        <w:spacing w:after="0"/>
        <w:tabs>
          <w:tab w:leader="none" w:pos="24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per-share redemption price for shares of Designated Preferred Stock shall be equal to the sum of:</w:t>
      </w:r>
    </w:p>
    <w:p>
      <w:pPr>
        <w:spacing w:after="0" w:line="240" w:lineRule="exact"/>
        <w:rPr>
          <w:rFonts w:ascii="Arial" w:cs="Arial" w:eastAsia="Arial" w:hAnsi="Arial"/>
          <w:sz w:val="17"/>
          <w:szCs w:val="17"/>
          <w:color w:val="auto"/>
        </w:rPr>
      </w:pPr>
    </w:p>
    <w:p>
      <w:pPr>
        <w:ind w:left="3080" w:hanging="616"/>
        <w:spacing w:after="0"/>
        <w:tabs>
          <w:tab w:leader="none" w:pos="3080" w:val="left"/>
        </w:tabs>
        <w:numPr>
          <w:ilvl w:val="2"/>
          <w:numId w:val="35"/>
        </w:numPr>
        <w:rPr>
          <w:rFonts w:ascii="Arial" w:cs="Arial" w:eastAsia="Arial" w:hAnsi="Arial"/>
          <w:sz w:val="17"/>
          <w:szCs w:val="17"/>
          <w:color w:val="auto"/>
        </w:rPr>
      </w:pPr>
      <w:r>
        <w:rPr>
          <w:rFonts w:ascii="Arial" w:cs="Arial" w:eastAsia="Arial" w:hAnsi="Arial"/>
          <w:sz w:val="17"/>
          <w:szCs w:val="17"/>
          <w:color w:val="auto"/>
        </w:rPr>
        <w:t>the Liquidation Amount per share,</w:t>
      </w:r>
    </w:p>
    <w:p>
      <w:pPr>
        <w:spacing w:after="0" w:line="240" w:lineRule="exact"/>
        <w:rPr>
          <w:rFonts w:ascii="Arial" w:cs="Arial" w:eastAsia="Arial" w:hAnsi="Arial"/>
          <w:sz w:val="17"/>
          <w:szCs w:val="17"/>
          <w:color w:val="auto"/>
        </w:rPr>
      </w:pPr>
    </w:p>
    <w:p>
      <w:pPr>
        <w:jc w:val="both"/>
        <w:ind w:left="3080" w:hanging="616"/>
        <w:spacing w:after="0" w:line="264" w:lineRule="auto"/>
        <w:tabs>
          <w:tab w:leader="none" w:pos="3080" w:val="left"/>
        </w:tabs>
        <w:numPr>
          <w:ilvl w:val="2"/>
          <w:numId w:val="35"/>
        </w:numPr>
        <w:rPr>
          <w:rFonts w:ascii="Arial" w:cs="Arial" w:eastAsia="Arial" w:hAnsi="Arial"/>
          <w:sz w:val="17"/>
          <w:szCs w:val="17"/>
          <w:color w:val="auto"/>
        </w:rPr>
      </w:pPr>
      <w:r>
        <w:rPr>
          <w:rFonts w:ascii="Arial" w:cs="Arial" w:eastAsia="Arial" w:hAnsi="Arial"/>
          <w:sz w:val="17"/>
          <w:szCs w:val="17"/>
          <w:color w:val="auto"/>
        </w:rPr>
        <w:t>the per-share amount of any unpaid dividends for the then current Dividend Period at the Applicable Dividend Rate to, but excluding, the date fixed for redemption (regardless of whether any dividends are actually declared for that Dividend Period; and</w:t>
      </w:r>
    </w:p>
    <w:p>
      <w:pPr>
        <w:spacing w:after="0" w:line="201" w:lineRule="exact"/>
        <w:rPr>
          <w:rFonts w:ascii="Arial" w:cs="Arial" w:eastAsia="Arial" w:hAnsi="Arial"/>
          <w:sz w:val="17"/>
          <w:szCs w:val="17"/>
          <w:color w:val="auto"/>
        </w:rPr>
      </w:pPr>
    </w:p>
    <w:p>
      <w:pPr>
        <w:ind w:left="3080" w:hanging="616"/>
        <w:spacing w:after="0"/>
        <w:tabs>
          <w:tab w:leader="none" w:pos="3080" w:val="left"/>
        </w:tabs>
        <w:numPr>
          <w:ilvl w:val="2"/>
          <w:numId w:val="35"/>
        </w:numPr>
        <w:rPr>
          <w:rFonts w:ascii="Arial" w:cs="Arial" w:eastAsia="Arial" w:hAnsi="Arial"/>
          <w:sz w:val="17"/>
          <w:szCs w:val="17"/>
          <w:color w:val="auto"/>
        </w:rPr>
      </w:pPr>
      <w:r>
        <w:rPr>
          <w:rFonts w:ascii="Arial" w:cs="Arial" w:eastAsia="Arial" w:hAnsi="Arial"/>
          <w:sz w:val="17"/>
          <w:szCs w:val="17"/>
          <w:color w:val="auto"/>
        </w:rPr>
        <w:t>the pro rata amount of CPP Lending Incentive Fees for the current Dividend Period.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84" w:right="239" w:bottom="1440" w:gutter="0" w:footer="0" w:header="0"/>
        </w:sectPr>
      </w:pPr>
    </w:p>
    <w:bookmarkStart w:id="76" w:name="page77"/>
    <w:bookmarkEnd w:id="76"/>
    <w:p>
      <w:pPr>
        <w:jc w:val="both"/>
        <w:ind w:firstLine="615"/>
        <w:spacing w:after="0" w:line="258" w:lineRule="auto"/>
        <w:rPr>
          <w:sz w:val="20"/>
          <w:szCs w:val="20"/>
          <w:color w:val="auto"/>
        </w:rPr>
      </w:pPr>
      <w:r>
        <w:rPr>
          <w:rFonts w:ascii="Arial" w:cs="Arial" w:eastAsia="Arial" w:hAnsi="Arial"/>
          <w:sz w:val="17"/>
          <w:szCs w:val="17"/>
          <w:color w:val="auto"/>
        </w:rPr>
        <w:t>The redemption price for any shares of Designated Preferred Stock shall be payable on the redemption date to the holder of such shares against surrender of the certificate(s) evidencing such shares to the Issuer or its agent. Any declared but unpaid dividends for the then current Dividend Period payable on a redemption date that occurs subsequent to the Dividend Record Date for a Dividend Period shall not be paid to the holder entitled to receive the redemption price on the redemption date, but rather shall be paid to the holder of record of the redeemed shares on such Dividend Record Date relating to the Dividend Payment Date as provided in Section 3 above.</w:t>
      </w:r>
    </w:p>
    <w:p>
      <w:pPr>
        <w:spacing w:after="0" w:line="206" w:lineRule="exact"/>
        <w:rPr>
          <w:sz w:val="20"/>
          <w:szCs w:val="20"/>
          <w:color w:val="auto"/>
        </w:rPr>
      </w:pPr>
    </w:p>
    <w:p>
      <w:pPr>
        <w:ind w:firstLine="1233"/>
        <w:spacing w:after="0" w:line="309" w:lineRule="auto"/>
        <w:tabs>
          <w:tab w:leader="none" w:pos="2118"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No Sinking Fund</w:t>
      </w:r>
      <w:r>
        <w:rPr>
          <w:rFonts w:ascii="Arial" w:cs="Arial" w:eastAsia="Arial" w:hAnsi="Arial"/>
          <w:sz w:val="16"/>
          <w:szCs w:val="16"/>
          <w:color w:val="auto"/>
        </w:rPr>
        <w:t>. The Designated Preferred Stock will not be subject to any mandatory redemption, sinking fund or other similar provisions. Holders of Designated Preferred Stock will have no right to require redemption or repurchase of any shares of Designated Preferred Stock.</w:t>
      </w:r>
    </w:p>
    <w:p>
      <w:pPr>
        <w:spacing w:after="0" w:line="167" w:lineRule="exact"/>
        <w:rPr>
          <w:rFonts w:ascii="Arial" w:cs="Arial" w:eastAsia="Arial" w:hAnsi="Arial"/>
          <w:sz w:val="16"/>
          <w:szCs w:val="16"/>
          <w:color w:val="auto"/>
        </w:rPr>
      </w:pPr>
    </w:p>
    <w:p>
      <w:pPr>
        <w:jc w:val="both"/>
        <w:ind w:firstLine="1233"/>
        <w:spacing w:after="0" w:line="292" w:lineRule="auto"/>
        <w:tabs>
          <w:tab w:leader="none" w:pos="2018" w:val="left"/>
        </w:tabs>
        <w:numPr>
          <w:ilvl w:val="0"/>
          <w:numId w:val="36"/>
        </w:numPr>
        <w:rPr>
          <w:rFonts w:ascii="Arial" w:cs="Arial" w:eastAsia="Arial" w:hAnsi="Arial"/>
          <w:sz w:val="15"/>
          <w:szCs w:val="15"/>
          <w:color w:val="auto"/>
        </w:rPr>
      </w:pPr>
      <w:r>
        <w:rPr>
          <w:rFonts w:ascii="Arial" w:cs="Arial" w:eastAsia="Arial" w:hAnsi="Arial"/>
          <w:sz w:val="15"/>
          <w:szCs w:val="15"/>
          <w:u w:val="single" w:color="auto"/>
          <w:color w:val="auto"/>
        </w:rPr>
        <w:t>Notice of Redemption</w:t>
      </w:r>
      <w:r>
        <w:rPr>
          <w:rFonts w:ascii="Arial" w:cs="Arial" w:eastAsia="Arial" w:hAnsi="Arial"/>
          <w:sz w:val="15"/>
          <w:szCs w:val="15"/>
          <w:color w:val="auto"/>
        </w:rPr>
        <w:t>. Notice of every redemption of shares of Designated Preferred Stock shall be given by first class mail, postage prepaid, addressed to the holders of record of the shares to be redeemed at their respective last addresses appearing on the books of the Issuer. Such mailing shall be at least 30 days and not more than 60 days before the date fixed for redemption. Any notice mailed as provided in this Subsection shall be conclusively presumed to have been duly given, whether or not the holder receives such notice, but failure duly to give such notice by mail, or any defect in such notice or in the mailing thereof, to any holder of shares of Designated Preferred Stock designated for redemption shall not affect the validity of the proceedings for the redemption of any other shares of Designated Preferred Stock. Notwithstanding the foregoing, if shares of Designated Preferred Stock are issued in book-entry form through The Depository Trust Company or any other similar facility, notice of redemption may be given to the holders of Designated Preferred Stock at such time and in any manner permitted by such facility. Each notice of redemption given to a holder shall state: (1) the redemption date; (2) the number of shares of Designated Preferred Stock to be redeemed and, if less than all the shares held by such holder are to be redeemed, the number of such shares to be redeemed from such holder; (3) the redemption price; and (4) the place or places where certificates for such shares are to be surrendered for payment of the redemption price.</w:t>
      </w:r>
    </w:p>
    <w:p>
      <w:pPr>
        <w:spacing w:after="0" w:line="183" w:lineRule="exact"/>
        <w:rPr>
          <w:rFonts w:ascii="Arial" w:cs="Arial" w:eastAsia="Arial" w:hAnsi="Arial"/>
          <w:sz w:val="15"/>
          <w:szCs w:val="15"/>
          <w:color w:val="auto"/>
        </w:rPr>
      </w:pPr>
    </w:p>
    <w:p>
      <w:pPr>
        <w:jc w:val="both"/>
        <w:ind w:firstLine="1233"/>
        <w:spacing w:after="0" w:line="275" w:lineRule="auto"/>
        <w:tabs>
          <w:tab w:leader="none" w:pos="1913"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Partial Redemption</w:t>
      </w:r>
      <w:r>
        <w:rPr>
          <w:rFonts w:ascii="Arial" w:cs="Arial" w:eastAsia="Arial" w:hAnsi="Arial"/>
          <w:sz w:val="16"/>
          <w:szCs w:val="16"/>
          <w:color w:val="auto"/>
        </w:rPr>
        <w:t>. In case of any redemption of part of the shares of Designated Preferred Stock at the time outstanding, the shares to be redeemed shall be selected either pro rata or in such other manner as the Board of Directors or a duly authorized committee thereof may determine to be fair and equitable, but in any event the shares to be redeemed shall not be less than the Minimum Amount. Subject to the provisions hereof, the Board of Directors or a duly authorized committee thereof shall have full power and authority to prescribe the terms and conditions upon which shares of Designated Preferred Stock shall be redeemed from time to time, subject to the approval of the Appropriate Federal Banking Agency. If fewer than all the shares represented by any certificate are redeemed, a new certificate shall be issued representing the unredeemed shares without charge to the holder thereof.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58" w:right="239" w:bottom="1440" w:gutter="0" w:footer="0" w:header="0"/>
        </w:sectPr>
      </w:pPr>
    </w:p>
    <w:bookmarkStart w:id="77" w:name="page78"/>
    <w:bookmarkEnd w:id="77"/>
    <w:p>
      <w:pPr>
        <w:jc w:val="both"/>
        <w:ind w:firstLine="1233"/>
        <w:spacing w:after="0" w:line="272" w:lineRule="auto"/>
        <w:tabs>
          <w:tab w:leader="none" w:pos="1941"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Effectiveness of Redemption</w:t>
      </w:r>
      <w:r>
        <w:rPr>
          <w:rFonts w:ascii="Arial" w:cs="Arial" w:eastAsia="Arial" w:hAnsi="Arial"/>
          <w:sz w:val="16"/>
          <w:szCs w:val="16"/>
          <w:color w:val="auto"/>
        </w:rPr>
        <w:t xml:space="preserve">. If notice of redemption has been duly given and if on or before the redemption date specified in the notice all funds necessary for the redemption have been deposited by the Issuer, in trust for the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benefit of the holders of the shares called for redemption, with a bank or trust company doing business in the Borough of Manhattan, The City of New York, and having a capital and surplus of at least $500 million and selected by the Board of Directors, so as to be and continue to be available solely therefor, then, notwithstanding that any certificate for any share so called for redemption has not been surrendered for cancellation, on and after the redemption date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from such bank or trust company, without interest. Any funds unclaimed at the end of three years from the redemption date shall, to the extent permitted by law, be released to the Issuer, after which time the holders of the shares so called for redemption shall look only to the Issuer for payment of the redemption price of such shares.</w:t>
      </w:r>
    </w:p>
    <w:p>
      <w:pPr>
        <w:spacing w:after="0" w:line="200" w:lineRule="exact"/>
        <w:rPr>
          <w:rFonts w:ascii="Arial" w:cs="Arial" w:eastAsia="Arial" w:hAnsi="Arial"/>
          <w:sz w:val="16"/>
          <w:szCs w:val="16"/>
          <w:color w:val="auto"/>
        </w:rPr>
      </w:pPr>
    </w:p>
    <w:p>
      <w:pPr>
        <w:jc w:val="both"/>
        <w:ind w:firstLine="1233"/>
        <w:spacing w:after="0" w:line="264" w:lineRule="auto"/>
        <w:tabs>
          <w:tab w:leader="none" w:pos="2042"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Status of Redeemed Shares</w:t>
      </w:r>
      <w:r>
        <w:rPr>
          <w:rFonts w:ascii="Arial" w:cs="Arial" w:eastAsia="Arial" w:hAnsi="Arial"/>
          <w:sz w:val="17"/>
          <w:szCs w:val="17"/>
          <w:color w:val="auto"/>
        </w:rPr>
        <w:t>. Shares of Designated Preferred Stock that are redeemed, repurchased or otherwise acquired by the Issuer shall revert to authorized but unissued shares of Preferred Stock (provided that any such cancelled shares of Designated Preferred Stock may be reissued only as shares of any series of Preferred Stock other than Designated Preferred Stock).</w:t>
      </w:r>
    </w:p>
    <w:p>
      <w:pPr>
        <w:spacing w:after="0" w:line="201" w:lineRule="exact"/>
        <w:rPr>
          <w:sz w:val="20"/>
          <w:szCs w:val="20"/>
          <w:color w:val="auto"/>
        </w:rPr>
      </w:pPr>
    </w:p>
    <w:p>
      <w:pPr>
        <w:ind w:left="620"/>
        <w:spacing w:after="0"/>
        <w:tabs>
          <w:tab w:leader="none" w:pos="1880" w:val="left"/>
        </w:tabs>
        <w:rPr>
          <w:sz w:val="20"/>
          <w:szCs w:val="20"/>
          <w:color w:val="auto"/>
        </w:rPr>
      </w:pPr>
      <w:r>
        <w:rPr>
          <w:rFonts w:ascii="Arial" w:cs="Arial" w:eastAsia="Arial" w:hAnsi="Arial"/>
          <w:sz w:val="17"/>
          <w:szCs w:val="17"/>
          <w:color w:val="auto"/>
        </w:rPr>
        <w:t>Section 6.</w:t>
      </w:r>
      <w:r>
        <w:rPr>
          <w:sz w:val="20"/>
          <w:szCs w:val="20"/>
          <w:color w:val="auto"/>
        </w:rPr>
        <w:tab/>
      </w:r>
      <w:r>
        <w:rPr>
          <w:rFonts w:ascii="Arial" w:cs="Arial" w:eastAsia="Arial" w:hAnsi="Arial"/>
          <w:sz w:val="15"/>
          <w:szCs w:val="15"/>
          <w:u w:val="single" w:color="auto"/>
          <w:color w:val="auto"/>
        </w:rPr>
        <w:t>Conversion</w:t>
      </w:r>
      <w:r>
        <w:rPr>
          <w:rFonts w:ascii="Arial" w:cs="Arial" w:eastAsia="Arial" w:hAnsi="Arial"/>
          <w:sz w:val="15"/>
          <w:szCs w:val="15"/>
          <w:color w:val="auto"/>
        </w:rPr>
        <w:t>. Holders of Designated Preferred Stock shares shall have no right to exchange or convert such shares into any other securities.</w:t>
      </w:r>
    </w:p>
    <w:p>
      <w:pPr>
        <w:spacing w:after="0" w:line="240" w:lineRule="exact"/>
        <w:rPr>
          <w:sz w:val="20"/>
          <w:szCs w:val="20"/>
          <w:color w:val="auto"/>
        </w:rPr>
      </w:pPr>
    </w:p>
    <w:p>
      <w:pPr>
        <w:ind w:left="620"/>
        <w:spacing w:after="0"/>
        <w:tabs>
          <w:tab w:leader="none" w:pos="1880" w:val="left"/>
        </w:tabs>
        <w:rPr>
          <w:sz w:val="20"/>
          <w:szCs w:val="20"/>
          <w:color w:val="auto"/>
        </w:rPr>
      </w:pPr>
      <w:r>
        <w:rPr>
          <w:rFonts w:ascii="Arial" w:cs="Arial" w:eastAsia="Arial" w:hAnsi="Arial"/>
          <w:sz w:val="17"/>
          <w:szCs w:val="17"/>
          <w:color w:val="auto"/>
        </w:rPr>
        <w:t>Section 7.</w:t>
      </w:r>
      <w:r>
        <w:rPr>
          <w:sz w:val="20"/>
          <w:szCs w:val="20"/>
          <w:color w:val="auto"/>
        </w:rPr>
        <w:tab/>
      </w:r>
      <w:r>
        <w:rPr>
          <w:rFonts w:ascii="Arial" w:cs="Arial" w:eastAsia="Arial" w:hAnsi="Arial"/>
          <w:sz w:val="15"/>
          <w:szCs w:val="15"/>
          <w:u w:val="single" w:color="auto"/>
          <w:color w:val="auto"/>
        </w:rPr>
        <w:t>Voting Rights</w:t>
      </w:r>
      <w:r>
        <w:rPr>
          <w:rFonts w:ascii="Arial" w:cs="Arial" w:eastAsia="Arial" w:hAnsi="Arial"/>
          <w:sz w:val="15"/>
          <w:szCs w:val="15"/>
          <w:color w:val="auto"/>
        </w:rPr>
        <w:t>.</w:t>
      </w:r>
    </w:p>
    <w:p>
      <w:pPr>
        <w:spacing w:after="0" w:line="240" w:lineRule="exact"/>
        <w:rPr>
          <w:sz w:val="20"/>
          <w:szCs w:val="20"/>
          <w:color w:val="auto"/>
        </w:rPr>
      </w:pPr>
    </w:p>
    <w:p>
      <w:pPr>
        <w:ind w:left="1900" w:hanging="667"/>
        <w:spacing w:after="0"/>
        <w:tabs>
          <w:tab w:leader="none" w:pos="1900" w:val="left"/>
        </w:tabs>
        <w:numPr>
          <w:ilvl w:val="0"/>
          <w:numId w:val="38"/>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The holders of Designated Preferred Stock shall not have any voting rights except as set forth below or as otherwise from time to</w:t>
      </w:r>
    </w:p>
    <w:p>
      <w:pPr>
        <w:spacing w:after="0" w:line="4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time required by law.</w:t>
      </w:r>
    </w:p>
    <w:p>
      <w:pPr>
        <w:spacing w:after="0" w:line="229" w:lineRule="exact"/>
        <w:rPr>
          <w:rFonts w:ascii="Arial" w:cs="Arial" w:eastAsia="Arial" w:hAnsi="Arial"/>
          <w:sz w:val="15"/>
          <w:szCs w:val="15"/>
          <w:color w:val="auto"/>
        </w:rPr>
      </w:pPr>
    </w:p>
    <w:p>
      <w:pPr>
        <w:jc w:val="both"/>
        <w:ind w:firstLine="1233"/>
        <w:spacing w:after="0" w:line="294" w:lineRule="auto"/>
        <w:tabs>
          <w:tab w:leader="none" w:pos="1913" w:val="left"/>
        </w:tabs>
        <w:numPr>
          <w:ilvl w:val="0"/>
          <w:numId w:val="38"/>
        </w:numPr>
        <w:rPr>
          <w:rFonts w:ascii="Arial" w:cs="Arial" w:eastAsia="Arial" w:hAnsi="Arial"/>
          <w:sz w:val="15"/>
          <w:szCs w:val="15"/>
          <w:color w:val="auto"/>
        </w:rPr>
      </w:pPr>
      <w:r>
        <w:rPr>
          <w:rFonts w:ascii="Arial" w:cs="Arial" w:eastAsia="Arial" w:hAnsi="Arial"/>
          <w:sz w:val="15"/>
          <w:szCs w:val="15"/>
          <w:u w:val="single" w:color="auto"/>
          <w:color w:val="auto"/>
        </w:rPr>
        <w:t>Board Observation Rights</w:t>
      </w:r>
      <w:r>
        <w:rPr>
          <w:rFonts w:ascii="Arial" w:cs="Arial" w:eastAsia="Arial" w:hAnsi="Arial"/>
          <w:sz w:val="15"/>
          <w:szCs w:val="15"/>
          <w:color w:val="auto"/>
        </w:rPr>
        <w:t xml:space="preserve">. Whenever, at any time or times, dividends on the shares of Designated Preferred Stock have not been declared and paid in full within five (5) Business Days after each Dividend Payment Date for an aggregate of five (5) Dividend Periods or more, whether or not consecutive, the Issuer shall invite a representative selected by the holders of a majority of the outstanding shares of Designated Preferred Stock, voting as a single class, to attend all meetings of its Board of Directors in a nonvoting observer capacity and, in this respect, shall give such representative copies of all notices, minutes, consents, and other materials that it provides to its directors in connection with such meetings; </w:t>
      </w:r>
      <w:r>
        <w:rPr>
          <w:rFonts w:ascii="Arial" w:cs="Arial" w:eastAsia="Arial" w:hAnsi="Arial"/>
          <w:sz w:val="15"/>
          <w:szCs w:val="15"/>
          <w:u w:val="single" w:color="auto"/>
          <w:color w:val="auto"/>
        </w:rPr>
        <w:t>provided</w:t>
      </w:r>
      <w:r>
        <w:rPr>
          <w:rFonts w:ascii="Arial" w:cs="Arial" w:eastAsia="Arial" w:hAnsi="Arial"/>
          <w:sz w:val="15"/>
          <w:szCs w:val="15"/>
          <w:color w:val="auto"/>
        </w:rPr>
        <w:t>, that the holders of the Designated Preferred Stock shall not be obligated to select such a representative, nor shall such representative, if selected, be obligated to attend any meeting to which he/she is invited. The rights of the holders of the Designated Preferred Stock set forth in this Section 7(b) shall terminate when full dividends have been timely paid on the Designated Preferred Stock for at least four consecutive Dividend Periods, subject to revesting in the event of each and every subsequent default of the character above mentioned.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83" w:right="239" w:bottom="1440" w:gutter="0" w:footer="0" w:header="0"/>
        </w:sectPr>
      </w:pPr>
    </w:p>
    <w:bookmarkStart w:id="78" w:name="page79"/>
    <w:bookmarkEnd w:id="78"/>
    <w:p>
      <w:pPr>
        <w:jc w:val="both"/>
        <w:ind w:firstLine="1233"/>
        <w:spacing w:after="0" w:line="289" w:lineRule="auto"/>
        <w:tabs>
          <w:tab w:leader="none" w:pos="2082" w:val="left"/>
        </w:tabs>
        <w:numPr>
          <w:ilvl w:val="1"/>
          <w:numId w:val="39"/>
        </w:numPr>
        <w:rPr>
          <w:rFonts w:ascii="Arial" w:cs="Arial" w:eastAsia="Arial" w:hAnsi="Arial"/>
          <w:sz w:val="15"/>
          <w:szCs w:val="15"/>
          <w:color w:val="auto"/>
        </w:rPr>
      </w:pPr>
      <w:r>
        <w:rPr>
          <w:rFonts w:ascii="Arial" w:cs="Arial" w:eastAsia="Arial" w:hAnsi="Arial"/>
          <w:sz w:val="15"/>
          <w:szCs w:val="15"/>
          <w:u w:val="single" w:color="auto"/>
          <w:color w:val="auto"/>
        </w:rPr>
        <w:t>Preferred Stock Directors</w:t>
      </w:r>
      <w:r>
        <w:rPr>
          <w:rFonts w:ascii="Arial" w:cs="Arial" w:eastAsia="Arial" w:hAnsi="Arial"/>
          <w:sz w:val="15"/>
          <w:szCs w:val="15"/>
          <w:i w:val="1"/>
          <w:iCs w:val="1"/>
          <w:color w:val="auto"/>
        </w:rPr>
        <w:t>.</w:t>
      </w:r>
      <w:r>
        <w:rPr>
          <w:rFonts w:ascii="Arial" w:cs="Arial" w:eastAsia="Arial" w:hAnsi="Arial"/>
          <w:sz w:val="15"/>
          <w:szCs w:val="15"/>
          <w:color w:val="auto"/>
        </w:rPr>
        <w:t xml:space="preserve"> Whenever, at any time or times, (i) dividends on the shares of Designated Preferred Stock have not been declared and paid in full within five (5) Business Days after each Dividend Payment Date for an aggregate of six (6) Dividend Periods or more, whether or not consecutive, and (ii) the aggregate liquidation preference of the then-outstanding shares of Designated Preferred Stock is greater than or equal to $25,000,000, the authorized number of directors of the Issuer shall automatically be increased by two and the holders of the Designated Preferred Stock, voting as a single class, shall have the right, but not the obligation, to elect two directors (hereinafter the “</w:t>
      </w:r>
      <w:r>
        <w:rPr>
          <w:rFonts w:ascii="Arial" w:cs="Arial" w:eastAsia="Arial" w:hAnsi="Arial"/>
          <w:sz w:val="15"/>
          <w:szCs w:val="15"/>
          <w:u w:val="single" w:color="auto"/>
          <w:color w:val="auto"/>
        </w:rPr>
        <w:t>Preferred Directors</w:t>
      </w:r>
      <w:r>
        <w:rPr>
          <w:rFonts w:ascii="Arial" w:cs="Arial" w:eastAsia="Arial" w:hAnsi="Arial"/>
          <w:sz w:val="15"/>
          <w:szCs w:val="15"/>
          <w:color w:val="auto"/>
        </w:rPr>
        <w:t>” and each a “</w:t>
      </w:r>
      <w:r>
        <w:rPr>
          <w:rFonts w:ascii="Arial" w:cs="Arial" w:eastAsia="Arial" w:hAnsi="Arial"/>
          <w:sz w:val="15"/>
          <w:szCs w:val="15"/>
          <w:u w:val="single" w:color="auto"/>
          <w:color w:val="auto"/>
        </w:rPr>
        <w:t>Preferred Director</w:t>
      </w:r>
      <w:r>
        <w:rPr>
          <w:rFonts w:ascii="Arial" w:cs="Arial" w:eastAsia="Arial" w:hAnsi="Arial"/>
          <w:sz w:val="15"/>
          <w:szCs w:val="15"/>
          <w:color w:val="auto"/>
        </w:rPr>
        <w:t xml:space="preserve">”) to fill such newly created directorships at the Issuer’s next annual meeting of stockholders (or, if the next annual meeting is not yet scheduled or is scheduled to occur more than thirty days later, the President of the Company shall promptly call a special meeting for that purpose) and at each subsequent annual meeting of stockholders until full dividends have been timely paid on the Designated Preferred Stock for at least four consecutive Dividend Periods, at which time such right shall terminate with respect to the Designated Preferred Stock, except as herein or by law expressly provided, subject to revesting in the event of each and every subsequent default of the character above mentioned;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it shall be a qualification for election for any Preferred Director that the election of such Preferred Director shall not cause the Issuer to violate any corporate governance requirements of any securities exchange or other trading facility on which securities of the Issuer may then be listed or traded that listed or traded companies must have a majority of independent directors. Upon any termination of the right of the holders of shares of Designated Preferred Stock to vote for directors as provided above, the Preferred Directors shall cease to be qualified as directors, the term of office of all Preferred Directors then in office shall terminate immediately and the authorized number of directors shall be reduced by the number of Preferred Directors elected pursuant hereto. Any Preferred Director may be removed at any time, with or without cause, and any vacancy created thereby may be filled, only by the affirmative vote of the holders a majority of the shares of Designated Preferred Stock at the time outstanding voting separately as a class. If the office of any Preferred Director becomes vacant for any reason other than removal from office as aforesaid, the holders of a majority of the outstanding shares of Designated Preferred Stock, voting as a single class, may choose a successor who shall hold office for the unexpired term in respect of which such vacancy occurred.</w:t>
      </w:r>
    </w:p>
    <w:p>
      <w:pPr>
        <w:spacing w:after="0" w:line="392" w:lineRule="exact"/>
        <w:rPr>
          <w:rFonts w:ascii="Arial" w:cs="Arial" w:eastAsia="Arial" w:hAnsi="Arial"/>
          <w:sz w:val="15"/>
          <w:szCs w:val="15"/>
          <w:color w:val="auto"/>
        </w:rPr>
      </w:pPr>
    </w:p>
    <w:p>
      <w:pPr>
        <w:jc w:val="both"/>
        <w:ind w:firstLine="1233"/>
        <w:spacing w:after="0" w:line="293" w:lineRule="auto"/>
        <w:tabs>
          <w:tab w:leader="none" w:pos="1913" w:val="left"/>
        </w:tabs>
        <w:numPr>
          <w:ilvl w:val="1"/>
          <w:numId w:val="39"/>
        </w:numPr>
        <w:rPr>
          <w:rFonts w:ascii="Arial" w:cs="Arial" w:eastAsia="Arial" w:hAnsi="Arial"/>
          <w:sz w:val="15"/>
          <w:szCs w:val="15"/>
          <w:color w:val="auto"/>
        </w:rPr>
      </w:pPr>
      <w:r>
        <w:rPr>
          <w:rFonts w:ascii="Arial" w:cs="Arial" w:eastAsia="Arial" w:hAnsi="Arial"/>
          <w:sz w:val="15"/>
          <w:szCs w:val="15"/>
          <w:u w:val="single" w:color="auto"/>
          <w:color w:val="auto"/>
        </w:rPr>
        <w:t>Class Voting Rights as to Particular Matters</w:t>
      </w:r>
      <w:r>
        <w:rPr>
          <w:rFonts w:ascii="Arial" w:cs="Arial" w:eastAsia="Arial" w:hAnsi="Arial"/>
          <w:sz w:val="15"/>
          <w:szCs w:val="15"/>
          <w:color w:val="auto"/>
        </w:rPr>
        <w:t>. So long as any shares of Designated Preferred Stock are outstanding, in addition to any other vote or consent of stockholders required by law or by the Charter, the written consent of (x) Treasury if Treasury holds any shares of Designated Preferred Stock, or</w:t>
      </w:r>
    </w:p>
    <w:p>
      <w:pPr>
        <w:ind w:firstLine="3"/>
        <w:spacing w:after="0" w:line="263" w:lineRule="auto"/>
        <w:tabs>
          <w:tab w:leader="none" w:pos="25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holders of a majority of the outstanding shares of Designated Preferred Stock, voting as a single class, if Treasury does not hold any shares of Designated Preferred Stock, shall be necessary for effecting or validating:</w:t>
      </w:r>
    </w:p>
    <w:p>
      <w:pPr>
        <w:spacing w:after="0" w:line="201" w:lineRule="exact"/>
        <w:rPr>
          <w:rFonts w:ascii="Arial" w:cs="Arial" w:eastAsia="Arial" w:hAnsi="Arial"/>
          <w:sz w:val="17"/>
          <w:szCs w:val="17"/>
          <w:color w:val="auto"/>
        </w:rPr>
      </w:pPr>
    </w:p>
    <w:p>
      <w:pPr>
        <w:jc w:val="both"/>
        <w:ind w:left="620" w:firstLine="1272"/>
        <w:spacing w:after="0" w:line="281" w:lineRule="auto"/>
        <w:tabs>
          <w:tab w:leader="none" w:pos="2537" w:val="left"/>
        </w:tabs>
        <w:numPr>
          <w:ilvl w:val="2"/>
          <w:numId w:val="40"/>
        </w:numPr>
        <w:rPr>
          <w:rFonts w:ascii="Arial" w:cs="Arial" w:eastAsia="Arial" w:hAnsi="Arial"/>
          <w:sz w:val="16"/>
          <w:szCs w:val="16"/>
          <w:color w:val="auto"/>
        </w:rPr>
      </w:pPr>
      <w:r>
        <w:rPr>
          <w:rFonts w:ascii="Arial" w:cs="Arial" w:eastAsia="Arial" w:hAnsi="Arial"/>
          <w:sz w:val="16"/>
          <w:szCs w:val="16"/>
          <w:u w:val="single" w:color="auto"/>
          <w:color w:val="auto"/>
        </w:rPr>
        <w:t>Authorization of Senior Stock</w:t>
      </w:r>
      <w:r>
        <w:rPr>
          <w:rFonts w:ascii="Arial" w:cs="Arial" w:eastAsia="Arial" w:hAnsi="Arial"/>
          <w:sz w:val="16"/>
          <w:szCs w:val="16"/>
          <w:color w:val="auto"/>
        </w:rPr>
        <w:t>. Any amendment or alteration of the Certificate of Designation for the Designated Preferred Stock or the Charter to authorize or create or increase the authorized amount of, or any issuance of, any shares of, or any securities convertible into or exchangeable or exercisable for shares of any class or series of capital stock of the Issuer ranking senior to Designated Preferred Stock with respect to either or both the payment of dividends and/or the distribution of assets on any liquidation, dissolution or winding up of the Issuer;</w:t>
      </w:r>
    </w:p>
    <w:p>
      <w:pPr>
        <w:spacing w:after="0" w:line="189" w:lineRule="exact"/>
        <w:rPr>
          <w:rFonts w:ascii="Arial" w:cs="Arial" w:eastAsia="Arial" w:hAnsi="Arial"/>
          <w:sz w:val="16"/>
          <w:szCs w:val="16"/>
          <w:color w:val="auto"/>
        </w:rPr>
      </w:pPr>
    </w:p>
    <w:p>
      <w:pPr>
        <w:jc w:val="both"/>
        <w:ind w:left="620" w:firstLine="1298"/>
        <w:spacing w:after="0" w:line="260" w:lineRule="auto"/>
        <w:tabs>
          <w:tab w:leader="none" w:pos="2824" w:val="left"/>
        </w:tabs>
        <w:numPr>
          <w:ilvl w:val="3"/>
          <w:numId w:val="40"/>
        </w:numPr>
        <w:rPr>
          <w:rFonts w:ascii="Arial" w:cs="Arial" w:eastAsia="Arial" w:hAnsi="Arial"/>
          <w:sz w:val="17"/>
          <w:szCs w:val="17"/>
          <w:color w:val="auto"/>
        </w:rPr>
      </w:pPr>
      <w:r>
        <w:rPr>
          <w:rFonts w:ascii="Arial" w:cs="Arial" w:eastAsia="Arial" w:hAnsi="Arial"/>
          <w:sz w:val="17"/>
          <w:szCs w:val="17"/>
          <w:u w:val="single" w:color="auto"/>
          <w:color w:val="auto"/>
        </w:rPr>
        <w:t>Amendment of Designated Preferred Stock</w:t>
      </w:r>
      <w:r>
        <w:rPr>
          <w:rFonts w:ascii="Arial" w:cs="Arial" w:eastAsia="Arial" w:hAnsi="Arial"/>
          <w:sz w:val="17"/>
          <w:szCs w:val="17"/>
          <w:color w:val="auto"/>
        </w:rPr>
        <w:t>. Any amendment, alteration or repeal of any provision of the Certificate of Designation for the Designated Preferred Stock or the Charter (including, unless no vote on such merger or consolidation is required by Section 7(d)(iii) below, any amendment, alteration or repeal by means of a merger, consolidation or otherwise) so as to adversely affect the rights, preferences, privileges or voting powers of the Designated Preferred Stock;</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83" w:right="239" w:bottom="1440" w:gutter="0" w:footer="0" w:header="0"/>
        </w:sectPr>
      </w:pPr>
    </w:p>
    <w:bookmarkStart w:id="79" w:name="page80"/>
    <w:bookmarkEnd w:id="79"/>
    <w:p>
      <w:pPr>
        <w:jc w:val="both"/>
        <w:ind w:left="620" w:firstLine="1229"/>
        <w:spacing w:after="0" w:line="294" w:lineRule="auto"/>
        <w:tabs>
          <w:tab w:leader="none" w:pos="2671" w:val="left"/>
        </w:tabs>
        <w:numPr>
          <w:ilvl w:val="0"/>
          <w:numId w:val="41"/>
        </w:numPr>
        <w:rPr>
          <w:rFonts w:ascii="Arial" w:cs="Arial" w:eastAsia="Arial" w:hAnsi="Arial"/>
          <w:sz w:val="15"/>
          <w:szCs w:val="15"/>
          <w:color w:val="auto"/>
        </w:rPr>
      </w:pPr>
      <w:r>
        <w:rPr>
          <w:rFonts w:ascii="Arial" w:cs="Arial" w:eastAsia="Arial" w:hAnsi="Arial"/>
          <w:sz w:val="15"/>
          <w:szCs w:val="15"/>
          <w:u w:val="single" w:color="auto"/>
          <w:color w:val="auto"/>
        </w:rPr>
        <w:t>Share Exchanges, Reclassifications, Mergers and Consolidations</w:t>
      </w:r>
      <w:r>
        <w:rPr>
          <w:rFonts w:ascii="Arial" w:cs="Arial" w:eastAsia="Arial" w:hAnsi="Arial"/>
          <w:sz w:val="15"/>
          <w:szCs w:val="15"/>
          <w:color w:val="auto"/>
        </w:rPr>
        <w:t>. Subject to Section 7(d)(v) below, any consummation of a binding share exchange or reclassification involving the Designated Preferred Stock, or of a merger or consolidation of the Issuer with another corporation or other entity, unless in each case (x) the shares of Designated Preferred Stock remain outstanding or, in the case of any such merger or consolidation with respect to which the Issuer is not the surviving or resulting entity, are converted into or exchanged for preference securities of the surviving or resulting entity or its ultimate parent, and (y) such shares remaining outstanding or such preference securities, as the case may be, have such rights, preferences, privileges and voting powers, and limitations and restrictions thereof that are the same as the rights, preferences, privileges and voting powers, and limitations and restrictions thereof, of Designated Preferred Stock immediately prior to such consummation, taken as a whole; provided, that in all cases, the obligations of the Issuer are assumed (by operation of law or by express written assumption) by the resulting entity or its ultimate parent;</w:t>
      </w:r>
    </w:p>
    <w:p>
      <w:pPr>
        <w:spacing w:after="0" w:line="181" w:lineRule="exact"/>
        <w:rPr>
          <w:rFonts w:ascii="Arial" w:cs="Arial" w:eastAsia="Arial" w:hAnsi="Arial"/>
          <w:sz w:val="15"/>
          <w:szCs w:val="15"/>
          <w:color w:val="auto"/>
        </w:rPr>
      </w:pPr>
    </w:p>
    <w:p>
      <w:pPr>
        <w:ind w:left="620" w:firstLine="1229"/>
        <w:spacing w:after="0" w:line="277" w:lineRule="auto"/>
        <w:tabs>
          <w:tab w:leader="none" w:pos="2584"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Certain Asset Sales</w:t>
      </w:r>
      <w:r>
        <w:rPr>
          <w:rFonts w:ascii="Arial" w:cs="Arial" w:eastAsia="Arial" w:hAnsi="Arial"/>
          <w:sz w:val="17"/>
          <w:szCs w:val="17"/>
          <w:color w:val="auto"/>
        </w:rPr>
        <w:t>. Any sale of all, substantially all, or any material portion of, the assets of the Company, if the Designated Preferred Stock will not be redeemed in full contemporaneously with the consummation of such sale; and</w:t>
      </w:r>
    </w:p>
    <w:p>
      <w:pPr>
        <w:spacing w:after="0" w:line="189" w:lineRule="exact"/>
        <w:rPr>
          <w:rFonts w:ascii="Arial" w:cs="Arial" w:eastAsia="Arial" w:hAnsi="Arial"/>
          <w:sz w:val="17"/>
          <w:szCs w:val="17"/>
          <w:color w:val="auto"/>
        </w:rPr>
      </w:pPr>
    </w:p>
    <w:p>
      <w:pPr>
        <w:jc w:val="both"/>
        <w:ind w:left="620" w:firstLine="1229"/>
        <w:spacing w:after="0" w:line="256" w:lineRule="auto"/>
        <w:tabs>
          <w:tab w:leader="none" w:pos="2682"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Holding Company Transactions</w:t>
      </w:r>
      <w:r>
        <w:rPr>
          <w:rFonts w:ascii="Arial" w:cs="Arial" w:eastAsia="Arial" w:hAnsi="Arial"/>
          <w:sz w:val="17"/>
          <w:szCs w:val="17"/>
          <w:color w:val="auto"/>
        </w:rPr>
        <w:t>. Any consummation of a Holding Company Transaction, unless as a result of the Holding Company Transaction each share of Designated Preferred Stock shall be converted into or exchanged for one share with an equal liquidation preference of preference securities of the Issuer or MoneyTree , as applicable or the Acquiror (the “</w:t>
      </w:r>
      <w:r>
        <w:rPr>
          <w:rFonts w:ascii="Arial" w:cs="Arial" w:eastAsia="Arial" w:hAnsi="Arial"/>
          <w:sz w:val="17"/>
          <w:szCs w:val="17"/>
          <w:u w:val="single" w:color="auto"/>
          <w:color w:val="auto"/>
        </w:rPr>
        <w:t>Holding Company Preferred Stock</w:t>
      </w:r>
      <w:r>
        <w:rPr>
          <w:rFonts w:ascii="Arial" w:cs="Arial" w:eastAsia="Arial" w:hAnsi="Arial"/>
          <w:sz w:val="17"/>
          <w:szCs w:val="17"/>
          <w:color w:val="auto"/>
        </w:rPr>
        <w:t>”). Any such Holding Company Preferred Stock shall entitle holders thereof to dividends from the date of issuance of such Holding Company Preferred Stock on terms that are equivalent to the terms set forth herein, and shall have such other rights, preferences, privileges and voting powers, and limitations and restrictions thereof that are the same as the rights, preferences, privileges and voting powers, and limitations and restrictions thereof, of Designated Preferred Stock immediately prior to such conversion or exchange, taken as a whole;</w:t>
      </w:r>
    </w:p>
    <w:p>
      <w:pPr>
        <w:spacing w:after="0" w:line="20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u w:val="single" w:color="auto"/>
          <w:color w:val="auto"/>
        </w:rPr>
        <w:t>provided, however</w:t>
      </w:r>
      <w:r>
        <w:rPr>
          <w:rFonts w:ascii="Arial" w:cs="Arial" w:eastAsia="Arial" w:hAnsi="Arial"/>
          <w:sz w:val="16"/>
          <w:szCs w:val="16"/>
          <w:color w:val="auto"/>
        </w:rPr>
        <w:t>, that for all purposes of this Section 7(d), any increase in the amount of the authorized Preferred Stock, including any increase in the authorized amount of Designated Preferred Stock necessary to satisfy preemptive or similar rights granted by the Issuer to other persons prior to the Signing Date, or the creation and issuance, or an increase in the authorized or issued amount, whether pursuant to preemptive or similar rights or otherwise, of any other series of Preferred Stock, or any securities convertible into or exchangeable or exercisable for any other series of Preferred Stock, ranking equally with and/or junior to Designated Preferred Stock with respect to the payment of dividends (whether such dividends are cumulative or non-cumulative) and the distribution of assets upon liquidation, dissolution or winding up of the Issuer will not be deemed to adversely affect the rights, preferences, privileges or voting powers, and shall not require the affirmative vote or consent of, the holders of outstanding shares of the Designated Preferred Stock.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83" w:right="239" w:bottom="1440" w:gutter="0" w:footer="0" w:header="0"/>
        </w:sectPr>
      </w:pPr>
    </w:p>
    <w:bookmarkStart w:id="80" w:name="page81"/>
    <w:bookmarkEnd w:id="80"/>
    <w:p>
      <w:pPr>
        <w:jc w:val="both"/>
        <w:ind w:firstLine="1233"/>
        <w:spacing w:after="0" w:line="260" w:lineRule="auto"/>
        <w:tabs>
          <w:tab w:leader="none" w:pos="201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Changes after Provision for Redemption</w:t>
      </w:r>
      <w:r>
        <w:rPr>
          <w:rFonts w:ascii="Arial" w:cs="Arial" w:eastAsia="Arial" w:hAnsi="Arial"/>
          <w:sz w:val="17"/>
          <w:szCs w:val="17"/>
          <w:color w:val="auto"/>
        </w:rPr>
        <w:t>. No vote or consent of the holders of Designated Preferred Stock shall be required pursuant to Section 7(d) above if, at or prior to the time when any such vote or consent would otherwise be required pursuant to such Section, all outstanding shares of the Designated Preferred Stock shall have been redeemed, or shall have been called for redemption upon proper notice and sufficient funds shall have been deposited in trust for such redemption, in each case pursuant to Section 5 above.</w:t>
      </w:r>
    </w:p>
    <w:p>
      <w:pPr>
        <w:spacing w:after="0" w:line="204" w:lineRule="exact"/>
        <w:rPr>
          <w:rFonts w:ascii="Arial" w:cs="Arial" w:eastAsia="Arial" w:hAnsi="Arial"/>
          <w:sz w:val="17"/>
          <w:szCs w:val="17"/>
          <w:color w:val="auto"/>
        </w:rPr>
      </w:pPr>
    </w:p>
    <w:p>
      <w:pPr>
        <w:jc w:val="both"/>
        <w:ind w:firstLine="1233"/>
        <w:spacing w:after="0" w:line="256" w:lineRule="auto"/>
        <w:tabs>
          <w:tab w:leader="none" w:pos="2093"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Procedures for Voting and Consents</w:t>
      </w:r>
      <w:r>
        <w:rPr>
          <w:rFonts w:ascii="Arial" w:cs="Arial" w:eastAsia="Arial" w:hAnsi="Arial"/>
          <w:sz w:val="17"/>
          <w:szCs w:val="17"/>
          <w:color w:val="auto"/>
        </w:rPr>
        <w:t>. The rules and procedures for calling and conducting any meeting of the holders of Designated Preferred Stock (including, without limitation, the fixing of a record date in connection therewith), the solicitation and use of proxies at such a meeting, the obtaining of written consents and any other aspect or matter with regard to such a meeting or such consents shall be governed by any rules of the Board of Directors or any duly authorized committee of the Board of Directors, in its discretion, may adopt from time to time, which rules and procedures shall conform to the requirements of the Charter, the Bylaws, and applicable law and the rules of any national securities exchange or other trading facility on which Designated Preferred Stock is listed or traded at the time.</w:t>
      </w:r>
    </w:p>
    <w:p>
      <w:pPr>
        <w:spacing w:after="0" w:line="210" w:lineRule="exact"/>
        <w:rPr>
          <w:sz w:val="20"/>
          <w:szCs w:val="20"/>
          <w:color w:val="auto"/>
        </w:rPr>
      </w:pPr>
    </w:p>
    <w:p>
      <w:pPr>
        <w:ind w:left="620"/>
        <w:spacing w:after="0"/>
        <w:tabs>
          <w:tab w:leader="none" w:pos="1920" w:val="left"/>
        </w:tabs>
        <w:rPr>
          <w:sz w:val="20"/>
          <w:szCs w:val="20"/>
          <w:color w:val="auto"/>
        </w:rPr>
      </w:pPr>
      <w:r>
        <w:rPr>
          <w:rFonts w:ascii="Arial" w:cs="Arial" w:eastAsia="Arial" w:hAnsi="Arial"/>
          <w:sz w:val="17"/>
          <w:szCs w:val="17"/>
          <w:color w:val="auto"/>
        </w:rPr>
        <w:t>Section 8.</w:t>
      </w:r>
      <w:r>
        <w:rPr>
          <w:sz w:val="20"/>
          <w:szCs w:val="20"/>
          <w:color w:val="auto"/>
        </w:rPr>
        <w:tab/>
      </w:r>
      <w:r>
        <w:rPr>
          <w:rFonts w:ascii="Arial" w:cs="Arial" w:eastAsia="Arial" w:hAnsi="Arial"/>
          <w:sz w:val="15"/>
          <w:szCs w:val="15"/>
          <w:u w:val="single" w:color="auto"/>
          <w:color w:val="auto"/>
        </w:rPr>
        <w:t>Restriction on Redemptions and Repurchases</w:t>
      </w:r>
      <w:r>
        <w:rPr>
          <w:rFonts w:ascii="Arial" w:cs="Arial" w:eastAsia="Arial" w:hAnsi="Arial"/>
          <w:sz w:val="15"/>
          <w:szCs w:val="15"/>
          <w:color w:val="auto"/>
        </w:rPr>
        <w:t>.</w:t>
      </w:r>
    </w:p>
    <w:p>
      <w:pPr>
        <w:spacing w:after="0" w:line="240" w:lineRule="exact"/>
        <w:rPr>
          <w:sz w:val="20"/>
          <w:szCs w:val="20"/>
          <w:color w:val="auto"/>
        </w:rPr>
      </w:pPr>
    </w:p>
    <w:p>
      <w:pPr>
        <w:jc w:val="both"/>
        <w:ind w:firstLine="1233"/>
        <w:spacing w:after="0" w:line="278" w:lineRule="auto"/>
        <w:tabs>
          <w:tab w:leader="none" w:pos="2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Subject to Sections 8(b) and (c), so long as any share of Designated Preferred Stock remains outstanding, the Issuer may repurchase or redeem any shares of Capital Stock (as defined below), in each case only if (i) after giving effect to such dividend, repurchase or redemption, the Issuer’s Tier 1 capital would be at least equal to the Tier 1 Dividend Threshold and (ii) dividends on all outstanding shares of Designated Preferred Stock for the most recently completed Dividend Period have been or are contemporaneously declared and paid (or have been declared and a sum sufficient for the payment thereof has been set aside for the benefit of the holders of shares of Designated Preferred Stock on the applicable record date).</w:t>
      </w:r>
    </w:p>
    <w:p>
      <w:pPr>
        <w:spacing w:after="0" w:line="190" w:lineRule="exact"/>
        <w:rPr>
          <w:rFonts w:ascii="Arial" w:cs="Arial" w:eastAsia="Arial" w:hAnsi="Arial"/>
          <w:sz w:val="16"/>
          <w:szCs w:val="16"/>
          <w:color w:val="auto"/>
        </w:rPr>
      </w:pPr>
    </w:p>
    <w:p>
      <w:pPr>
        <w:jc w:val="both"/>
        <w:ind w:firstLine="1233"/>
        <w:spacing w:after="0" w:line="270" w:lineRule="auto"/>
        <w:tabs>
          <w:tab w:leader="none" w:pos="1972"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If a dividend is not declared and paid on the Designated Preferred Stock in respect of any Dividend Period, then from the last day of such Dividend Period until the last day of the third (3rd) Dividend Period immediately following it, neither the Issuer nor any Issuer Subsidiary shall, redeem, purchase or acquire any shares of Common Stock, Junior Stock, Parity Stock or other capital stock or other equity securities of any kind of the Issuer or any Issuer Subsidiary, or any trust preferred securities issued by the Issuer or any Affiliate of the Issuer (“Capital Stock”), (other than (i) redemptions, purchases, repurchases or other acquisitions of the Designated Preferred Stock and (ii) repurchases of Junior Stock or Common Stock in connection with the administration of any employee benefit plan in the ordinary course of business (including purchases to offset any Share Dilution Amount pursuant to a publicly announced repurchase plan) and consistent with past practice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purchases to offset the Share Dilution Amount shall in no event exceed the Share Dilution Amount, (iii) the acquisition by the Issuer or any of the Issuer Subsidiaries of record ownership in Junior Stock or Parity Stock for the beneficial ownership of any other persons (other than the Issuer or any other Issuer Subsidiary), including as trustees or custodians, (iv) the exchange or conversion of Junior Stock for or into other Junior Stock or of Parity Stock or trust preferred securities for or into other Parity Stock (with the same or lesser aggregate liquidation amount) or Junior Stock, in each case set forth in this clause (iv), solely to the extent required pursuant to binding contractual agreements entered into prior to the Signing Date by MoneyTree or any subsequent agreement for the accelerated exercise, settlement or exchange thereof for Common Stock, (v) redemptions of securities held by the Issuer or any wholly-owned Issuer Subsidiary or (vi) redemptions, purchases or other acquisitions of capital stock or other equity securities of any kind of any Issuer Subsidiary required pursuant to binding contractual agreements entered into prior to (x) if Treasury held Previously Acquired Preferred Shares immediately prior to the Original Issue Date, the original issue date of such Previously Acquired Preferred Shares, or (y) otherwise, the Signing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83" w:right="239" w:bottom="1440" w:gutter="0" w:footer="0" w:header="0"/>
        </w:sectPr>
      </w:pPr>
    </w:p>
    <w:bookmarkStart w:id="81" w:name="page82"/>
    <w:bookmarkEnd w:id="81"/>
    <w:p>
      <w:pPr>
        <w:jc w:val="both"/>
        <w:ind w:firstLine="1233"/>
        <w:spacing w:after="0" w:line="264" w:lineRule="auto"/>
        <w:tabs>
          <w:tab w:leader="none" w:pos="2104"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the Issuer is not Publicly-Traded, then after the tenth (10th) anniversary of the Signing Date, so long as any share of Designated Preferred Stock remains outstanding, no Common Stock, Junior Stock or Parity Stock shall be, directly or indirectly, purchased, redeemed or otherwise acquired for consideration by the Issuer or any of its subsidiaries.</w:t>
      </w:r>
    </w:p>
    <w:p>
      <w:pPr>
        <w:spacing w:after="0" w:line="201" w:lineRule="exact"/>
        <w:rPr>
          <w:sz w:val="20"/>
          <w:szCs w:val="20"/>
          <w:color w:val="auto"/>
        </w:rPr>
      </w:pPr>
    </w:p>
    <w:p>
      <w:pPr>
        <w:jc w:val="both"/>
        <w:ind w:firstLine="615"/>
        <w:spacing w:after="0" w:line="264"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No Preemptive Rights</w:t>
      </w:r>
      <w:r>
        <w:rPr>
          <w:rFonts w:ascii="Arial" w:cs="Arial" w:eastAsia="Arial" w:hAnsi="Arial"/>
          <w:sz w:val="17"/>
          <w:szCs w:val="17"/>
          <w:color w:val="auto"/>
        </w:rPr>
        <w:t>. No share of Designated Preferred Stock shall have any rights of preemption whatsoever as to any securities of the Issuer, or any warrants, rights or options issued or granted with respect thereto, regardless of how such securities, or such warrants, rights or options, may be designated, issued or granted.</w:t>
      </w:r>
    </w:p>
    <w:p>
      <w:pPr>
        <w:spacing w:after="0" w:line="201" w:lineRule="exact"/>
        <w:rPr>
          <w:sz w:val="20"/>
          <w:szCs w:val="20"/>
          <w:color w:val="auto"/>
        </w:rPr>
      </w:pPr>
    </w:p>
    <w:p>
      <w:pPr>
        <w:jc w:val="both"/>
        <w:ind w:firstLine="615"/>
        <w:spacing w:after="0" w:line="264"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References to Line Items of Supplemental Reports</w:t>
      </w:r>
      <w:r>
        <w:rPr>
          <w:rFonts w:ascii="Arial" w:cs="Arial" w:eastAsia="Arial" w:hAnsi="Arial"/>
          <w:sz w:val="17"/>
          <w:szCs w:val="17"/>
          <w:color w:val="auto"/>
        </w:rPr>
        <w:t>. If Treasury modifies the form of Supplemental Report, pursuant to its rights under the Definitive Agreement, and any such modification includes a change to the caption or number of any line item on the Supplemental Report, then any reference herein to such line item shall thereafter be a reference to such re-captioned or re-numbered line item.</w:t>
      </w:r>
    </w:p>
    <w:p>
      <w:pPr>
        <w:spacing w:after="0" w:line="201" w:lineRule="exact"/>
        <w:rPr>
          <w:sz w:val="20"/>
          <w:szCs w:val="20"/>
          <w:color w:val="auto"/>
        </w:rPr>
      </w:pPr>
    </w:p>
    <w:p>
      <w:pPr>
        <w:jc w:val="both"/>
        <w:ind w:firstLine="615"/>
        <w:spacing w:after="0" w:line="264"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Record Holders</w:t>
      </w:r>
      <w:r>
        <w:rPr>
          <w:rFonts w:ascii="Arial" w:cs="Arial" w:eastAsia="Arial" w:hAnsi="Arial"/>
          <w:sz w:val="17"/>
          <w:szCs w:val="17"/>
          <w:color w:val="auto"/>
        </w:rPr>
        <w:t>. To the fullest extent permitted by applicable law, the Issuer and the transfer agent for Designated Preferred Stock may deem and treat the record holder of any share of Designated Preferred Stock as the true and lawful owner thereof for all purposes, and neither the Issuer nor such transfer agent shall be affected by any notice to the contrary.</w:t>
      </w:r>
    </w:p>
    <w:p>
      <w:pPr>
        <w:spacing w:after="0" w:line="201" w:lineRule="exact"/>
        <w:rPr>
          <w:sz w:val="20"/>
          <w:szCs w:val="20"/>
          <w:color w:val="auto"/>
        </w:rPr>
      </w:pPr>
    </w:p>
    <w:p>
      <w:pPr>
        <w:jc w:val="both"/>
        <w:ind w:firstLine="615"/>
        <w:spacing w:after="0" w:line="281"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or communications in respect of Designated Preferred Stock shall be sufficiently given if given in writing and delivered in person or by first class mail, postage prepaid, or if given in such other manner as may be permitted in this Certificate of Designation, in the Charter or Bylaws or by applicable law. Notwithstanding the foregoing, if shares of Designated Preferred Stock are issued in book-entry form through The Depository Trust Company or any similar facility, such notices may be given to the holders of Designated Preferred Stock in any manner permitted by such facility.</w:t>
      </w:r>
    </w:p>
    <w:p>
      <w:pPr>
        <w:spacing w:after="0" w:line="190" w:lineRule="exact"/>
        <w:rPr>
          <w:sz w:val="20"/>
          <w:szCs w:val="20"/>
          <w:color w:val="auto"/>
        </w:rPr>
      </w:pPr>
    </w:p>
    <w:p>
      <w:pPr>
        <w:jc w:val="both"/>
        <w:ind w:firstLine="615"/>
        <w:spacing w:after="0" w:line="288"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Replacement Certificates</w:t>
      </w:r>
      <w:r>
        <w:rPr>
          <w:rFonts w:ascii="Arial" w:cs="Arial" w:eastAsia="Arial" w:hAnsi="Arial"/>
          <w:sz w:val="16"/>
          <w:szCs w:val="16"/>
          <w:color w:val="auto"/>
        </w:rPr>
        <w:t>. The Issuer shall replace any mutilated certificate at the holder’s expense upon surrender of that certificate to the Issuer. The Issuer shall replace certificates that become destroyed, stolen or lost at the holder’s expense upon delivery to the Issuer of reasonably satisfactory evidence that the certificate has been destroyed, stolen or lost, together with any indemnity that may be reasonably required by the Issuer.</w:t>
      </w:r>
    </w:p>
    <w:p>
      <w:pPr>
        <w:spacing w:after="0" w:line="184" w:lineRule="exact"/>
        <w:rPr>
          <w:sz w:val="20"/>
          <w:szCs w:val="20"/>
          <w:color w:val="auto"/>
        </w:rPr>
      </w:pPr>
    </w:p>
    <w:p>
      <w:pPr>
        <w:jc w:val="both"/>
        <w:ind w:firstLine="615"/>
        <w:spacing w:after="0" w:line="264"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Other Rights</w:t>
      </w:r>
      <w:r>
        <w:rPr>
          <w:rFonts w:ascii="Arial" w:cs="Arial" w:eastAsia="Arial" w:hAnsi="Arial"/>
          <w:sz w:val="17"/>
          <w:szCs w:val="17"/>
          <w:color w:val="auto"/>
        </w:rPr>
        <w:t>. The shares of Designated Preferred Stock shall not have any rights, preferences, privileges or voting powers or relative, participating, optional or other special rights, or qualifications, limitations or restrictions thereof, other than as set forth herein or in the Charter or as provided by applicable law.</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536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883" w:right="239" w:bottom="1440" w:gutter="0" w:footer="0" w:header="0"/>
        </w:sectPr>
      </w:pPr>
    </w:p>
    <w:bookmarkStart w:id="82" w:name="page83"/>
    <w:bookmarkEnd w:id="82"/>
    <w:p>
      <w:pPr>
        <w:jc w:val="center"/>
        <w:ind w:right="-79"/>
        <w:spacing w:after="0"/>
        <w:rPr>
          <w:sz w:val="20"/>
          <w:szCs w:val="20"/>
          <w:color w:val="auto"/>
        </w:rPr>
      </w:pPr>
      <w:r>
        <w:rPr>
          <w:rFonts w:ascii="Arial" w:cs="Arial" w:eastAsia="Arial" w:hAnsi="Arial"/>
          <w:sz w:val="17"/>
          <w:szCs w:val="17"/>
          <w:b w:val="1"/>
          <w:bCs w:val="1"/>
          <w:color w:val="auto"/>
        </w:rPr>
        <w:t>ARTICLES OF AMENDMENT</w:t>
      </w:r>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OF</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UNITED COMMUNITY BANKS, INC.</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name of the corporation is United Community Banks, Inc.</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Restated Articles of Incorporation, as amended, of the corporation are amended as follows:</w:t>
      </w:r>
    </w:p>
    <w:p>
      <w:pPr>
        <w:spacing w:after="0" w:line="176" w:lineRule="exact"/>
        <w:rPr>
          <w:sz w:val="20"/>
          <w:szCs w:val="20"/>
          <w:color w:val="auto"/>
        </w:rPr>
      </w:pPr>
    </w:p>
    <w:p>
      <w:pPr>
        <w:ind w:right="160" w:firstLine="459"/>
        <w:spacing w:after="0" w:line="277" w:lineRule="auto"/>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Amendment to Article V. Article V of the Restated Articles of Incorporation, as amended, of the corporation is amended by deleting the first paragraph of Article V and replacing it with the following in lieu thereof.</w:t>
      </w:r>
    </w:p>
    <w:p>
      <w:pPr>
        <w:spacing w:after="0" w:line="200" w:lineRule="exact"/>
        <w:rPr>
          <w:sz w:val="20"/>
          <w:szCs w:val="20"/>
          <w:color w:val="auto"/>
        </w:rPr>
      </w:pPr>
    </w:p>
    <w:p>
      <w:pPr>
        <w:spacing w:after="0" w:line="362" w:lineRule="exact"/>
        <w:rPr>
          <w:sz w:val="20"/>
          <w:szCs w:val="20"/>
          <w:color w:val="auto"/>
        </w:rPr>
      </w:pPr>
    </w:p>
    <w:p>
      <w:pPr>
        <w:jc w:val="both"/>
        <w:ind w:left="880"/>
        <w:spacing w:after="0" w:line="290" w:lineRule="auto"/>
        <w:rPr>
          <w:sz w:val="20"/>
          <w:szCs w:val="20"/>
          <w:color w:val="auto"/>
        </w:rPr>
      </w:pPr>
      <w:r>
        <w:rPr>
          <w:rFonts w:ascii="Arial" w:cs="Arial" w:eastAsia="Arial" w:hAnsi="Arial"/>
          <w:sz w:val="15"/>
          <w:szCs w:val="15"/>
          <w:color w:val="auto"/>
        </w:rPr>
        <w:t>“The corporation shall have authority to issue 500,000,000 shares of common stock, $1.00 par value (the “Common Stock”), 130,000,000 shares of non-voting common stock, $1.00 par value (the “Non-Voting Common Stock”), having the powers, rights, and preferences, and the qualifications, limitations and restrictions thereof, as set forth in Exhibit A attached hereto and 10,000,000 shares of preferred stock, $1.00 par value (the “Preferred Stock”).</w:t>
      </w:r>
    </w:p>
    <w:p>
      <w:pPr>
        <w:spacing w:after="0" w:line="1" w:lineRule="exact"/>
        <w:rPr>
          <w:sz w:val="20"/>
          <w:szCs w:val="20"/>
          <w:color w:val="auto"/>
        </w:rPr>
      </w:pPr>
    </w:p>
    <w:p>
      <w:pPr>
        <w:ind w:left="880"/>
        <w:spacing w:after="0" w:line="276" w:lineRule="auto"/>
        <w:rPr>
          <w:sz w:val="20"/>
          <w:szCs w:val="20"/>
          <w:color w:val="auto"/>
        </w:rPr>
      </w:pPr>
      <w:r>
        <w:rPr>
          <w:rFonts w:ascii="Arial" w:cs="Arial" w:eastAsia="Arial" w:hAnsi="Arial"/>
          <w:sz w:val="16"/>
          <w:szCs w:val="16"/>
          <w:color w:val="auto"/>
        </w:rPr>
        <w:t>Subject to the provisions of any applicable law or the Bylaws of the corporation (as from time to time amended) with respect to fixing the record date for the determination of shareholders entitled to vote, and except as otherwise provided by any applicable law or the by the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143" w:lineRule="exact"/>
        <w:rPr>
          <w:sz w:val="20"/>
          <w:szCs w:val="20"/>
          <w:color w:val="auto"/>
        </w:rPr>
      </w:pPr>
    </w:p>
    <w:p>
      <w:pPr>
        <w:ind w:right="580" w:firstLine="459"/>
        <w:spacing w:after="0" w:line="346" w:lineRule="auto"/>
        <w:tabs>
          <w:tab w:leader="none" w:pos="699" w:val="left"/>
        </w:tabs>
        <w:numPr>
          <w:ilvl w:val="0"/>
          <w:numId w:val="46"/>
        </w:numPr>
        <w:rPr>
          <w:rFonts w:ascii="Arial" w:cs="Arial" w:eastAsia="Arial" w:hAnsi="Arial"/>
          <w:sz w:val="15"/>
          <w:szCs w:val="15"/>
          <w:color w:val="auto"/>
        </w:rPr>
      </w:pPr>
      <w:r>
        <w:rPr>
          <w:rFonts w:ascii="Arial" w:cs="Arial" w:eastAsia="Arial" w:hAnsi="Arial"/>
          <w:sz w:val="15"/>
          <w:szCs w:val="15"/>
          <w:color w:val="auto"/>
        </w:rPr>
        <w:t>Non-Voting Common Stock. The Restated Articles of Incorporation, as amended, of the corporation are amended by adding the powers, rights, and preferences, and the qualifications, limitations, and restrictions thereof, of the Non-Voting Common Stock as set forth in Exhibit A attached hereto.</w:t>
      </w:r>
    </w:p>
    <w:p>
      <w:pPr>
        <w:spacing w:after="0" w:line="8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176" w:lineRule="exact"/>
        <w:rPr>
          <w:sz w:val="20"/>
          <w:szCs w:val="20"/>
          <w:color w:val="auto"/>
        </w:rPr>
      </w:pPr>
    </w:p>
    <w:p>
      <w:pPr>
        <w:ind w:right="220" w:firstLine="457"/>
        <w:spacing w:after="0" w:line="277" w:lineRule="auto"/>
        <w:rPr>
          <w:sz w:val="20"/>
          <w:szCs w:val="20"/>
          <w:color w:val="auto"/>
        </w:rPr>
      </w:pPr>
      <w:r>
        <w:rPr>
          <w:rFonts w:ascii="Arial" w:cs="Arial" w:eastAsia="Arial" w:hAnsi="Arial"/>
          <w:sz w:val="17"/>
          <w:szCs w:val="17"/>
          <w:color w:val="auto"/>
        </w:rPr>
        <w:t>The amendment was adopted by the board of directors of the corporation at a meeting duly convened and held on March 14, 2011 and duly approved by the shareholders of the corporation on June 16, 2011 in accordance with the provisions of O.C.G.A. § 14-2-1003.</w:t>
      </w:r>
    </w:p>
    <w:p>
      <w:pPr>
        <w:spacing w:after="0" w:line="13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4.</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effective time of these Articles of Amendment is at 5:00 p.m. on the date of filing of these Articles of Amendment.</w:t>
      </w:r>
    </w:p>
    <w:p>
      <w:pPr>
        <w:spacing w:after="0" w:line="172" w:lineRule="exact"/>
        <w:rPr>
          <w:sz w:val="20"/>
          <w:szCs w:val="20"/>
          <w:color w:val="auto"/>
        </w:rPr>
      </w:pPr>
    </w:p>
    <w:p>
      <w:pPr>
        <w:ind w:right="360" w:firstLine="457"/>
        <w:spacing w:after="0" w:line="282"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has executed these Articles of Amendment to the Restated Articles of Incorporation, as amended, of United</w:t>
      </w:r>
      <w:r>
        <w:rPr>
          <w:rFonts w:ascii="Arial" w:cs="Arial" w:eastAsia="Arial" w:hAnsi="Arial"/>
          <w:sz w:val="17"/>
          <w:szCs w:val="17"/>
          <w:b w:val="1"/>
          <w:bCs w:val="1"/>
          <w:color w:val="auto"/>
        </w:rPr>
        <w:t xml:space="preserve"> </w:t>
      </w:r>
      <w:r>
        <w:rPr>
          <w:rFonts w:ascii="Arial" w:cs="Arial" w:eastAsia="Arial" w:hAnsi="Arial"/>
          <w:sz w:val="17"/>
          <w:szCs w:val="17"/>
          <w:color w:val="auto"/>
        </w:rPr>
        <w:t>Community Banks, Inc. this 17th day of June, 2011.</w:t>
      </w:r>
    </w:p>
    <w:p>
      <w:pPr>
        <w:spacing w:after="0" w:line="335"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UNITED COMMUNITY BANKS, INC.</w:t>
      </w:r>
    </w:p>
    <w:p>
      <w:pPr>
        <w:spacing w:after="0" w:line="219"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i w:val="1"/>
          <w:iCs w:val="1"/>
          <w:color w:val="auto"/>
        </w:rPr>
        <w:t>/s/</w:t>
      </w:r>
      <w:r>
        <w:rPr>
          <w:rFonts w:ascii="Arial" w:cs="Arial" w:eastAsia="Arial" w:hAnsi="Arial"/>
          <w:sz w:val="17"/>
          <w:szCs w:val="17"/>
          <w:color w:val="auto"/>
        </w:rPr>
        <w:t xml:space="preserve">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13970</wp:posOffset>
            </wp:positionV>
            <wp:extent cx="27514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Name: Rex S. Schuette</w:t>
      </w:r>
    </w:p>
    <w:p>
      <w:pPr>
        <w:spacing w:after="0" w:line="21" w:lineRule="exact"/>
        <w:rPr>
          <w:sz w:val="20"/>
          <w:szCs w:val="20"/>
          <w:color w:val="auto"/>
        </w:rPr>
      </w:pPr>
    </w:p>
    <w:p>
      <w:pPr>
        <w:ind w:left="5480"/>
        <w:spacing w:after="0"/>
        <w:tabs>
          <w:tab w:leader="none" w:pos="6000" w:val="left"/>
        </w:tabs>
        <w:rPr>
          <w:sz w:val="20"/>
          <w:szCs w:val="20"/>
          <w:color w:val="auto"/>
        </w:rPr>
      </w:pPr>
      <w:r>
        <w:rPr>
          <w:rFonts w:ascii="Arial" w:cs="Arial" w:eastAsia="Arial" w:hAnsi="Arial"/>
          <w:sz w:val="17"/>
          <w:szCs w:val="17"/>
          <w:color w:val="auto"/>
        </w:rPr>
        <w:t>Title:</w:t>
        <w:tab/>
        <w:t>EVP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737235</wp:posOffset>
            </wp:positionV>
            <wp:extent cx="725805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40"/>
          </w:cols>
          <w:pgMar w:left="240" w:top="815" w:right="319" w:bottom="1440" w:gutter="0" w:footer="0" w:header="0"/>
        </w:sectPr>
      </w:pPr>
    </w:p>
    <w:bookmarkStart w:id="83" w:name="page84"/>
    <w:bookmarkEnd w:id="83"/>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DESIGNATION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NON-VOTING COMMON STOCK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COMMUNITY BANKS, INC.</w:t>
      </w:r>
    </w:p>
    <w:p>
      <w:pPr>
        <w:spacing w:after="0" w:line="178" w:lineRule="exact"/>
        <w:rPr>
          <w:sz w:val="20"/>
          <w:szCs w:val="20"/>
          <w:color w:val="auto"/>
        </w:rPr>
      </w:pPr>
    </w:p>
    <w:p>
      <w:pPr>
        <w:ind w:right="120" w:firstLine="916"/>
        <w:spacing w:after="0" w:line="277" w:lineRule="auto"/>
        <w:tabs>
          <w:tab w:leader="none" w:pos="1084"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Designation. </w:t>
      </w:r>
      <w:r>
        <w:rPr>
          <w:rFonts w:ascii="Arial" w:cs="Arial" w:eastAsia="Arial" w:hAnsi="Arial"/>
          <w:sz w:val="17"/>
          <w:szCs w:val="17"/>
          <w:color w:val="auto"/>
        </w:rPr>
        <w:t>The shares of such class of non-voting common stock, $1.00 par value, of United Community Banks, Inc. (the “ Corporation “) shall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designated “ Non-Voting Common Stock “ (referred to herein as the “ Non-Voting Common Stock “).</w:t>
      </w:r>
    </w:p>
    <w:p>
      <w:pPr>
        <w:spacing w:after="0" w:line="125" w:lineRule="exact"/>
        <w:rPr>
          <w:rFonts w:ascii="Arial" w:cs="Arial" w:eastAsia="Arial" w:hAnsi="Arial"/>
          <w:sz w:val="17"/>
          <w:szCs w:val="17"/>
          <w:color w:val="auto"/>
        </w:rPr>
      </w:pPr>
    </w:p>
    <w:p>
      <w:pPr>
        <w:ind w:right="180" w:firstLine="916"/>
        <w:spacing w:after="0" w:line="277" w:lineRule="auto"/>
        <w:tabs>
          <w:tab w:leader="none" w:pos="1084"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Authorized Number. </w:t>
      </w:r>
      <w:r>
        <w:rPr>
          <w:rFonts w:ascii="Arial" w:cs="Arial" w:eastAsia="Arial" w:hAnsi="Arial"/>
          <w:sz w:val="17"/>
          <w:szCs w:val="17"/>
          <w:color w:val="auto"/>
        </w:rPr>
        <w:t>The number of shares constituting the Non-Voting Common Stock shall be as set forth in the first paragraph of Article V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Restated Articles of Incorporation, as amended.</w:t>
      </w:r>
    </w:p>
    <w:p>
      <w:pPr>
        <w:spacing w:after="0" w:line="121" w:lineRule="exact"/>
        <w:rPr>
          <w:rFonts w:ascii="Arial" w:cs="Arial" w:eastAsia="Arial" w:hAnsi="Arial"/>
          <w:sz w:val="17"/>
          <w:szCs w:val="17"/>
          <w:color w:val="auto"/>
        </w:rPr>
      </w:pPr>
    </w:p>
    <w:p>
      <w:pPr>
        <w:ind w:right="80" w:firstLine="916"/>
        <w:spacing w:after="0" w:line="267" w:lineRule="auto"/>
        <w:tabs>
          <w:tab w:leader="none" w:pos="1084"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Rights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as set forth below, the Non-Voting Common Stock shall have the same rights and privileges, share ratably and be identical in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respects to the Common Stock as to all matters. Each share of Non-Voting Common Stock shall have the same relative powers, preferences and rights as, and shall be identical in all respects with, all the other shares of Non-Voting Common Stock of the Corporation.</w:t>
      </w:r>
    </w:p>
    <w:p>
      <w:pPr>
        <w:spacing w:after="0" w:line="146" w:lineRule="exact"/>
        <w:rPr>
          <w:rFonts w:ascii="Arial" w:cs="Arial" w:eastAsia="Arial" w:hAnsi="Arial"/>
          <w:sz w:val="17"/>
          <w:szCs w:val="17"/>
          <w:color w:val="auto"/>
        </w:rPr>
      </w:pPr>
    </w:p>
    <w:p>
      <w:pPr>
        <w:ind w:right="180" w:firstLine="916"/>
        <w:spacing w:after="0" w:line="305" w:lineRule="auto"/>
        <w:tabs>
          <w:tab w:leader="none" w:pos="1084" w:val="left"/>
        </w:tabs>
        <w:numPr>
          <w:ilvl w:val="0"/>
          <w:numId w:val="47"/>
        </w:numPr>
        <w:rPr>
          <w:rFonts w:ascii="Arial" w:cs="Arial" w:eastAsia="Arial" w:hAnsi="Arial"/>
          <w:sz w:val="15"/>
          <w:szCs w:val="15"/>
          <w:color w:val="auto"/>
        </w:rPr>
      </w:pPr>
      <w:r>
        <w:rPr>
          <w:rFonts w:ascii="Arial" w:cs="Arial" w:eastAsia="Arial" w:hAnsi="Arial"/>
          <w:sz w:val="15"/>
          <w:szCs w:val="15"/>
          <w:b w:val="1"/>
          <w:bCs w:val="1"/>
          <w:i w:val="1"/>
          <w:iCs w:val="1"/>
          <w:color w:val="auto"/>
        </w:rPr>
        <w:t>Voting Rights</w:t>
      </w:r>
      <w:r>
        <w:rPr>
          <w:rFonts w:ascii="Arial" w:cs="Arial" w:eastAsia="Arial" w:hAnsi="Arial"/>
          <w:sz w:val="15"/>
          <w:szCs w:val="15"/>
          <w:color w:val="auto"/>
        </w:rPr>
        <w:t>. The holders of Non-Voting Common Stock shall have no voting rights except as provided herein or required by law. Notwithstanding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foregoing, and in addition to any other vote required by law, the affirmative vote of the holders of a majority of the outstanding shares of Non-Voting Common Stock, voting separately as a class, shall be required to amend, alter or repeal (including by merger, consolidation or otherwise) any provision of these Articles of Amendment that significantly and adversely affects the rights, preferences or privileges of the Non-Voting Common Stock contained herein.</w:t>
      </w:r>
    </w:p>
    <w:p>
      <w:pPr>
        <w:spacing w:after="0" w:line="110" w:lineRule="exact"/>
        <w:rPr>
          <w:rFonts w:ascii="Arial" w:cs="Arial" w:eastAsia="Arial" w:hAnsi="Arial"/>
          <w:sz w:val="15"/>
          <w:szCs w:val="15"/>
          <w:color w:val="auto"/>
        </w:rPr>
      </w:pPr>
    </w:p>
    <w:p>
      <w:pPr>
        <w:ind w:right="20" w:firstLine="916"/>
        <w:spacing w:after="0" w:line="272" w:lineRule="auto"/>
        <w:tabs>
          <w:tab w:leader="none" w:pos="1084"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Dividends</w:t>
      </w:r>
      <w:r>
        <w:rPr>
          <w:rFonts w:ascii="Arial" w:cs="Arial" w:eastAsia="Arial" w:hAnsi="Arial"/>
          <w:sz w:val="16"/>
          <w:szCs w:val="16"/>
          <w:color w:val="auto"/>
        </w:rPr>
        <w:t>. Subject to preferential dividend rights, if any, applicable to any shares of the Preferred Stock, the holders of Non-Voting Common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entitled to receive, to the extent permitted by law, such dividends as may be declared from time to time by the Board of Directors on the Common Stock. If a dividend is declared and paid with respect to the Common Stock, then the Board shall declare and pay an equivalent dividend, on a per share basis, to the Non-Voting Common Stock. Likewise, if the Board of Directors declares and pays a dividend on the Non-Voting Common Stock, it shall declare and pay an equivalent dividend, on a per share basis, on the Common Stock. The holders of the Non-Voting Common Stock shall share ratably in any such dividend in proportion to the number of shares of Common Stock and Non-Voting Common Stock held by each such holder. All dividends paid with respect to the Common Stock and Non-Voting Common Stock shall be paid pro rata to the holders of such shares entitled thereto; provided , however , that no dividend payable in Common Stock or rights or warrants to subscribe for Common Stock shall be declared on the Non-Voting Common Stock and no dividend payable in Non-Voting Common Stock or rights or warrants to subscribe for Non-Voting Common Stock shall be declared on the Common Stock, but instead, in the case of such a dividend, each class shall receive such dividend in like stock or rights or warrants to subscribe for like stock.</w:t>
      </w:r>
    </w:p>
    <w:p>
      <w:pPr>
        <w:spacing w:after="0" w:line="132" w:lineRule="exact"/>
        <w:rPr>
          <w:rFonts w:ascii="Arial" w:cs="Arial" w:eastAsia="Arial" w:hAnsi="Arial"/>
          <w:sz w:val="16"/>
          <w:szCs w:val="16"/>
          <w:color w:val="auto"/>
        </w:rPr>
      </w:pPr>
    </w:p>
    <w:p>
      <w:pPr>
        <w:ind w:right="100" w:firstLine="916"/>
        <w:spacing w:after="0" w:line="260" w:lineRule="auto"/>
        <w:tabs>
          <w:tab w:leader="none" w:pos="1084"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Distributions. </w:t>
      </w:r>
      <w:r>
        <w:rPr>
          <w:rFonts w:ascii="Arial" w:cs="Arial" w:eastAsia="Arial" w:hAnsi="Arial"/>
          <w:sz w:val="17"/>
          <w:szCs w:val="17"/>
          <w:color w:val="auto"/>
        </w:rPr>
        <w:t>In the event of the voluntary or involuntary liquidation, dissolution, distribution of assets or winding up of the Corporation, after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 in full of the preferential amounts, if any, to be distributed to the holders of shares of Preferred Stock, holders of the Common Stock and the Non-Voting Common Stock shall be entitled to receive all the remaining assets of the Corporation of whatever kind available for distribution to shareholders ratably in proportion to the number of shares of Common Stock and Non-Voting Common Stock held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599440</wp:posOffset>
            </wp:positionV>
            <wp:extent cx="725805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4" w:name="page85"/>
    <w:bookmarkEnd w:id="84"/>
    <w:p>
      <w:pPr>
        <w:spacing w:after="0" w:line="200" w:lineRule="exact"/>
        <w:rPr>
          <w:sz w:val="20"/>
          <w:szCs w:val="20"/>
          <w:color w:val="auto"/>
        </w:rPr>
      </w:pPr>
    </w:p>
    <w:p>
      <w:pPr>
        <w:spacing w:after="0" w:line="333" w:lineRule="exact"/>
        <w:rPr>
          <w:sz w:val="20"/>
          <w:szCs w:val="20"/>
          <w:color w:val="auto"/>
        </w:rPr>
      </w:pPr>
    </w:p>
    <w:p>
      <w:pPr>
        <w:ind w:left="-916" w:right="20" w:firstLine="916"/>
        <w:spacing w:after="0" w:line="260" w:lineRule="auto"/>
        <w:tabs>
          <w:tab w:leader="none" w:pos="168"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Adjustment. </w:t>
      </w:r>
      <w:r>
        <w:rPr>
          <w:rFonts w:ascii="Arial" w:cs="Arial" w:eastAsia="Arial" w:hAnsi="Arial"/>
          <w:sz w:val="17"/>
          <w:szCs w:val="17"/>
          <w:color w:val="auto"/>
        </w:rPr>
        <w:t>In the event of any stock split, combination or other reclassification of shares of either the Common Stock or the Non-Voting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the outstanding shares of the other class shall be proportionately split, combined or reclassified in a similar manner, provided, however, that in any such transaction, only holders of Common Stock shall receive shares of Common Stock and only holders of Non-Voting Common Stock shall receive shares of Non-Voting Common Stock.</w:t>
      </w:r>
    </w:p>
    <w:p>
      <w:pPr>
        <w:spacing w:after="0" w:line="140" w:lineRule="exact"/>
        <w:rPr>
          <w:rFonts w:ascii="Arial" w:cs="Arial" w:eastAsia="Arial" w:hAnsi="Arial"/>
          <w:sz w:val="17"/>
          <w:szCs w:val="17"/>
          <w:color w:val="auto"/>
        </w:rPr>
      </w:pPr>
    </w:p>
    <w:p>
      <w:pPr>
        <w:ind w:left="164" w:hanging="164"/>
        <w:spacing w:after="0"/>
        <w:tabs>
          <w:tab w:leader="none" w:pos="164"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Conversion.</w:t>
      </w:r>
    </w:p>
    <w:p>
      <w:pPr>
        <w:spacing w:after="0" w:line="189" w:lineRule="exact"/>
        <w:rPr>
          <w:sz w:val="20"/>
          <w:szCs w:val="20"/>
          <w:color w:val="auto"/>
        </w:rPr>
      </w:pPr>
    </w:p>
    <w:p>
      <w:pPr>
        <w:ind w:left="-916" w:right="40" w:firstLine="916"/>
        <w:spacing w:after="0" w:line="270" w:lineRule="auto"/>
        <w:tabs>
          <w:tab w:leader="none" w:pos="227"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Non-Voting Common Stock may be converted into Common Stock in accordance with the provisions of this paragraph 8 by any Convertible Holder following an Approved Transfer (as defined herein). The term “ Approved Transfer “ means a sale or other transfer (i) to an Affiliate of the holder of the Non-Voting Common Stock to be transferred under common control with such holder’s ultimate parent, general partner or investment advisor but only if the transferee agrees in writing for the benefit of the Corporation to be bound by the terms of that certain Investment Agreement or Subscription Agreement by and between the Corporation and such holder pursuant to which such shares of Non-Voting Common Stock were sold to such holder (the “ Investment Agreement “); (ii) in a widely distributed public offering registered pursuant to the Securities Act of 1933, as amended; (iii) to a person that is acquiring at least a majority of the Corporation’s outstanding “voting securities” (as defined in the Bank Holding Company Act of 1956, as amended and any rules or regulations promulgated thereunder) not including any voting securities such person is acquiring from the holder of the Non-Voting Common Stock to be transferred or its Affiliates; or (iv) upon certification by the holder of the Non-Voting Common Stock to be transferred in writing to the Corporation that the such holder believes that the transferee shall not, after giving effect to such transfer, own for purposes of the Bank Holding Company Act of 1956, as amended, or the Change of Bank Control Act of 1978, as amended, and any rules and regulations promulgated thereunder, more than 2% of any class of voting securities of the Corporation outstanding at such time. The term “ Affiliate “ means, with respect to any person, any person directly or indirectly, controlling, controlled by or under common control with, such other person. “ Convertible Holder “ means a holder of Non-Voting Common Stock, other than the initial holder of such Non-Voting Common Stock or an Affiliate thereof, who acquires one or more shares of Non-Voting Common Stock in an Approved Transfer.</w:t>
      </w:r>
    </w:p>
    <w:p>
      <w:pPr>
        <w:spacing w:after="0" w:line="140" w:lineRule="exact"/>
        <w:rPr>
          <w:rFonts w:ascii="Arial" w:cs="Arial" w:eastAsia="Arial" w:hAnsi="Arial"/>
          <w:sz w:val="16"/>
          <w:szCs w:val="16"/>
          <w:color w:val="auto"/>
        </w:rPr>
      </w:pPr>
    </w:p>
    <w:p>
      <w:pPr>
        <w:ind w:left="-916" w:firstLine="916"/>
        <w:spacing w:after="0" w:line="293" w:lineRule="auto"/>
        <w:tabs>
          <w:tab w:leader="none" w:pos="239" w:val="left"/>
        </w:tabs>
        <w:numPr>
          <w:ilvl w:val="1"/>
          <w:numId w:val="49"/>
        </w:numPr>
        <w:rPr>
          <w:rFonts w:ascii="Arial" w:cs="Arial" w:eastAsia="Arial" w:hAnsi="Arial"/>
          <w:sz w:val="15"/>
          <w:szCs w:val="15"/>
          <w:color w:val="auto"/>
        </w:rPr>
      </w:pPr>
      <w:r>
        <w:rPr>
          <w:rFonts w:ascii="Arial" w:cs="Arial" w:eastAsia="Arial" w:hAnsi="Arial"/>
          <w:sz w:val="15"/>
          <w:szCs w:val="15"/>
          <w:i w:val="1"/>
          <w:iCs w:val="1"/>
          <w:color w:val="auto"/>
        </w:rPr>
        <w:t>Conditions of Conversion</w:t>
      </w:r>
      <w:r>
        <w:rPr>
          <w:rFonts w:ascii="Arial" w:cs="Arial" w:eastAsia="Arial" w:hAnsi="Arial"/>
          <w:sz w:val="15"/>
          <w:szCs w:val="15"/>
          <w:color w:val="auto"/>
        </w:rPr>
        <w:t>. Following an Approved Transfer, a Convertible Holder may surrender to the Corporation (at the principal office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Corporation) a certificate or certificates representing all or part of the Convertible Holder’s shares of Non-Voting Common Stock and in such event each share of Non-Voting Common Stock represented by such certificate or certificates will convert into one share of Common Stock. Except as otherwise provided herein, each conversion of Non-Voting Common Stock shall be deemed to have been effected as of the close of business on the date on which the certificate or certificates representing such shares of Non-Voting Common Stock to be converted have been surrendered for conversion at the principal office of the Corporation. Notwithstanding any other provision hereof, if a conversion of Non-Voting Common Stock is to be made in connection with a merger, consolidation, reclassification or other transaction in which the shares of Common Stock are exchanged for or changed into other stock or securities, cash and/or any other property or any dissolution or liquidation, the conversion of any shares of Non-Voting Common Stock may, at the election of the holder thereof, be conditioned upon the consummation of such event or transaction, in which case such conversion shall not be deemed to be effective until such event or transaction has been consummated.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584835</wp:posOffset>
            </wp:positionV>
            <wp:extent cx="725805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484"/>
          </w:cols>
          <w:pgMar w:left="1156" w:top="1440" w:right="259" w:bottom="1440" w:gutter="0" w:footer="0" w:header="0"/>
        </w:sectPr>
      </w:pPr>
    </w:p>
    <w:bookmarkStart w:id="85" w:name="page86"/>
    <w:bookmarkEnd w:id="85"/>
    <w:p>
      <w:pPr>
        <w:spacing w:after="0" w:line="200" w:lineRule="exact"/>
        <w:rPr>
          <w:sz w:val="20"/>
          <w:szCs w:val="20"/>
          <w:color w:val="auto"/>
        </w:rPr>
      </w:pPr>
    </w:p>
    <w:p>
      <w:pPr>
        <w:spacing w:after="0" w:line="334" w:lineRule="exact"/>
        <w:rPr>
          <w:sz w:val="20"/>
          <w:szCs w:val="20"/>
          <w:color w:val="auto"/>
        </w:rPr>
      </w:pPr>
    </w:p>
    <w:p>
      <w:pPr>
        <w:ind w:left="-916" w:firstLine="916"/>
        <w:spacing w:after="0" w:line="272" w:lineRule="auto"/>
        <w:tabs>
          <w:tab w:leader="none" w:pos="23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Reservation of Stock Issuable Upon Conversion</w:t>
      </w:r>
      <w:r>
        <w:rPr>
          <w:rFonts w:ascii="Arial" w:cs="Arial" w:eastAsia="Arial" w:hAnsi="Arial"/>
          <w:sz w:val="16"/>
          <w:szCs w:val="16"/>
          <w:color w:val="auto"/>
        </w:rPr>
        <w:t>. The Corporation shall at all times reserve and keep available out of its authorized but unissued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Common Stock, solely for the purpose of effecting the conversion of the Non-Voting Common Stock, such number of shares of Common Stock as shall from time to time be sufficient to effect the conversion of all outstanding shares of Non-Voting Common Stock. The Corporation shall take all action necessary so that all shares of Common Stock issuable upon conversion of Non-Voting Common Stock will, upon issue, be duly and validly issued, fully paid, and non-assessable, and free from all taxes, liens, charges and encumbrances in respect of the issuance or delivery thereof. The Corporation shall take all such actions as may be necessary to assure that all such shares of Common Stock issuable upon conversion of the Non-Voting Common Stock may be so issued without violation of any applicable law or governmental regulation or any requirements of any domestic securities exchange upon which shares may be listed (except for official notice of issuance which shall be immediately delivered by the Corporation upon each such issuance). The Corporation shall not take any action which would cause the number of authorized but unissued shares of Common Stock to be less than the number of such shares required to be reserved hereunder for issuance upon conversion of the Non-Voting Common Stock.</w:t>
      </w:r>
    </w:p>
    <w:p>
      <w:pPr>
        <w:spacing w:after="0" w:line="133" w:lineRule="exact"/>
        <w:rPr>
          <w:sz w:val="20"/>
          <w:szCs w:val="20"/>
          <w:color w:val="auto"/>
        </w:rPr>
      </w:pPr>
    </w:p>
    <w:p>
      <w:pPr>
        <w:ind w:left="-916" w:firstLine="916"/>
        <w:spacing w:after="0" w:line="270" w:lineRule="auto"/>
        <w:tabs>
          <w:tab w:leader="none" w:pos="168"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Mergers, Consolidations, Etc</w:t>
      </w:r>
      <w:r>
        <w:rPr>
          <w:rFonts w:ascii="Arial" w:cs="Arial" w:eastAsia="Arial" w:hAnsi="Arial"/>
          <w:sz w:val="16"/>
          <w:szCs w:val="16"/>
          <w:color w:val="auto"/>
        </w:rPr>
        <w:t>. In the event of any merger, consolidation, reclassification or other transaction in which the shares of Common Stock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exchanged for or changed into other stock or securities, cash and/or any other property, each share of Non-Voting Common Stock will at the same time be similarly exchanged or changed in an amount per whole share equal to the aggregate amount of stock, securities, cash and/or any other property (payable in kind), as the case may be, that each share of Common Stock would be entitled to receive as a result of such transaction, provided that at the election of such holder, any securities issued with respect to the Non-Voting Common Stock shall be non-voting securities under the resulting corporation’s organizational documents and the Corporation shall make appropriate provisions (in form and substance reasonably satisfactory to the holders of a majority of the Non-Voting Common Stock then outstanding) and take such actions necessary to ensure that holders of the Non-Voting Common Stock shall retain securities with substantially the same rights and benefits as the Non-Voting Common Stock. Subject to the foregoing, in the event the holders of Common Stock are provided the right to convert or exchange Common Stock for stock or securities, cash and/or any other property, then the holders of the Non-Voting Common Stock shall be provided the same right based upon the number of shares of Common Stock such holders would be entitled to receive if such shares of Non-Voting Common Stock were converted into shares of Common Stock immediately prior to such offering. In the event that the Corporation offers to repurchase shares of Common Stock from its shareholders generally, the Corporation shall offer to repurchase Non-Voting Common Stock pro rata based upon the number of shares of Common Stock such holders would be entitled to receive if such shares were converted into shares of Common Stock immediately prior to such repurchase. In the event of any pro rata subscription offer, rights offer or similar offer to holders of Common Stock, the Corporation shall provide the holders of the Non-Voting Common Stock the right to participate based upon the number of shares of Common Stock such holders would be entitled to receive if such shares were converted into shares of Common Stock immediately prior to such offering; provided that at the election of such holder, any shares issued with respect to the Non-Voting Common Stock shall be issued in the form of Non-Voting Common Stock rather than Common Stock.</w:t>
      </w:r>
    </w:p>
    <w:p>
      <w:pPr>
        <w:spacing w:after="0" w:line="147" w:lineRule="exact"/>
        <w:rPr>
          <w:rFonts w:ascii="Arial" w:cs="Arial" w:eastAsia="Arial" w:hAnsi="Arial"/>
          <w:sz w:val="16"/>
          <w:szCs w:val="16"/>
          <w:color w:val="auto"/>
        </w:rPr>
      </w:pPr>
    </w:p>
    <w:p>
      <w:pPr>
        <w:ind w:left="-916" w:right="480" w:firstLine="916"/>
        <w:spacing w:after="0" w:line="277" w:lineRule="auto"/>
        <w:tabs>
          <w:tab w:leader="none" w:pos="254"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Notices. </w:t>
      </w:r>
      <w:r>
        <w:rPr>
          <w:rFonts w:ascii="Arial" w:cs="Arial" w:eastAsia="Arial" w:hAnsi="Arial"/>
          <w:sz w:val="17"/>
          <w:szCs w:val="17"/>
          <w:color w:val="auto"/>
        </w:rPr>
        <w:t>At any time notice is provided to the holders of Common Stock, the Corporation shall give written notice to all holders of Non-Voting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at or prior to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582295</wp:posOffset>
            </wp:positionV>
            <wp:extent cx="725805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504"/>
          </w:cols>
          <w:pgMar w:left="1156" w:top="1440" w:right="239" w:bottom="1440" w:gutter="0" w:footer="0" w:header="0"/>
        </w:sectPr>
      </w:pPr>
    </w:p>
    <w:bookmarkStart w:id="86" w:name="page87"/>
    <w:bookmarkEnd w:id="86"/>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ARTICLES OF AMENDMENT</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OF</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UNITED COMMUNITY BANKS, INC.</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name of the corporation is United Community Banks, Inc.</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176"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In connection with the corporation’s reclassification of its common stock pursuant to which each 1 share of common stock is to be reclassified into one-fifth (1/5) of a share of common stock (so that, conversely, each 5 shares of such common stock is to be reclassified into 1 share of common stock), Section I of the Certificate of Designation of Common Stock Equivalent Junior Preferred Stock of United Community Banks, Inc. is amended by deleting the definition of “Initial Conversion Rate” therein and replacing it with the following in lieu thereof:</w:t>
      </w:r>
    </w:p>
    <w:p>
      <w:pPr>
        <w:spacing w:after="0" w:line="200" w:lineRule="exact"/>
        <w:rPr>
          <w:sz w:val="20"/>
          <w:szCs w:val="20"/>
          <w:color w:val="auto"/>
        </w:rPr>
      </w:pPr>
    </w:p>
    <w:p>
      <w:pPr>
        <w:spacing w:after="0" w:line="38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“Initial Conversion Rate” means, for each share of Junior Preferred Stock, twenty (20) shares of Common Stock.</w:t>
      </w:r>
    </w:p>
    <w:p>
      <w:pPr>
        <w:spacing w:after="0" w:line="176" w:lineRule="exact"/>
        <w:rPr>
          <w:sz w:val="20"/>
          <w:szCs w:val="20"/>
          <w:color w:val="auto"/>
        </w:rPr>
      </w:pPr>
    </w:p>
    <w:p>
      <w:pPr>
        <w:ind w:right="420" w:firstLine="457"/>
        <w:spacing w:after="0" w:line="346" w:lineRule="auto"/>
        <w:rPr>
          <w:sz w:val="20"/>
          <w:szCs w:val="20"/>
          <w:color w:val="auto"/>
        </w:rPr>
      </w:pPr>
      <w:r>
        <w:rPr>
          <w:rFonts w:ascii="Arial" w:cs="Arial" w:eastAsia="Arial" w:hAnsi="Arial"/>
          <w:sz w:val="15"/>
          <w:szCs w:val="15"/>
          <w:color w:val="auto"/>
        </w:rPr>
        <w:t>In addition, in connection with such reclassification, the corporation hereby supplements the Certificate of Rights and Preferences of Series C Convertible Preferred Stock of United Community Banks, Inc. as set forth in the Supplemental Certificate of Rights and Preferences attached hereto as Exhibit A ..</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189" w:lineRule="exact"/>
        <w:rPr>
          <w:sz w:val="20"/>
          <w:szCs w:val="20"/>
          <w:color w:val="auto"/>
        </w:rPr>
      </w:pPr>
    </w:p>
    <w:p>
      <w:pPr>
        <w:ind w:right="80" w:firstLine="457"/>
        <w:spacing w:after="0" w:line="277" w:lineRule="auto"/>
        <w:rPr>
          <w:sz w:val="20"/>
          <w:szCs w:val="20"/>
          <w:color w:val="auto"/>
        </w:rPr>
      </w:pPr>
      <w:r>
        <w:rPr>
          <w:rFonts w:ascii="Arial" w:cs="Arial" w:eastAsia="Arial" w:hAnsi="Arial"/>
          <w:sz w:val="17"/>
          <w:szCs w:val="17"/>
          <w:color w:val="auto"/>
        </w:rPr>
        <w:t>Article V of the Restated Articles of Incorporation, as amended, of the corporation is amended by deleting the first paragraph of Article V and replacing it with the following in lieu thereof:</w:t>
      </w:r>
    </w:p>
    <w:p>
      <w:pPr>
        <w:spacing w:after="0" w:line="200" w:lineRule="exact"/>
        <w:rPr>
          <w:sz w:val="20"/>
          <w:szCs w:val="20"/>
          <w:color w:val="auto"/>
        </w:rPr>
      </w:pPr>
    </w:p>
    <w:p>
      <w:pPr>
        <w:spacing w:after="0" w:line="362" w:lineRule="exact"/>
        <w:rPr>
          <w:sz w:val="20"/>
          <w:szCs w:val="20"/>
          <w:color w:val="auto"/>
        </w:rPr>
      </w:pPr>
    </w:p>
    <w:p>
      <w:pPr>
        <w:jc w:val="both"/>
        <w:ind w:left="880" w:right="120"/>
        <w:spacing w:after="0" w:line="290" w:lineRule="auto"/>
        <w:rPr>
          <w:sz w:val="20"/>
          <w:szCs w:val="20"/>
          <w:color w:val="auto"/>
        </w:rPr>
      </w:pPr>
      <w:r>
        <w:rPr>
          <w:rFonts w:ascii="Arial" w:cs="Arial" w:eastAsia="Arial" w:hAnsi="Arial"/>
          <w:sz w:val="15"/>
          <w:szCs w:val="15"/>
          <w:color w:val="auto"/>
        </w:rPr>
        <w:t>“The corporation shall have authority to issue 100,000,000 shares of common stock, $1.00 par value (the “Common Stock”), 26,000,000 shares of non-voting common stock, $1.00 par value (the “Non-Voting Common Stock”), having the powers, rights and preferences, and the qualifications, limitations and restrictions thereof, as set forth in Exhibit A attached hereto, and 10,000,000 shares of preferred stock, $1.00 par value (the “Preferred Stock”).</w:t>
      </w:r>
    </w:p>
    <w:p>
      <w:pPr>
        <w:spacing w:after="0" w:line="1" w:lineRule="exact"/>
        <w:rPr>
          <w:sz w:val="20"/>
          <w:szCs w:val="20"/>
          <w:color w:val="auto"/>
        </w:rPr>
      </w:pPr>
    </w:p>
    <w:p>
      <w:pPr>
        <w:jc w:val="both"/>
        <w:ind w:left="880" w:right="60"/>
        <w:spacing w:after="0" w:line="276" w:lineRule="auto"/>
        <w:rPr>
          <w:sz w:val="20"/>
          <w:szCs w:val="20"/>
          <w:color w:val="auto"/>
        </w:rPr>
      </w:pPr>
      <w:r>
        <w:rPr>
          <w:rFonts w:ascii="Arial" w:cs="Arial" w:eastAsia="Arial" w:hAnsi="Arial"/>
          <w:sz w:val="16"/>
          <w:szCs w:val="16"/>
          <w:color w:val="auto"/>
        </w:rPr>
        <w:t>Subject to the provisions of any applicable law or the Bylaws of the corporation (as from time to time amended) with respect to fixing the record date for the determination of shareholders entitled to vote, and except as otherwise provided by any applicable law or by the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130" w:lineRule="exact"/>
        <w:rPr>
          <w:sz w:val="20"/>
          <w:szCs w:val="20"/>
          <w:color w:val="auto"/>
        </w:rPr>
      </w:pPr>
    </w:p>
    <w:p>
      <w:pPr>
        <w:jc w:val="both"/>
        <w:ind w:right="200" w:firstLine="457"/>
        <w:spacing w:after="0" w:line="305" w:lineRule="auto"/>
        <w:rPr>
          <w:sz w:val="20"/>
          <w:szCs w:val="20"/>
          <w:color w:val="auto"/>
        </w:rPr>
      </w:pPr>
      <w:r>
        <w:rPr>
          <w:rFonts w:ascii="Arial" w:cs="Arial" w:eastAsia="Arial" w:hAnsi="Arial"/>
          <w:sz w:val="15"/>
          <w:szCs w:val="15"/>
          <w:color w:val="auto"/>
        </w:rPr>
        <w:t>The amendment to Article V of the Restated Articles of Incorporation, as amended, will result in each 1 share of the corporation’s common stock and each 1 share of the corporation’s non-voting common stock to be reclassified into one-fifth (1/5) of a share of common stock or non-voting common stock, respectively (so that, conversely, each 5 shares of such common stock or non-voting common stock is to be reclassified into 1 share of common stock or non-voting common stock, respectively). The $1.00 par value of the common stock and non-voting common stock will not change as a result of such reclassification.</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7" w:name="page88"/>
    <w:bookmarkEnd w:id="87"/>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pacing w:after="0" w:line="176" w:lineRule="exact"/>
        <w:rPr>
          <w:sz w:val="20"/>
          <w:szCs w:val="20"/>
          <w:color w:val="auto"/>
        </w:rPr>
      </w:pPr>
    </w:p>
    <w:p>
      <w:pPr>
        <w:ind w:firstLine="457"/>
        <w:spacing w:after="0" w:line="277" w:lineRule="auto"/>
        <w:rPr>
          <w:sz w:val="20"/>
          <w:szCs w:val="20"/>
          <w:color w:val="auto"/>
        </w:rPr>
      </w:pPr>
      <w:r>
        <w:rPr>
          <w:rFonts w:ascii="Arial" w:cs="Arial" w:eastAsia="Arial" w:hAnsi="Arial"/>
          <w:sz w:val="17"/>
          <w:szCs w:val="17"/>
          <w:color w:val="auto"/>
        </w:rPr>
        <w:t>The amendment set for in Section 2 hereof was adopted by the board of directors of the corporation at a meeting duly convened and held on June 16, 2011, and shareholder approval was not required for such amendment pursuant to the Georgia Business Corporation Code.</w:t>
      </w:r>
    </w:p>
    <w:p>
      <w:pPr>
        <w:spacing w:after="0" w:line="13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The amendment set for in Section 3 hereof was adopted by the board of directors of the corporation at a meeting duly convened and held on April 15, 2011 and duly approved by the shareholders of the corporation on June 16, 2011 in accordance with the provisions of Section 14-2-1003 of the Georgia Business Corporation Code.</w:t>
      </w:r>
    </w:p>
    <w:p>
      <w:pPr>
        <w:spacing w:after="0" w:line="13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5.</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effective time of these Articles of Amendment is at 5:01 p.m. on the date of the filing of these Articles of Amendment.</w:t>
      </w:r>
    </w:p>
    <w:p>
      <w:pPr>
        <w:spacing w:after="0" w:line="185" w:lineRule="exact"/>
        <w:rPr>
          <w:sz w:val="20"/>
          <w:szCs w:val="20"/>
          <w:color w:val="auto"/>
        </w:rPr>
      </w:pPr>
    </w:p>
    <w:p>
      <w:pPr>
        <w:ind w:right="360" w:firstLine="457"/>
        <w:spacing w:after="0" w:line="282"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has executed these Articles of Amendment to the Restated Articles of Incorporation, as amended, of United</w:t>
      </w:r>
      <w:r>
        <w:rPr>
          <w:rFonts w:ascii="Arial" w:cs="Arial" w:eastAsia="Arial" w:hAnsi="Arial"/>
          <w:sz w:val="17"/>
          <w:szCs w:val="17"/>
          <w:b w:val="1"/>
          <w:bCs w:val="1"/>
          <w:color w:val="auto"/>
        </w:rPr>
        <w:t xml:space="preserve"> </w:t>
      </w:r>
      <w:r>
        <w:rPr>
          <w:rFonts w:ascii="Arial" w:cs="Arial" w:eastAsia="Arial" w:hAnsi="Arial"/>
          <w:sz w:val="17"/>
          <w:szCs w:val="17"/>
          <w:color w:val="auto"/>
        </w:rPr>
        <w:t>Community Banks, Inc. this 17th day of June, 2011.</w:t>
      </w:r>
    </w:p>
    <w:p>
      <w:pPr>
        <w:spacing w:after="0" w:line="323"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UNITED COMMUNITY BANKS, INC.</w:t>
      </w:r>
    </w:p>
    <w:p>
      <w:pPr>
        <w:spacing w:after="0" w:line="219"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i w:val="1"/>
          <w:iCs w:val="1"/>
          <w:color w:val="auto"/>
        </w:rPr>
        <w:t>/s/</w:t>
      </w:r>
      <w:r>
        <w:rPr>
          <w:rFonts w:ascii="Arial" w:cs="Arial" w:eastAsia="Arial" w:hAnsi="Arial"/>
          <w:sz w:val="17"/>
          <w:szCs w:val="17"/>
          <w:color w:val="auto"/>
        </w:rPr>
        <w:t xml:space="preserve">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13970</wp:posOffset>
            </wp:positionV>
            <wp:extent cx="27514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Name: Rex S. Schuette</w:t>
      </w:r>
    </w:p>
    <w:p>
      <w:pPr>
        <w:spacing w:after="0" w:line="21" w:lineRule="exact"/>
        <w:rPr>
          <w:sz w:val="20"/>
          <w:szCs w:val="20"/>
          <w:color w:val="auto"/>
        </w:rPr>
      </w:pPr>
    </w:p>
    <w:p>
      <w:pPr>
        <w:ind w:left="5480"/>
        <w:spacing w:after="0"/>
        <w:tabs>
          <w:tab w:leader="none" w:pos="6000" w:val="left"/>
        </w:tabs>
        <w:rPr>
          <w:sz w:val="20"/>
          <w:szCs w:val="20"/>
          <w:color w:val="auto"/>
        </w:rPr>
      </w:pPr>
      <w:r>
        <w:rPr>
          <w:rFonts w:ascii="Arial" w:cs="Arial" w:eastAsia="Arial" w:hAnsi="Arial"/>
          <w:sz w:val="17"/>
          <w:szCs w:val="17"/>
          <w:color w:val="auto"/>
        </w:rPr>
        <w:t>Title:</w:t>
        <w:tab/>
        <w:t>EVP &amp; CFO</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88" w:name="page89"/>
    <w:bookmarkEnd w:id="88"/>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SUPPLEMENTAL CERTIFICATE OF RIGHTS AND PREFERENCES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SERIES C CONVERTIBLE PREFERRED STOCK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COMMUNITY BANKS, INC.</w:t>
      </w:r>
    </w:p>
    <w:p>
      <w:pPr>
        <w:spacing w:after="0" w:line="178" w:lineRule="exact"/>
        <w:rPr>
          <w:sz w:val="20"/>
          <w:szCs w:val="20"/>
          <w:color w:val="auto"/>
        </w:rPr>
      </w:pPr>
    </w:p>
    <w:p>
      <w:pPr>
        <w:ind w:right="260" w:firstLine="457"/>
        <w:spacing w:after="0" w:line="264" w:lineRule="auto"/>
        <w:rPr>
          <w:sz w:val="20"/>
          <w:szCs w:val="20"/>
          <w:color w:val="auto"/>
        </w:rPr>
      </w:pPr>
      <w:r>
        <w:rPr>
          <w:rFonts w:ascii="Arial" w:cs="Arial" w:eastAsia="Arial" w:hAnsi="Arial"/>
          <w:sz w:val="17"/>
          <w:szCs w:val="17"/>
          <w:color w:val="auto"/>
        </w:rPr>
        <w:t>Pursuant to the authority vested in the Board of Directors (the “Board”) by the Restated Articles of Incorporation of United Community Banks, Inc. (the “ Corporation “), as amended (the “ Articles of Incorporation “), the Board does hereby supplement the Certificate of Rights and Preferences of Series C Convertible Preferred Stock of United Community Banks, Inc. (the “ Certificate “) by adding the following thereto:</w:t>
      </w:r>
    </w:p>
    <w:p>
      <w:pPr>
        <w:spacing w:after="0" w:line="137" w:lineRule="exact"/>
        <w:rPr>
          <w:sz w:val="20"/>
          <w:szCs w:val="20"/>
          <w:color w:val="auto"/>
        </w:rPr>
      </w:pPr>
    </w:p>
    <w:p>
      <w:pPr>
        <w:ind w:left="460" w:right="100" w:firstLine="439"/>
        <w:spacing w:after="0" w:line="300" w:lineRule="auto"/>
        <w:rPr>
          <w:sz w:val="20"/>
          <w:szCs w:val="20"/>
          <w:color w:val="auto"/>
        </w:rPr>
      </w:pPr>
      <w:r>
        <w:rPr>
          <w:rFonts w:ascii="Arial" w:cs="Arial" w:eastAsia="Arial" w:hAnsi="Arial"/>
          <w:sz w:val="15"/>
          <w:szCs w:val="15"/>
          <w:color w:val="auto"/>
        </w:rPr>
        <w:t>For purposes of clarification, if the Company at any time subdivides or combines (by, as applicable, any stock split, reverse stock split, stock dividend, other reclassification, recapitalization, reorganization or otherwise) the shares of Common Stock and/or Common Stock Equivalent Junior Preferred Stock into a greater or lesser number of shares, as the case may be, then, after the date of record for effecting each such transaction, all measurements and references herein related to Conversion Price and Redemption Price will be proportionately decreased or increased, respectively, and all references to share numbers for such securities herein will be proportionately increased or decreased, respectively, to reflect the effect of any such transaction.</w:t>
      </w:r>
    </w:p>
    <w:p>
      <w:pPr>
        <w:spacing w:after="0" w:line="114" w:lineRule="exact"/>
        <w:rPr>
          <w:sz w:val="20"/>
          <w:szCs w:val="20"/>
          <w:color w:val="auto"/>
        </w:rPr>
      </w:pPr>
    </w:p>
    <w:p>
      <w:pPr>
        <w:ind w:left="460" w:firstLine="439"/>
        <w:spacing w:after="0" w:line="281" w:lineRule="auto"/>
        <w:rPr>
          <w:sz w:val="20"/>
          <w:szCs w:val="20"/>
          <w:color w:val="auto"/>
        </w:rPr>
      </w:pPr>
      <w:r>
        <w:rPr>
          <w:rFonts w:ascii="Arial" w:cs="Arial" w:eastAsia="Arial" w:hAnsi="Arial"/>
          <w:sz w:val="16"/>
          <w:szCs w:val="16"/>
          <w:color w:val="auto"/>
        </w:rPr>
        <w:t>In addition, notwithstanding anything in the Certificate to the contrary, if the Company at any time combines (by any reverse stock split, recapitalization, reorganization, reclassification or otherwise) the shares of Common Stock and/or Common Stock Equivalent Junior Preferred Stock into a smaller number of shares, then, after the date of record for effecting each such transaction, all measurements and references herein related to share prices for such securities will be proportionately increased and all references to share numbers for such securities herein will be proportionately decreased.</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9" w:name="page90"/>
    <w:bookmarkEnd w:id="89"/>
    <w:p>
      <w:pPr>
        <w:spacing w:after="0" w:line="200" w:lineRule="exact"/>
        <w:rPr>
          <w:sz w:val="20"/>
          <w:szCs w:val="20"/>
          <w:color w:val="auto"/>
        </w:rPr>
      </w:pPr>
    </w:p>
    <w:p>
      <w:pPr>
        <w:spacing w:after="0" w:line="330"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ARTICLES OF AMENDMENT</w:t>
      </w:r>
    </w:p>
    <w:p>
      <w:pPr>
        <w:spacing w:after="0" w:line="25"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OF</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UNITED COMMUNITY BANKS, INC.</w:t>
      </w:r>
    </w:p>
    <w:p>
      <w:pPr>
        <w:spacing w:after="0" w:line="16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name of the corporation is United Community Banks, Inc.</w:t>
      </w:r>
    </w:p>
    <w:p>
      <w:pPr>
        <w:spacing w:after="0" w:line="17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w:t>
      </w:r>
    </w:p>
    <w:p>
      <w:pPr>
        <w:spacing w:after="0" w:line="176" w:lineRule="exact"/>
        <w:rPr>
          <w:sz w:val="20"/>
          <w:szCs w:val="20"/>
          <w:color w:val="auto"/>
        </w:rPr>
      </w:pPr>
    </w:p>
    <w:p>
      <w:pPr>
        <w:jc w:val="both"/>
        <w:ind w:right="260" w:firstLine="457"/>
        <w:spacing w:after="0" w:line="315" w:lineRule="auto"/>
        <w:rPr>
          <w:sz w:val="20"/>
          <w:szCs w:val="20"/>
          <w:color w:val="auto"/>
        </w:rPr>
      </w:pPr>
      <w:r>
        <w:rPr>
          <w:rFonts w:ascii="Arial" w:cs="Arial" w:eastAsia="Arial" w:hAnsi="Arial"/>
          <w:sz w:val="15"/>
          <w:szCs w:val="15"/>
          <w:color w:val="auto"/>
        </w:rPr>
        <w:t xml:space="preserve">The Restated Articles of Incorporation, as amended, of the corporation are amended by adding the powers, rights, and preferences, and the qualifications, limitations, and restrictions thereof, of the Mandatorily Convertible Cumulative Non-Voting Perpetual Preferred Stock, Series F as set forth in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attached hereto and Mandatorily Convertible Cumulative Non-Voting Perpetual Preferred Non-Voting Stock, Series G as set forth in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attached hereto.</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w:t>
      </w:r>
    </w:p>
    <w:p>
      <w:pPr>
        <w:spacing w:after="0" w:line="176" w:lineRule="exact"/>
        <w:rPr>
          <w:sz w:val="20"/>
          <w:szCs w:val="20"/>
          <w:color w:val="auto"/>
        </w:rPr>
      </w:pPr>
    </w:p>
    <w:p>
      <w:pPr>
        <w:ind w:firstLine="457"/>
        <w:spacing w:after="0" w:line="277" w:lineRule="auto"/>
        <w:rPr>
          <w:sz w:val="20"/>
          <w:szCs w:val="20"/>
          <w:color w:val="auto"/>
        </w:rPr>
      </w:pPr>
      <w:r>
        <w:rPr>
          <w:rFonts w:ascii="Arial" w:cs="Arial" w:eastAsia="Arial" w:hAnsi="Arial"/>
          <w:sz w:val="17"/>
          <w:szCs w:val="17"/>
          <w:color w:val="auto"/>
        </w:rPr>
        <w:t>The amendment was adopted by the board of directors of the corporation at a meeting duly convened and held on March 14, 2011. Pursuant to O.C.G.A. § 14-2-602 and Article V of the Restated Articles of Incorporation, as amended, of the corporation, shareholder consent was not required.</w:t>
      </w:r>
    </w:p>
    <w:p>
      <w:pPr>
        <w:spacing w:after="0" w:line="122" w:lineRule="exact"/>
        <w:rPr>
          <w:sz w:val="20"/>
          <w:szCs w:val="20"/>
          <w:color w:val="auto"/>
        </w:rPr>
      </w:pPr>
    </w:p>
    <w:p>
      <w:pPr>
        <w:ind w:right="300" w:firstLine="457"/>
        <w:spacing w:after="0" w:line="282"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has executed these Articles of Amendment to the Restated Articles of Incorporation, as amended, of United</w:t>
      </w:r>
      <w:r>
        <w:rPr>
          <w:rFonts w:ascii="Arial" w:cs="Arial" w:eastAsia="Arial" w:hAnsi="Arial"/>
          <w:sz w:val="17"/>
          <w:szCs w:val="17"/>
          <w:b w:val="1"/>
          <w:bCs w:val="1"/>
          <w:color w:val="auto"/>
        </w:rPr>
        <w:t xml:space="preserve"> </w:t>
      </w:r>
      <w:r>
        <w:rPr>
          <w:rFonts w:ascii="Arial" w:cs="Arial" w:eastAsia="Arial" w:hAnsi="Arial"/>
          <w:sz w:val="17"/>
          <w:szCs w:val="17"/>
          <w:color w:val="auto"/>
        </w:rPr>
        <w:t>Community Banks, Inc. this 29th day of March, 2011.</w:t>
      </w:r>
    </w:p>
    <w:p>
      <w:pPr>
        <w:spacing w:after="0" w:line="335"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UNITED COMMUNITY BANKS, INC.</w:t>
      </w:r>
    </w:p>
    <w:p>
      <w:pPr>
        <w:spacing w:after="0" w:line="219"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By: /s/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13970</wp:posOffset>
            </wp:positionV>
            <wp:extent cx="27597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59710" cy="8255"/>
                    </a:xfrm>
                    <a:prstGeom prst="rect">
                      <a:avLst/>
                    </a:prstGeom>
                    <a:noFill/>
                  </pic:spPr>
                </pic:pic>
              </a:graphicData>
            </a:graphic>
          </wp:anchor>
        </w:drawing>
      </w:r>
    </w:p>
    <w:p>
      <w:pPr>
        <w:spacing w:after="0" w:line="2"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Name: Rex S. Schuette</w:t>
      </w:r>
    </w:p>
    <w:p>
      <w:pPr>
        <w:spacing w:after="0" w:line="21" w:lineRule="exact"/>
        <w:rPr>
          <w:sz w:val="20"/>
          <w:szCs w:val="20"/>
          <w:color w:val="auto"/>
        </w:rPr>
      </w:pPr>
    </w:p>
    <w:p>
      <w:pPr>
        <w:ind w:left="5460"/>
        <w:spacing w:after="0"/>
        <w:tabs>
          <w:tab w:leader="none" w:pos="6000" w:val="left"/>
        </w:tabs>
        <w:rPr>
          <w:sz w:val="20"/>
          <w:szCs w:val="20"/>
          <w:color w:val="auto"/>
        </w:rPr>
      </w:pPr>
      <w:r>
        <w:rPr>
          <w:rFonts w:ascii="Arial" w:cs="Arial" w:eastAsia="Arial" w:hAnsi="Arial"/>
          <w:sz w:val="17"/>
          <w:szCs w:val="17"/>
          <w:color w:val="auto"/>
        </w:rPr>
        <w:t>Title:</w:t>
        <w:tab/>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607060</wp:posOffset>
            </wp:positionV>
            <wp:extent cx="725805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EXHIBIT A</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DESIGNATIONS, POWERS, PREFERENCES,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LIMITATIONS, RESTRICTIONS, AND RELATIVE RIGHTS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OF</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MANDATORILY CONVERTIBLE CUMULATIVE NON-VOTING PERPETUAL PREFERRED STOCK, SERIES F</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OF</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UNITED COMMUNITY BANKS, INC.</w:t>
      </w:r>
    </w:p>
    <w:p>
      <w:pPr>
        <w:spacing w:after="0" w:line="189" w:lineRule="exact"/>
        <w:rPr>
          <w:sz w:val="20"/>
          <w:szCs w:val="20"/>
          <w:color w:val="auto"/>
        </w:rPr>
      </w:pPr>
    </w:p>
    <w:p>
      <w:pPr>
        <w:ind w:right="140" w:firstLine="914"/>
        <w:spacing w:after="0" w:line="282" w:lineRule="auto"/>
        <w:rPr>
          <w:sz w:val="20"/>
          <w:szCs w:val="20"/>
          <w:color w:val="auto"/>
        </w:rPr>
      </w:pPr>
      <w:r>
        <w:rPr>
          <w:rFonts w:ascii="Arial" w:cs="Arial" w:eastAsia="Arial" w:hAnsi="Arial"/>
          <w:sz w:val="17"/>
          <w:szCs w:val="17"/>
          <w:b w:val="1"/>
          <w:bCs w:val="1"/>
          <w:color w:val="auto"/>
        </w:rPr>
        <w:t>F</w:t>
      </w:r>
      <w:r>
        <w:rPr>
          <w:rFonts w:ascii="Arial" w:cs="Arial" w:eastAsia="Arial" w:hAnsi="Arial"/>
          <w:sz w:val="11"/>
          <w:szCs w:val="11"/>
          <w:b w:val="1"/>
          <w:bCs w:val="1"/>
          <w:color w:val="auto"/>
        </w:rPr>
        <w:t>IRST</w:t>
      </w:r>
      <w:r>
        <w:rPr>
          <w:rFonts w:ascii="Arial" w:cs="Arial" w:eastAsia="Arial" w:hAnsi="Arial"/>
          <w:sz w:val="17"/>
          <w:szCs w:val="17"/>
          <w:b w:val="1"/>
          <w:bCs w:val="1"/>
          <w:color w:val="auto"/>
        </w:rPr>
        <w:t xml:space="preserve">: </w:t>
      </w:r>
      <w:r>
        <w:rPr>
          <w:rFonts w:ascii="Arial" w:cs="Arial" w:eastAsia="Arial" w:hAnsi="Arial"/>
          <w:sz w:val="17"/>
          <w:szCs w:val="17"/>
          <w:color w:val="auto"/>
        </w:rPr>
        <w:t>The name of the Corporation is</w:t>
      </w:r>
      <w:r>
        <w:rPr>
          <w:rFonts w:ascii="Arial" w:cs="Arial" w:eastAsia="Arial" w:hAnsi="Arial"/>
          <w:sz w:val="17"/>
          <w:szCs w:val="17"/>
          <w:b w:val="1"/>
          <w:bCs w:val="1"/>
          <w:color w:val="auto"/>
        </w:rPr>
        <w:t xml:space="preserve"> U</w:t>
      </w:r>
      <w:r>
        <w:rPr>
          <w:rFonts w:ascii="Arial" w:cs="Arial" w:eastAsia="Arial" w:hAnsi="Arial"/>
          <w:sz w:val="11"/>
          <w:szCs w:val="11"/>
          <w:b w:val="1"/>
          <w:bCs w:val="1"/>
          <w:color w:val="auto"/>
        </w:rPr>
        <w:t>NITED</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OMMUNITY</w:t>
      </w:r>
      <w:r>
        <w:rPr>
          <w:rFonts w:ascii="Arial" w:cs="Arial" w:eastAsia="Arial" w:hAnsi="Arial"/>
          <w:sz w:val="17"/>
          <w:szCs w:val="17"/>
          <w:b w:val="1"/>
          <w:bCs w:val="1"/>
          <w:color w:val="auto"/>
        </w:rPr>
        <w:t xml:space="preserve"> B</w:t>
      </w:r>
      <w:r>
        <w:rPr>
          <w:rFonts w:ascii="Arial" w:cs="Arial" w:eastAsia="Arial" w:hAnsi="Arial"/>
          <w:sz w:val="11"/>
          <w:szCs w:val="11"/>
          <w:b w:val="1"/>
          <w:bCs w:val="1"/>
          <w:color w:val="auto"/>
        </w:rPr>
        <w:t>ANKS</w:t>
      </w:r>
      <w:r>
        <w:rPr>
          <w:rFonts w:ascii="Arial" w:cs="Arial" w:eastAsia="Arial" w:hAnsi="Arial"/>
          <w:sz w:val="17"/>
          <w:szCs w:val="17"/>
          <w:b w:val="1"/>
          <w:bCs w:val="1"/>
          <w:color w:val="auto"/>
        </w:rPr>
        <w:t>, 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 corporation organized and existing under the laws of the State of Georgia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Corporation</w:t>
      </w:r>
      <w:r>
        <w:rPr>
          <w:rFonts w:ascii="Arial" w:cs="Arial" w:eastAsia="Arial" w:hAnsi="Arial"/>
          <w:sz w:val="17"/>
          <w:szCs w:val="17"/>
          <w:color w:val="auto"/>
        </w:rPr>
        <w:t>”).</w:t>
      </w:r>
    </w:p>
    <w:p>
      <w:pPr>
        <w:spacing w:after="0" w:line="118" w:lineRule="exact"/>
        <w:rPr>
          <w:sz w:val="20"/>
          <w:szCs w:val="20"/>
          <w:color w:val="auto"/>
        </w:rPr>
      </w:pPr>
    </w:p>
    <w:p>
      <w:pPr>
        <w:ind w:firstLine="914"/>
        <w:spacing w:after="0" w:line="283" w:lineRule="auto"/>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ECOND</w:t>
      </w:r>
      <w:r>
        <w:rPr>
          <w:rFonts w:ascii="Arial" w:cs="Arial" w:eastAsia="Arial" w:hAnsi="Arial"/>
          <w:sz w:val="16"/>
          <w:szCs w:val="16"/>
          <w:b w:val="1"/>
          <w:bCs w:val="1"/>
          <w:color w:val="auto"/>
        </w:rPr>
        <w:t xml:space="preserve">: </w:t>
      </w:r>
      <w:r>
        <w:rPr>
          <w:rFonts w:ascii="Arial" w:cs="Arial" w:eastAsia="Arial" w:hAnsi="Arial"/>
          <w:sz w:val="16"/>
          <w:szCs w:val="16"/>
          <w:color w:val="auto"/>
        </w:rPr>
        <w:t>The Restated Articles of Incorporation of the Corporation, as amended, authorize the issuance of 10,000,000 shares of preferred stock, par value</w:t>
      </w:r>
      <w:r>
        <w:rPr>
          <w:rFonts w:ascii="Arial" w:cs="Arial" w:eastAsia="Arial" w:hAnsi="Arial"/>
          <w:sz w:val="16"/>
          <w:szCs w:val="16"/>
          <w:b w:val="1"/>
          <w:bCs w:val="1"/>
          <w:color w:val="auto"/>
        </w:rPr>
        <w:t xml:space="preserve"> </w:t>
      </w:r>
      <w:r>
        <w:rPr>
          <w:rFonts w:ascii="Arial" w:cs="Arial" w:eastAsia="Arial" w:hAnsi="Arial"/>
          <w:sz w:val="16"/>
          <w:szCs w:val="16"/>
          <w:color w:val="auto"/>
        </w:rPr>
        <w:t>$1.00 per share, of the Corporation (“</w:t>
      </w:r>
      <w:r>
        <w:rPr>
          <w:rFonts w:ascii="Arial" w:cs="Arial" w:eastAsia="Arial" w:hAnsi="Arial"/>
          <w:sz w:val="16"/>
          <w:szCs w:val="16"/>
          <w:u w:val="single" w:color="auto"/>
          <w:color w:val="auto"/>
        </w:rPr>
        <w:t>Preferred Stock</w:t>
      </w:r>
      <w:r>
        <w:rPr>
          <w:rFonts w:ascii="Arial" w:cs="Arial" w:eastAsia="Arial" w:hAnsi="Arial"/>
          <w:sz w:val="16"/>
          <w:szCs w:val="16"/>
          <w:color w:val="auto"/>
        </w:rPr>
        <w:t>”) in one or more series, and authorizes the Board of Directors of the Corporation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to fix by resolution or resolutions the designation and number of shares of such series, and the voting and other powers, preferences and relative, participating, optional or other special rights, and the qualifications, limitations and restrictions thereof, of the shares of such series.</w:t>
      </w:r>
    </w:p>
    <w:p>
      <w:pPr>
        <w:spacing w:after="0" w:line="119" w:lineRule="exact"/>
        <w:rPr>
          <w:sz w:val="20"/>
          <w:szCs w:val="20"/>
          <w:color w:val="auto"/>
        </w:rPr>
      </w:pPr>
    </w:p>
    <w:p>
      <w:pPr>
        <w:ind w:right="420" w:firstLine="914"/>
        <w:spacing w:after="0" w:line="314" w:lineRule="auto"/>
        <w:rPr>
          <w:sz w:val="20"/>
          <w:szCs w:val="20"/>
          <w:color w:val="auto"/>
        </w:rPr>
      </w:pPr>
      <w:r>
        <w:rPr>
          <w:rFonts w:ascii="Arial" w:cs="Arial" w:eastAsia="Arial" w:hAnsi="Arial"/>
          <w:sz w:val="16"/>
          <w:szCs w:val="16"/>
          <w:b w:val="1"/>
          <w:bCs w:val="1"/>
          <w:color w:val="auto"/>
        </w:rPr>
        <w:t>T</w:t>
      </w:r>
      <w:r>
        <w:rPr>
          <w:rFonts w:ascii="Arial" w:cs="Arial" w:eastAsia="Arial" w:hAnsi="Arial"/>
          <w:sz w:val="10"/>
          <w:szCs w:val="10"/>
          <w:b w:val="1"/>
          <w:bCs w:val="1"/>
          <w:color w:val="auto"/>
        </w:rPr>
        <w:t>HIRD</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following resolution was duly adopted by the Board of Directors as required by O.C.G.A. § 14-2-602 and Article V of the Restated</w:t>
      </w:r>
      <w:r>
        <w:rPr>
          <w:rFonts w:ascii="Arial" w:cs="Arial" w:eastAsia="Arial" w:hAnsi="Arial"/>
          <w:sz w:val="16"/>
          <w:szCs w:val="16"/>
          <w:b w:val="1"/>
          <w:bCs w:val="1"/>
          <w:color w:val="auto"/>
        </w:rPr>
        <w:t xml:space="preserve"> </w:t>
      </w:r>
      <w:r>
        <w:rPr>
          <w:rFonts w:ascii="Arial" w:cs="Arial" w:eastAsia="Arial" w:hAnsi="Arial"/>
          <w:sz w:val="16"/>
          <w:szCs w:val="16"/>
          <w:color w:val="auto"/>
        </w:rPr>
        <w:t>Articles of Incorporation at a meeting duly convened and held on March 14, 2011, at which a quorum was present and acting throughout.</w:t>
      </w:r>
    </w:p>
    <w:p>
      <w:pPr>
        <w:spacing w:after="0" w:line="108" w:lineRule="exact"/>
        <w:rPr>
          <w:sz w:val="20"/>
          <w:szCs w:val="20"/>
          <w:color w:val="auto"/>
        </w:rPr>
      </w:pPr>
    </w:p>
    <w:p>
      <w:pPr>
        <w:ind w:right="220" w:firstLine="914"/>
        <w:spacing w:after="0" w:line="261" w:lineRule="auto"/>
        <w:rPr>
          <w:sz w:val="20"/>
          <w:szCs w:val="20"/>
          <w:color w:val="auto"/>
        </w:rPr>
      </w:pPr>
      <w:r>
        <w:rPr>
          <w:rFonts w:ascii="Arial" w:cs="Arial" w:eastAsia="Arial" w:hAnsi="Arial"/>
          <w:sz w:val="17"/>
          <w:szCs w:val="17"/>
          <w:b w:val="1"/>
          <w:bCs w:val="1"/>
          <w:color w:val="auto"/>
        </w:rPr>
        <w:t>R</w:t>
      </w:r>
      <w:r>
        <w:rPr>
          <w:rFonts w:ascii="Arial" w:cs="Arial" w:eastAsia="Arial" w:hAnsi="Arial"/>
          <w:sz w:val="11"/>
          <w:szCs w:val="11"/>
          <w:b w:val="1"/>
          <w:bCs w:val="1"/>
          <w:color w:val="auto"/>
        </w:rPr>
        <w:t>ESOLVED</w:t>
      </w:r>
      <w:r>
        <w:rPr>
          <w:rFonts w:ascii="Arial" w:cs="Arial" w:eastAsia="Arial" w:hAnsi="Arial"/>
          <w:sz w:val="17"/>
          <w:szCs w:val="17"/>
          <w:b w:val="1"/>
          <w:bCs w:val="1"/>
          <w:color w:val="auto"/>
        </w:rPr>
        <w:t xml:space="preserve">, </w:t>
      </w:r>
      <w:r>
        <w:rPr>
          <w:rFonts w:ascii="Arial" w:cs="Arial" w:eastAsia="Arial" w:hAnsi="Arial"/>
          <w:sz w:val="17"/>
          <w:szCs w:val="17"/>
          <w:color w:val="auto"/>
        </w:rPr>
        <w:t>that pursuant to the provisions of the Restated Articles of Incorporation of the Corporation, as amended, and applicable law, a series of</w:t>
      </w:r>
      <w:r>
        <w:rPr>
          <w:rFonts w:ascii="Arial" w:cs="Arial" w:eastAsia="Arial" w:hAnsi="Arial"/>
          <w:sz w:val="17"/>
          <w:szCs w:val="17"/>
          <w:b w:val="1"/>
          <w:bCs w:val="1"/>
          <w:color w:val="auto"/>
        </w:rPr>
        <w:t xml:space="preserve"> </w:t>
      </w:r>
      <w:r>
        <w:rPr>
          <w:rFonts w:ascii="Arial" w:cs="Arial" w:eastAsia="Arial" w:hAnsi="Arial"/>
          <w:sz w:val="17"/>
          <w:szCs w:val="17"/>
          <w:color w:val="auto"/>
        </w:rPr>
        <w:t>Preferred Stock, par value $1.00 per share, of the Corporation be and hereby is created, and that the designation and number of shares of such series, and the voting and other powers, preferences and relative, participating, optional or other rights, and the qualifications, limitations and restrictions thereof, of the shares of such series, are as follows: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RIGHTS AND PREFERENCES</w:t>
      </w:r>
    </w:p>
    <w:p>
      <w:pPr>
        <w:spacing w:after="0" w:line="180" w:lineRule="exact"/>
        <w:rPr>
          <w:sz w:val="20"/>
          <w:szCs w:val="20"/>
          <w:color w:val="auto"/>
        </w:rPr>
      </w:pPr>
    </w:p>
    <w:p>
      <w:pPr>
        <w:ind w:right="20" w:firstLine="914"/>
        <w:spacing w:after="0" w:line="260" w:lineRule="auto"/>
        <w:rPr>
          <w:sz w:val="20"/>
          <w:szCs w:val="20"/>
          <w:color w:val="auto"/>
        </w:rPr>
      </w:pPr>
      <w:r>
        <w:rPr>
          <w:rFonts w:ascii="Arial" w:cs="Arial" w:eastAsia="Arial" w:hAnsi="Arial"/>
          <w:sz w:val="17"/>
          <w:szCs w:val="17"/>
          <w:i w:val="1"/>
          <w:iCs w:val="1"/>
          <w:color w:val="auto"/>
        </w:rPr>
        <w:t xml:space="preserve">Section 1. Designation. </w:t>
      </w:r>
      <w:r>
        <w:rPr>
          <w:rFonts w:ascii="Arial" w:cs="Arial" w:eastAsia="Arial" w:hAnsi="Arial"/>
          <w:sz w:val="17"/>
          <w:szCs w:val="17"/>
          <w:color w:val="auto"/>
        </w:rPr>
        <w:t>There is hereby created out of the authorized and unissued shares of preferred stock of the Corporation a series of preferred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designated as the “Mandatorily Convertible Cumulative Non-Voting Perpetual Preferred Stock, Series F” (the “</w:t>
      </w:r>
      <w:r>
        <w:rPr>
          <w:rFonts w:ascii="Arial" w:cs="Arial" w:eastAsia="Arial" w:hAnsi="Arial"/>
          <w:sz w:val="17"/>
          <w:szCs w:val="17"/>
          <w:u w:val="single" w:color="auto"/>
          <w:color w:val="auto"/>
        </w:rPr>
        <w:t>Series F Preferred Stock</w:t>
      </w:r>
      <w:r>
        <w:rPr>
          <w:rFonts w:ascii="Arial" w:cs="Arial" w:eastAsia="Arial" w:hAnsi="Arial"/>
          <w:sz w:val="17"/>
          <w:szCs w:val="17"/>
          <w:color w:val="auto"/>
        </w:rPr>
        <w:t>”). The number of shares constituting such series shall be 195,872. The par value of the Series F Preferred Stock shall be $1.00 per share, and the liquidation preference shall be $1,000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599440</wp:posOffset>
            </wp:positionV>
            <wp:extent cx="725805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91" w:name="page92"/>
    <w:bookmarkEnd w:id="91"/>
    <w:p>
      <w:pPr>
        <w:spacing w:after="0" w:line="200" w:lineRule="exact"/>
        <w:rPr>
          <w:sz w:val="20"/>
          <w:szCs w:val="20"/>
          <w:color w:val="auto"/>
        </w:rPr>
      </w:pPr>
    </w:p>
    <w:p>
      <w:pPr>
        <w:spacing w:after="0" w:line="333" w:lineRule="exact"/>
        <w:rPr>
          <w:sz w:val="20"/>
          <w:szCs w:val="20"/>
          <w:color w:val="auto"/>
        </w:rPr>
      </w:pPr>
    </w:p>
    <w:p>
      <w:pPr>
        <w:ind w:firstLine="914"/>
        <w:spacing w:after="0" w:line="271" w:lineRule="auto"/>
        <w:rPr>
          <w:sz w:val="20"/>
          <w:szCs w:val="20"/>
          <w:color w:val="auto"/>
        </w:rPr>
      </w:pPr>
      <w:r>
        <w:rPr>
          <w:rFonts w:ascii="Arial" w:cs="Arial" w:eastAsia="Arial" w:hAnsi="Arial"/>
          <w:sz w:val="16"/>
          <w:szCs w:val="16"/>
          <w:i w:val="1"/>
          <w:iCs w:val="1"/>
          <w:color w:val="auto"/>
        </w:rPr>
        <w:t>Section 2. Ranking</w:t>
      </w:r>
      <w:r>
        <w:rPr>
          <w:rFonts w:ascii="Arial" w:cs="Arial" w:eastAsia="Arial" w:hAnsi="Arial"/>
          <w:sz w:val="16"/>
          <w:szCs w:val="16"/>
          <w:color w:val="auto"/>
        </w:rPr>
        <w:t>. The Series F Preferred Stock will, with respect to dividend rights and rights on liquidation, winding up and dissolution, rank (i) on a</w:t>
      </w:r>
      <w:r>
        <w:rPr>
          <w:rFonts w:ascii="Arial" w:cs="Arial" w:eastAsia="Arial" w:hAnsi="Arial"/>
          <w:sz w:val="16"/>
          <w:szCs w:val="16"/>
          <w:i w:val="1"/>
          <w:iCs w:val="1"/>
          <w:color w:val="auto"/>
        </w:rPr>
        <w:t xml:space="preserve"> </w:t>
      </w:r>
      <w:r>
        <w:rPr>
          <w:rFonts w:ascii="Arial" w:cs="Arial" w:eastAsia="Arial" w:hAnsi="Arial"/>
          <w:sz w:val="16"/>
          <w:szCs w:val="16"/>
          <w:color w:val="auto"/>
        </w:rPr>
        <w:t>parity with the Corporation’s Series A Non-Cumulative Preferred Stock, the Fixed Rate Cumulative Perpetual Preferred Stock, Series B, the Series C Fixed Rate Cumulative Perpetual Preferred Stock, the Cumulative Perpetual Preferred Stock, Series D, the Junior Participating Preferred Stock, Series E, the Series G Mandatorily Convertible Perpetual Preferred Stock (the “</w:t>
      </w:r>
      <w:r>
        <w:rPr>
          <w:rFonts w:ascii="Arial" w:cs="Arial" w:eastAsia="Arial" w:hAnsi="Arial"/>
          <w:sz w:val="16"/>
          <w:szCs w:val="16"/>
          <w:u w:val="single" w:color="auto"/>
          <w:color w:val="auto"/>
        </w:rPr>
        <w:t>Series G Preferred Stock</w:t>
      </w:r>
      <w:r>
        <w:rPr>
          <w:rFonts w:ascii="Arial" w:cs="Arial" w:eastAsia="Arial" w:hAnsi="Arial"/>
          <w:sz w:val="16"/>
          <w:szCs w:val="16"/>
          <w:color w:val="auto"/>
        </w:rPr>
        <w:t>”) and with each other class or series of equity securities of the Corporation the terms of which do not expressly provide that such class or series will rank senior or junior to the Series F Preferred Stock as to dividend rights and rights on liquidation, winding-up and dissolution of the Corporation (collectively referred to as “</w:t>
      </w:r>
      <w:r>
        <w:rPr>
          <w:rFonts w:ascii="Arial" w:cs="Arial" w:eastAsia="Arial" w:hAnsi="Arial"/>
          <w:sz w:val="16"/>
          <w:szCs w:val="16"/>
          <w:u w:val="single" w:color="auto"/>
          <w:color w:val="auto"/>
        </w:rPr>
        <w:t>Parity Securities</w:t>
      </w:r>
      <w:r>
        <w:rPr>
          <w:rFonts w:ascii="Arial" w:cs="Arial" w:eastAsia="Arial" w:hAnsi="Arial"/>
          <w:sz w:val="16"/>
          <w:szCs w:val="16"/>
          <w:color w:val="auto"/>
        </w:rPr>
        <w:t>”), and (ii) senior to the Corporation’s common stock, par value $1.00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the Corporation’s non-voting common stock, par value $1.00 per share (the “</w:t>
      </w:r>
      <w:r>
        <w:rPr>
          <w:rFonts w:ascii="Arial" w:cs="Arial" w:eastAsia="Arial" w:hAnsi="Arial"/>
          <w:sz w:val="16"/>
          <w:szCs w:val="16"/>
          <w:u w:val="single" w:color="auto"/>
          <w:color w:val="auto"/>
        </w:rPr>
        <w:t>Non-Voting Common Stock</w:t>
      </w:r>
      <w:r>
        <w:rPr>
          <w:rFonts w:ascii="Arial" w:cs="Arial" w:eastAsia="Arial" w:hAnsi="Arial"/>
          <w:sz w:val="16"/>
          <w:szCs w:val="16"/>
          <w:color w:val="auto"/>
        </w:rPr>
        <w:t>” and, together with the Common Stock, the “</w:t>
      </w:r>
      <w:r>
        <w:rPr>
          <w:rFonts w:ascii="Arial" w:cs="Arial" w:eastAsia="Arial" w:hAnsi="Arial"/>
          <w:sz w:val="16"/>
          <w:szCs w:val="16"/>
          <w:u w:val="single" w:color="auto"/>
          <w:color w:val="auto"/>
        </w:rPr>
        <w:t>Company Common Stock</w:t>
      </w:r>
      <w:r>
        <w:rPr>
          <w:rFonts w:ascii="Arial" w:cs="Arial" w:eastAsia="Arial" w:hAnsi="Arial"/>
          <w:sz w:val="16"/>
          <w:szCs w:val="16"/>
          <w:color w:val="auto"/>
        </w:rPr>
        <w:t>”), and each other class or series of capital stock of the Corporation outstanding or established after the Effective Date by the Corporation the terms of which do not expressly provide that it ranks on a parity with or senior to the Series F Preferred Stock as to dividend rights and rights on liquidation, winding-up and dissolution of the Corporation (collectively referred to as “</w:t>
      </w:r>
      <w:r>
        <w:rPr>
          <w:rFonts w:ascii="Arial" w:cs="Arial" w:eastAsia="Arial" w:hAnsi="Arial"/>
          <w:sz w:val="16"/>
          <w:szCs w:val="16"/>
          <w:u w:val="single" w:color="auto"/>
          <w:color w:val="auto"/>
        </w:rPr>
        <w:t>Junior Securities</w:t>
      </w:r>
      <w:r>
        <w:rPr>
          <w:rFonts w:ascii="Arial" w:cs="Arial" w:eastAsia="Arial" w:hAnsi="Arial"/>
          <w:sz w:val="16"/>
          <w:szCs w:val="16"/>
          <w:color w:val="auto"/>
        </w:rPr>
        <w:t>”). The Corporation has the power to authorize and/or issue additional shares or classes or series of Junior Securities without the consent of the Holders.</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Section 3. Definitions</w:t>
      </w:r>
      <w:r>
        <w:rPr>
          <w:rFonts w:ascii="Arial" w:cs="Arial" w:eastAsia="Arial" w:hAnsi="Arial"/>
          <w:sz w:val="17"/>
          <w:szCs w:val="17"/>
          <w:color w:val="auto"/>
        </w:rPr>
        <w:t>. The following initially capitalized terms shall have the following meanings, whether used in the singular or the plural:</w:t>
      </w:r>
    </w:p>
    <w:p>
      <w:pPr>
        <w:spacing w:after="0" w:line="189" w:lineRule="exact"/>
        <w:rPr>
          <w:sz w:val="20"/>
          <w:szCs w:val="20"/>
          <w:color w:val="auto"/>
        </w:rPr>
      </w:pPr>
    </w:p>
    <w:p>
      <w:pPr>
        <w:ind w:firstLine="916"/>
        <w:spacing w:after="0" w:line="260" w:lineRule="auto"/>
        <w:tabs>
          <w:tab w:leader="none" w:pos="1146"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of any specified Person means any other Person directly or indirectly controlling or controlled by or under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40" w:lineRule="exact"/>
        <w:rPr>
          <w:rFonts w:ascii="Arial" w:cs="Arial" w:eastAsia="Arial" w:hAnsi="Arial"/>
          <w:sz w:val="17"/>
          <w:szCs w:val="17"/>
          <w:color w:val="auto"/>
        </w:rPr>
      </w:pPr>
    </w:p>
    <w:p>
      <w:pPr>
        <w:ind w:left="1160" w:hanging="244"/>
        <w:spacing w:after="0"/>
        <w:tabs>
          <w:tab w:leader="none" w:pos="11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Conversion Price</w:t>
      </w:r>
      <w:r>
        <w:rPr>
          <w:rFonts w:ascii="Arial" w:cs="Arial" w:eastAsia="Arial" w:hAnsi="Arial"/>
          <w:sz w:val="17"/>
          <w:szCs w:val="17"/>
          <w:color w:val="auto"/>
        </w:rPr>
        <w:t>” means the Conversion Price in effect at any given time.</w:t>
      </w:r>
    </w:p>
    <w:p>
      <w:pPr>
        <w:spacing w:after="0" w:line="176" w:lineRule="exact"/>
        <w:rPr>
          <w:rFonts w:ascii="Arial" w:cs="Arial" w:eastAsia="Arial" w:hAnsi="Arial"/>
          <w:sz w:val="17"/>
          <w:szCs w:val="17"/>
          <w:color w:val="auto"/>
        </w:rPr>
      </w:pPr>
    </w:p>
    <w:p>
      <w:pPr>
        <w:ind w:left="1140" w:hanging="224"/>
        <w:spacing w:after="0"/>
        <w:tabs>
          <w:tab w:leader="none" w:pos="11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Articles of Incorporation</w:t>
      </w:r>
      <w:r>
        <w:rPr>
          <w:rFonts w:ascii="Arial" w:cs="Arial" w:eastAsia="Arial" w:hAnsi="Arial"/>
          <w:sz w:val="17"/>
          <w:szCs w:val="17"/>
          <w:color w:val="auto"/>
        </w:rPr>
        <w:t>” means the Restated Articles of Incorporation of the Corporation, as amended.</w:t>
      </w:r>
    </w:p>
    <w:p>
      <w:pPr>
        <w:spacing w:after="0" w:line="189" w:lineRule="exact"/>
        <w:rPr>
          <w:rFonts w:ascii="Arial" w:cs="Arial" w:eastAsia="Arial" w:hAnsi="Arial"/>
          <w:sz w:val="17"/>
          <w:szCs w:val="17"/>
          <w:color w:val="auto"/>
        </w:rPr>
      </w:pPr>
    </w:p>
    <w:p>
      <w:pPr>
        <w:ind w:right="20" w:firstLine="916"/>
        <w:spacing w:after="0" w:line="258" w:lineRule="auto"/>
        <w:tabs>
          <w:tab w:leader="none" w:pos="1156"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As-Converted Dividend</w:t>
      </w:r>
      <w:r>
        <w:rPr>
          <w:rFonts w:ascii="Arial" w:cs="Arial" w:eastAsia="Arial" w:hAnsi="Arial"/>
          <w:sz w:val="17"/>
          <w:szCs w:val="17"/>
          <w:color w:val="auto"/>
        </w:rPr>
        <w:t xml:space="preserve">” means, with respect to any Dividend Period, the product of (i) the pro forma per share semi-annual Common Stock dividend derived by (A) annualizing the last dividend declared during such Dividend Period on the Common Stock and (B) dividing such annualized dividend by two and (ii) the number of shares of Common Stock into which a share of Series F Preferred Stock would then be convertible (assuming receipt of the Stockholder Approval);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any Dividend Period with respect to which no dividend on the Common Stock has been declared, the As-Converted Dividend shall be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591820</wp:posOffset>
            </wp:positionV>
            <wp:extent cx="725805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92" w:name="page93"/>
    <w:bookmarkEnd w:id="92"/>
    <w:p>
      <w:pPr>
        <w:spacing w:after="0" w:line="200" w:lineRule="exact"/>
        <w:rPr>
          <w:sz w:val="20"/>
          <w:szCs w:val="20"/>
          <w:color w:val="auto"/>
        </w:rPr>
      </w:pPr>
    </w:p>
    <w:p>
      <w:pPr>
        <w:spacing w:after="0" w:line="334" w:lineRule="exact"/>
        <w:rPr>
          <w:sz w:val="20"/>
          <w:szCs w:val="20"/>
          <w:color w:val="auto"/>
        </w:rPr>
      </w:pPr>
    </w:p>
    <w:p>
      <w:pPr>
        <w:ind w:left="1140" w:hanging="224"/>
        <w:spacing w:after="0"/>
        <w:tabs>
          <w:tab w:leader="none" w:pos="11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BHC Act</w:t>
      </w:r>
      <w:r>
        <w:rPr>
          <w:rFonts w:ascii="Arial" w:cs="Arial" w:eastAsia="Arial" w:hAnsi="Arial"/>
          <w:sz w:val="17"/>
          <w:szCs w:val="17"/>
          <w:color w:val="auto"/>
        </w:rPr>
        <w:t>” means the Bank Holding Company Act of 1956, as amended.</w:t>
      </w:r>
    </w:p>
    <w:p>
      <w:pPr>
        <w:spacing w:after="0" w:line="176" w:lineRule="exact"/>
        <w:rPr>
          <w:rFonts w:ascii="Arial" w:cs="Arial" w:eastAsia="Arial" w:hAnsi="Arial"/>
          <w:sz w:val="17"/>
          <w:szCs w:val="17"/>
          <w:color w:val="auto"/>
        </w:rPr>
      </w:pPr>
    </w:p>
    <w:p>
      <w:pPr>
        <w:ind w:right="20" w:firstLine="916"/>
        <w:spacing w:after="0" w:line="277" w:lineRule="auto"/>
        <w:tabs>
          <w:tab w:leader="none" w:pos="1127" w:val="left"/>
        </w:tabs>
        <w:numPr>
          <w:ilvl w:val="0"/>
          <w:numId w:val="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BHC Affiliated Person</w:t>
      </w:r>
      <w:r>
        <w:rPr>
          <w:rFonts w:ascii="Arial" w:cs="Arial" w:eastAsia="Arial" w:hAnsi="Arial"/>
          <w:sz w:val="17"/>
          <w:szCs w:val="17"/>
          <w:color w:val="auto"/>
        </w:rPr>
        <w:t>” means, with respect to any Person, its Affiliates which for purposes of this definition include all “affiliates” as defined in the BHC Act or Regulation Y of the Board of Governors of the Federal Reserve.</w:t>
      </w:r>
    </w:p>
    <w:p>
      <w:pPr>
        <w:spacing w:after="0" w:line="138" w:lineRule="exact"/>
        <w:rPr>
          <w:rFonts w:ascii="Arial" w:cs="Arial" w:eastAsia="Arial" w:hAnsi="Arial"/>
          <w:sz w:val="17"/>
          <w:szCs w:val="17"/>
          <w:color w:val="auto"/>
        </w:rPr>
      </w:pPr>
    </w:p>
    <w:p>
      <w:pPr>
        <w:ind w:right="260" w:firstLine="916"/>
        <w:spacing w:after="0" w:line="277" w:lineRule="auto"/>
        <w:tabs>
          <w:tab w:leader="none" w:pos="1156" w:val="left"/>
        </w:tabs>
        <w:numPr>
          <w:ilvl w:val="0"/>
          <w:numId w:val="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that is not Saturday or Sunday and that, in New York City, is not a day on which banking institutions generally are authorized or obligated by law or executive order to be closed.</w:t>
      </w:r>
    </w:p>
    <w:p>
      <w:pPr>
        <w:spacing w:after="0" w:line="125" w:lineRule="exact"/>
        <w:rPr>
          <w:rFonts w:ascii="Arial" w:cs="Arial" w:eastAsia="Arial" w:hAnsi="Arial"/>
          <w:sz w:val="17"/>
          <w:szCs w:val="17"/>
          <w:color w:val="auto"/>
        </w:rPr>
      </w:pPr>
    </w:p>
    <w:p>
      <w:pPr>
        <w:ind w:left="1160" w:hanging="244"/>
        <w:spacing w:after="0"/>
        <w:tabs>
          <w:tab w:leader="none" w:pos="11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Certificate of Designations</w:t>
      </w:r>
      <w:r>
        <w:rPr>
          <w:rFonts w:ascii="Arial" w:cs="Arial" w:eastAsia="Arial" w:hAnsi="Arial"/>
          <w:sz w:val="17"/>
          <w:szCs w:val="17"/>
          <w:color w:val="auto"/>
        </w:rPr>
        <w:t>” means the Articles of Amendment to the Articles of Incorporation, dated March 29, 2011.</w:t>
      </w:r>
    </w:p>
    <w:p>
      <w:pPr>
        <w:spacing w:after="0" w:line="176" w:lineRule="exact"/>
        <w:rPr>
          <w:rFonts w:ascii="Arial" w:cs="Arial" w:eastAsia="Arial" w:hAnsi="Arial"/>
          <w:sz w:val="17"/>
          <w:szCs w:val="17"/>
          <w:color w:val="auto"/>
        </w:rPr>
      </w:pPr>
    </w:p>
    <w:p>
      <w:pPr>
        <w:ind w:left="1120" w:hanging="204"/>
        <w:spacing w:after="0"/>
        <w:tabs>
          <w:tab w:leader="none" w:pos="11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CIBC Act</w:t>
      </w:r>
      <w:r>
        <w:rPr>
          <w:rFonts w:ascii="Arial" w:cs="Arial" w:eastAsia="Arial" w:hAnsi="Arial"/>
          <w:sz w:val="17"/>
          <w:szCs w:val="17"/>
          <w:color w:val="auto"/>
        </w:rPr>
        <w:t>” means the Change in Bank Control Act of 1978, as amended.</w:t>
      </w:r>
    </w:p>
    <w:p>
      <w:pPr>
        <w:spacing w:after="0" w:line="189" w:lineRule="exact"/>
        <w:rPr>
          <w:rFonts w:ascii="Arial" w:cs="Arial" w:eastAsia="Arial" w:hAnsi="Arial"/>
          <w:sz w:val="17"/>
          <w:szCs w:val="17"/>
          <w:color w:val="auto"/>
        </w:rPr>
      </w:pPr>
    </w:p>
    <w:p>
      <w:pPr>
        <w:ind w:right="100" w:firstLine="916"/>
        <w:spacing w:after="0" w:line="271" w:lineRule="auto"/>
        <w:tabs>
          <w:tab w:leader="none" w:pos="1118" w:val="left"/>
        </w:tabs>
        <w:numPr>
          <w:ilvl w:val="0"/>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Price</w:t>
      </w:r>
      <w:r>
        <w:rPr>
          <w:rFonts w:ascii="Arial" w:cs="Arial" w:eastAsia="Arial" w:hAnsi="Arial"/>
          <w:sz w:val="16"/>
          <w:szCs w:val="16"/>
          <w:color w:val="auto"/>
        </w:rPr>
        <w:t>” of the Common Stock (or other relevant capital stock or equity interest) on any date of determination means the closing sale price or, if no closing sale price is reported, the last reported sale price of the shares of the Common Stock (or other relevant capital stock or equity interest) on The NASDAQ Global Select Market on such date. If the Common Stock (or other relevant capital stock or equity interest) is not traded on The NASDAQ Global Select Market on any date of determination, the Closing Price of the Common Stock (or other relevant capital stock or equity interest) on such date of determination means the closing sale price as reported in the composite transactions for the principal U.S. national or regional securities exchange on which the Common Stock (or other relevant capital stock or equity interest) is so listed or quoted, or, if no closing sale price is reported, the last reported sale price on the principal U.S. national or regional securities exchange on which the Common Stock (or other relevant capital stock or equity interest) is so listed or quoted, or if the Common Stock (or other relevant capital stock or equity interest) is not so listed or quoted on a U.S. national or regional securities exchange, the last quoted bid price for the Common Stock (or other relevant capital stock or equity interest) in the over-the-counter market as reported by Pink OTC Markets Inc. or similar organization, or, if that bid price is not available, the market price of the Common Stock (or other relevant capital stock or equity interest) on that date as determined by a nationally recognized independent investment banking firm retained by the Corporation for this purpose.</w:t>
      </w:r>
    </w:p>
    <w:p>
      <w:pPr>
        <w:spacing w:after="0" w:line="13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For purposes of this Certificate of Designation, all references herein to the “</w:t>
      </w:r>
      <w:r>
        <w:rPr>
          <w:rFonts w:ascii="Arial" w:cs="Arial" w:eastAsia="Arial" w:hAnsi="Arial"/>
          <w:sz w:val="16"/>
          <w:szCs w:val="16"/>
          <w:u w:val="single" w:color="auto"/>
          <w:color w:val="auto"/>
        </w:rPr>
        <w:t>Closing Price</w:t>
      </w:r>
      <w:r>
        <w:rPr>
          <w:rFonts w:ascii="Arial" w:cs="Arial" w:eastAsia="Arial" w:hAnsi="Arial"/>
          <w:sz w:val="16"/>
          <w:szCs w:val="16"/>
          <w:color w:val="auto"/>
        </w:rPr>
        <w:t>” and “</w:t>
      </w:r>
      <w:r>
        <w:rPr>
          <w:rFonts w:ascii="Arial" w:cs="Arial" w:eastAsia="Arial" w:hAnsi="Arial"/>
          <w:sz w:val="16"/>
          <w:szCs w:val="16"/>
          <w:u w:val="single" w:color="auto"/>
          <w:color w:val="auto"/>
        </w:rPr>
        <w:t>last reported sale price</w:t>
      </w:r>
      <w:r>
        <w:rPr>
          <w:rFonts w:ascii="Arial" w:cs="Arial" w:eastAsia="Arial" w:hAnsi="Arial"/>
          <w:sz w:val="16"/>
          <w:szCs w:val="16"/>
          <w:color w:val="auto"/>
        </w:rPr>
        <w:t xml:space="preserve">” of the Common Stock (or other relevant capital stock or equity interest) on The NASDAQ Global Select Market shall be such closing sale price and last reported sale price as reflected on the website of The NASDAQ Global Select Market (http://www.nasdaq.com) and as reported by Bloomberg Professional Service;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there is a discrepancy between the closing sale price or last reported sale price as reflected on the website of The NASDAQ Global Select Market and as reported by Bloomberg Professional Service, the closing sale price and last reported sale price on the website of The NASDAQ Global Select Market shall govern.</w:t>
      </w:r>
    </w:p>
    <w:p>
      <w:pPr>
        <w:spacing w:after="0" w:line="127" w:lineRule="exact"/>
        <w:rPr>
          <w:sz w:val="20"/>
          <w:szCs w:val="20"/>
          <w:color w:val="auto"/>
        </w:rPr>
      </w:pPr>
    </w:p>
    <w:p>
      <w:pPr>
        <w:ind w:left="1160" w:hanging="244"/>
        <w:spacing w:after="0"/>
        <w:tabs>
          <w:tab w:leader="none" w:pos="11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has the meaning set forth in Section 2.</w:t>
      </w:r>
    </w:p>
    <w:p>
      <w:pPr>
        <w:spacing w:after="0" w:line="189" w:lineRule="exact"/>
        <w:rPr>
          <w:rFonts w:ascii="Arial" w:cs="Arial" w:eastAsia="Arial" w:hAnsi="Arial"/>
          <w:sz w:val="17"/>
          <w:szCs w:val="17"/>
          <w:color w:val="auto"/>
        </w:rPr>
      </w:pPr>
    </w:p>
    <w:p>
      <w:pPr>
        <w:ind w:left="1120" w:hanging="204"/>
        <w:spacing w:after="0"/>
        <w:tabs>
          <w:tab w:leader="none" w:pos="11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has the meaning set forth in Section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614045</wp:posOffset>
            </wp:positionV>
            <wp:extent cx="725805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3" w:name="page94"/>
    <w:bookmarkEnd w:id="93"/>
    <w:p>
      <w:pPr>
        <w:spacing w:after="0" w:line="200" w:lineRule="exact"/>
        <w:rPr>
          <w:sz w:val="20"/>
          <w:szCs w:val="20"/>
          <w:color w:val="auto"/>
        </w:rPr>
      </w:pPr>
    </w:p>
    <w:p>
      <w:pPr>
        <w:spacing w:after="0" w:line="334" w:lineRule="exact"/>
        <w:rPr>
          <w:sz w:val="20"/>
          <w:szCs w:val="20"/>
          <w:color w:val="auto"/>
        </w:rPr>
      </w:pPr>
    </w:p>
    <w:p>
      <w:pPr>
        <w:ind w:left="284" w:hanging="284"/>
        <w:spacing w:after="0"/>
        <w:tabs>
          <w:tab w:leader="none" w:pos="284"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Price</w:t>
      </w:r>
      <w:r>
        <w:rPr>
          <w:rFonts w:ascii="Arial" w:cs="Arial" w:eastAsia="Arial" w:hAnsi="Arial"/>
          <w:sz w:val="17"/>
          <w:szCs w:val="17"/>
          <w:color w:val="auto"/>
        </w:rPr>
        <w:t>” means $1.90, subject to adjustment as set forth herein.</w:t>
      </w:r>
    </w:p>
    <w:p>
      <w:pPr>
        <w:spacing w:after="0" w:line="176" w:lineRule="exact"/>
        <w:rPr>
          <w:rFonts w:ascii="Arial" w:cs="Arial" w:eastAsia="Arial" w:hAnsi="Arial"/>
          <w:sz w:val="17"/>
          <w:szCs w:val="17"/>
          <w:color w:val="auto"/>
        </w:rPr>
      </w:pPr>
    </w:p>
    <w:p>
      <w:pPr>
        <w:jc w:val="both"/>
        <w:ind w:left="-916" w:right="100" w:firstLine="916"/>
        <w:spacing w:after="0" w:line="264" w:lineRule="auto"/>
        <w:tabs>
          <w:tab w:leader="none" w:pos="239"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Current Market Price</w:t>
      </w:r>
      <w:r>
        <w:rPr>
          <w:rFonts w:ascii="Arial" w:cs="Arial" w:eastAsia="Arial" w:hAnsi="Arial"/>
          <w:sz w:val="17"/>
          <w:szCs w:val="17"/>
          <w:color w:val="auto"/>
        </w:rPr>
        <w:t>” means, on any date, the average of the daily Closing Price per share of the Common Stock or other securities on each of the five consecutive Trading Days preceding the earlier of the day before the date in question and the day before the Ex-Date with respect to the issuance or distribution giving rise to an adjustment to the Conversion Price pursuant to Section 10.</w:t>
      </w:r>
    </w:p>
    <w:p>
      <w:pPr>
        <w:spacing w:after="0" w:line="149" w:lineRule="exact"/>
        <w:rPr>
          <w:rFonts w:ascii="Arial" w:cs="Arial" w:eastAsia="Arial" w:hAnsi="Arial"/>
          <w:sz w:val="17"/>
          <w:szCs w:val="17"/>
          <w:color w:val="auto"/>
        </w:rPr>
      </w:pPr>
    </w:p>
    <w:p>
      <w:pPr>
        <w:ind w:left="244" w:hanging="244"/>
        <w:spacing w:after="0"/>
        <w:tabs>
          <w:tab w:leader="none" w:pos="244"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Distributed Property</w:t>
      </w:r>
      <w:r>
        <w:rPr>
          <w:rFonts w:ascii="Arial" w:cs="Arial" w:eastAsia="Arial" w:hAnsi="Arial"/>
          <w:sz w:val="17"/>
          <w:szCs w:val="17"/>
          <w:color w:val="auto"/>
        </w:rPr>
        <w:t>” has the meaning set forth in Section 10(a)(iv).</w:t>
      </w:r>
    </w:p>
    <w:p>
      <w:pPr>
        <w:spacing w:after="0" w:line="176" w:lineRule="exact"/>
        <w:rPr>
          <w:rFonts w:ascii="Arial" w:cs="Arial" w:eastAsia="Arial" w:hAnsi="Arial"/>
          <w:sz w:val="17"/>
          <w:szCs w:val="17"/>
          <w:color w:val="auto"/>
        </w:rPr>
      </w:pPr>
    </w:p>
    <w:p>
      <w:pPr>
        <w:ind w:left="244" w:hanging="244"/>
        <w:spacing w:after="0"/>
        <w:tabs>
          <w:tab w:leader="none" w:pos="244"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Dividend</w:t>
      </w:r>
      <w:r>
        <w:rPr>
          <w:rFonts w:ascii="Arial" w:cs="Arial" w:eastAsia="Arial" w:hAnsi="Arial"/>
          <w:sz w:val="17"/>
          <w:szCs w:val="17"/>
          <w:color w:val="auto"/>
        </w:rPr>
        <w:t>” has the meaning set forth in Section 4(b).</w:t>
      </w:r>
    </w:p>
    <w:p>
      <w:pPr>
        <w:spacing w:after="0" w:line="176" w:lineRule="exact"/>
        <w:rPr>
          <w:rFonts w:ascii="Arial" w:cs="Arial" w:eastAsia="Arial" w:hAnsi="Arial"/>
          <w:sz w:val="17"/>
          <w:szCs w:val="17"/>
          <w:color w:val="auto"/>
        </w:rPr>
      </w:pPr>
    </w:p>
    <w:p>
      <w:pPr>
        <w:ind w:left="244" w:hanging="244"/>
        <w:spacing w:after="0"/>
        <w:tabs>
          <w:tab w:leader="none" w:pos="244"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Dividend Payment Date</w:t>
      </w:r>
      <w:r>
        <w:rPr>
          <w:rFonts w:ascii="Arial" w:cs="Arial" w:eastAsia="Arial" w:hAnsi="Arial"/>
          <w:sz w:val="17"/>
          <w:szCs w:val="17"/>
          <w:color w:val="auto"/>
        </w:rPr>
        <w:t>” has the meaning set forth in Section 4(b).</w:t>
      </w:r>
    </w:p>
    <w:p>
      <w:pPr>
        <w:spacing w:after="0" w:line="189" w:lineRule="exact"/>
        <w:rPr>
          <w:rFonts w:ascii="Arial" w:cs="Arial" w:eastAsia="Arial" w:hAnsi="Arial"/>
          <w:sz w:val="17"/>
          <w:szCs w:val="17"/>
          <w:color w:val="auto"/>
        </w:rPr>
      </w:pPr>
    </w:p>
    <w:p>
      <w:pPr>
        <w:ind w:left="204" w:hanging="204"/>
        <w:spacing w:after="0"/>
        <w:tabs>
          <w:tab w:leader="none" w:pos="204"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Dividend Period</w:t>
      </w:r>
      <w:r>
        <w:rPr>
          <w:rFonts w:ascii="Arial" w:cs="Arial" w:eastAsia="Arial" w:hAnsi="Arial"/>
          <w:sz w:val="17"/>
          <w:szCs w:val="17"/>
          <w:color w:val="auto"/>
        </w:rPr>
        <w:t>” has the meaning set forth in Section 4(c).</w:t>
      </w:r>
    </w:p>
    <w:p>
      <w:pPr>
        <w:spacing w:after="0" w:line="176" w:lineRule="exact"/>
        <w:rPr>
          <w:rFonts w:ascii="Arial" w:cs="Arial" w:eastAsia="Arial" w:hAnsi="Arial"/>
          <w:sz w:val="17"/>
          <w:szCs w:val="17"/>
          <w:color w:val="auto"/>
        </w:rPr>
      </w:pPr>
    </w:p>
    <w:p>
      <w:pPr>
        <w:ind w:left="-916" w:firstLine="916"/>
        <w:spacing w:after="0" w:line="277" w:lineRule="auto"/>
        <w:tabs>
          <w:tab w:leader="none" w:pos="2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Dividend Rate</w:t>
      </w:r>
      <w:r>
        <w:rPr>
          <w:rFonts w:ascii="Arial" w:cs="Arial" w:eastAsia="Arial" w:hAnsi="Arial"/>
          <w:sz w:val="17"/>
          <w:szCs w:val="17"/>
          <w:color w:val="auto"/>
        </w:rPr>
        <w:t xml:space="preserve">” means, with respect to any Dividend Period, the sum of (a) the greater of (i) LIBOR and (ii) 2.0% plus (b) 15.0%;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if such amount is greater than 18.0%, the Dividend Rate shall be 18.0%.</w:t>
      </w:r>
    </w:p>
    <w:p>
      <w:pPr>
        <w:spacing w:after="0" w:line="125" w:lineRule="exact"/>
        <w:rPr>
          <w:rFonts w:ascii="Arial" w:cs="Arial" w:eastAsia="Arial" w:hAnsi="Arial"/>
          <w:sz w:val="17"/>
          <w:szCs w:val="17"/>
          <w:color w:val="auto"/>
        </w:rPr>
      </w:pPr>
    </w:p>
    <w:p>
      <w:pPr>
        <w:ind w:left="204" w:hanging="204"/>
        <w:spacing w:after="0"/>
        <w:tabs>
          <w:tab w:leader="none" w:pos="204"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means the date on which shares of the Series F Preferred Stock are first issued.</w:t>
      </w:r>
    </w:p>
    <w:p>
      <w:pPr>
        <w:spacing w:after="0" w:line="189" w:lineRule="exact"/>
        <w:rPr>
          <w:rFonts w:ascii="Arial" w:cs="Arial" w:eastAsia="Arial" w:hAnsi="Arial"/>
          <w:sz w:val="17"/>
          <w:szCs w:val="17"/>
          <w:color w:val="auto"/>
        </w:rPr>
      </w:pPr>
    </w:p>
    <w:p>
      <w:pPr>
        <w:ind w:left="244" w:hanging="244"/>
        <w:spacing w:after="0"/>
        <w:tabs>
          <w:tab w:leader="none" w:pos="244"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Property</w:t>
      </w:r>
      <w:r>
        <w:rPr>
          <w:rFonts w:ascii="Arial" w:cs="Arial" w:eastAsia="Arial" w:hAnsi="Arial"/>
          <w:sz w:val="17"/>
          <w:szCs w:val="17"/>
          <w:color w:val="auto"/>
        </w:rPr>
        <w:t>” has the meaning set forth in Section 11(a).</w:t>
      </w:r>
    </w:p>
    <w:p>
      <w:pPr>
        <w:spacing w:after="0" w:line="176" w:lineRule="exact"/>
        <w:rPr>
          <w:rFonts w:ascii="Arial" w:cs="Arial" w:eastAsia="Arial" w:hAnsi="Arial"/>
          <w:sz w:val="17"/>
          <w:szCs w:val="17"/>
          <w:color w:val="auto"/>
        </w:rPr>
      </w:pPr>
    </w:p>
    <w:p>
      <w:pPr>
        <w:ind w:left="-916" w:right="20" w:firstLine="916"/>
        <w:spacing w:after="0" w:line="277" w:lineRule="auto"/>
        <w:tabs>
          <w:tab w:leader="none" w:pos="239"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Ex-Date</w:t>
      </w:r>
      <w:r>
        <w:rPr>
          <w:rFonts w:ascii="Arial" w:cs="Arial" w:eastAsia="Arial" w:hAnsi="Arial"/>
          <w:sz w:val="17"/>
          <w:szCs w:val="17"/>
          <w:color w:val="auto"/>
        </w:rPr>
        <w:t>”, when used with respect to any issuance or distribution, means the first date on which the Common Stock or other securities trade without the right to receive the issuance or distribution giving rise to an adjustment to the Conversion Price pursuant to Section 10.</w:t>
      </w:r>
    </w:p>
    <w:p>
      <w:pPr>
        <w:spacing w:after="0" w:line="125" w:lineRule="exact"/>
        <w:rPr>
          <w:rFonts w:ascii="Arial" w:cs="Arial" w:eastAsia="Arial" w:hAnsi="Arial"/>
          <w:sz w:val="17"/>
          <w:szCs w:val="17"/>
          <w:color w:val="auto"/>
        </w:rPr>
      </w:pPr>
    </w:p>
    <w:p>
      <w:pPr>
        <w:ind w:left="-916" w:right="80" w:firstLine="916"/>
        <w:spacing w:after="0" w:line="346" w:lineRule="auto"/>
        <w:tabs>
          <w:tab w:leader="none" w:pos="277" w:val="left"/>
        </w:tabs>
        <w:numPr>
          <w:ilvl w:val="0"/>
          <w:numId w:val="5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Holder</w:t>
      </w:r>
      <w:r>
        <w:rPr>
          <w:rFonts w:ascii="Arial" w:cs="Arial" w:eastAsia="Arial" w:hAnsi="Arial"/>
          <w:sz w:val="15"/>
          <w:szCs w:val="15"/>
          <w:color w:val="auto"/>
        </w:rPr>
        <w:t>” means the Person in whose name the shares of the Series F Preferred Stock are registered, which may be treated by the Corporation as the absolute owner of the shares of Series F Preferred Stock for the purpose of making payment and settling the related conversions and for all other purposes.</w:t>
      </w:r>
    </w:p>
    <w:p>
      <w:pPr>
        <w:spacing w:after="0" w:line="92" w:lineRule="exact"/>
        <w:rPr>
          <w:rFonts w:ascii="Arial" w:cs="Arial" w:eastAsia="Arial" w:hAnsi="Arial"/>
          <w:sz w:val="15"/>
          <w:szCs w:val="15"/>
          <w:color w:val="auto"/>
        </w:rPr>
      </w:pPr>
    </w:p>
    <w:p>
      <w:pPr>
        <w:ind w:left="244" w:hanging="244"/>
        <w:spacing w:after="0"/>
        <w:tabs>
          <w:tab w:leader="none" w:pos="244"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Securities</w:t>
      </w:r>
      <w:r>
        <w:rPr>
          <w:rFonts w:ascii="Arial" w:cs="Arial" w:eastAsia="Arial" w:hAnsi="Arial"/>
          <w:sz w:val="17"/>
          <w:szCs w:val="17"/>
          <w:color w:val="auto"/>
        </w:rPr>
        <w:t>” has the meaning set forth in Section 2.</w:t>
      </w:r>
    </w:p>
    <w:p>
      <w:pPr>
        <w:spacing w:after="0" w:line="176" w:lineRule="exact"/>
        <w:rPr>
          <w:rFonts w:ascii="Arial" w:cs="Arial" w:eastAsia="Arial" w:hAnsi="Arial"/>
          <w:sz w:val="17"/>
          <w:szCs w:val="17"/>
          <w:color w:val="auto"/>
        </w:rPr>
      </w:pPr>
    </w:p>
    <w:p>
      <w:pPr>
        <w:ind w:left="-916" w:firstLine="916"/>
        <w:spacing w:after="0" w:line="270" w:lineRule="auto"/>
        <w:tabs>
          <w:tab w:leader="none" w:pos="239" w:val="left"/>
        </w:tabs>
        <w:numPr>
          <w:ilvl w:val="0"/>
          <w:numId w:val="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w:t>
      </w:r>
      <w:r>
        <w:rPr>
          <w:rFonts w:ascii="Arial" w:cs="Arial" w:eastAsia="Arial" w:hAnsi="Arial"/>
          <w:sz w:val="16"/>
          <w:szCs w:val="16"/>
          <w:color w:val="auto"/>
        </w:rPr>
        <w:t>” means, with respect to any Dividend Period, the rate for deposits in U.S. dollars for a three-month period that appears on Bloomberg Screen US0003M Index &lt;GO&gt; page (or other applicable page) as of 11:00 a.m. (London time) on the second London Banking Day preceding the first day of that Dividend Period. If the rate described above does not appear on such Bloomberg Screen page, LIBOR will be determined on the basis of the rates at which deposits in U.S. dollars for a three-month period and in a principal amount of not less than $1,000,000 are offered to prime banks in the London interbank market by four major banks in the London interbank market selected by the Corporation, at approximately 11:00 a.m., London time on the second London Banking Day preceding the first day of that Dividend Period. The Corporation will request the principal London office of each of such banks to provide a quotation of its rate. If at least two such quotations are provided, LIBOR with respect to that Dividend Period will be the arithmetic mean (rounded upward if necessary to the nearest .00001 of 1%) of such quotations. If fewer than two quotations are provided, LIBOR with respect to that Dividend Period will be the arithmetic mean (rounded upward if necessary to the nearest .00001 of 1%) of the rates quoted by three major banks in New York, New York, selected by the Corporation, at approximately 11:00 a.m., New York City time, on the first day of that Dividend Period for loans in U.S. dollars to leading European banks for a three-month period and in a principal amount of not less than $1,000,000. However, if the banks selected by the Corporation to provide quotations are not quoting as described above, LIBOR for that Dividend Period will be the same as LIBOR as determined for the previous Dividend Period, or in the case of the first Dividend Period, the most recent rate that could have been determined in accordance with the first sentence of this paragraph had the Series F Preferred Stock been outstanding. The establishment of LIBOR will be final and binding in the absence of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599440</wp:posOffset>
            </wp:positionV>
            <wp:extent cx="725805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444"/>
          </w:cols>
          <w:pgMar w:left="1156" w:top="1440" w:right="299" w:bottom="1440" w:gutter="0" w:footer="0" w:header="0"/>
        </w:sectPr>
      </w:pPr>
    </w:p>
    <w:bookmarkStart w:id="94" w:name="page95"/>
    <w:bookmarkEnd w:id="94"/>
    <w:p>
      <w:pPr>
        <w:spacing w:after="0" w:line="200" w:lineRule="exact"/>
        <w:rPr>
          <w:sz w:val="20"/>
          <w:szCs w:val="20"/>
          <w:color w:val="auto"/>
        </w:rPr>
      </w:pPr>
    </w:p>
    <w:p>
      <w:pPr>
        <w:spacing w:after="0" w:line="334" w:lineRule="exact"/>
        <w:rPr>
          <w:sz w:val="20"/>
          <w:szCs w:val="20"/>
          <w:color w:val="auto"/>
        </w:rPr>
      </w:pPr>
    </w:p>
    <w:p>
      <w:pPr>
        <w:ind w:right="840" w:firstLine="916"/>
        <w:spacing w:after="0" w:line="277" w:lineRule="auto"/>
        <w:tabs>
          <w:tab w:leader="none" w:pos="1146" w:val="left"/>
        </w:tabs>
        <w:numPr>
          <w:ilvl w:val="0"/>
          <w:numId w:val="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Liquidation Preference</w:t>
      </w:r>
      <w:r>
        <w:rPr>
          <w:rFonts w:ascii="Arial" w:cs="Arial" w:eastAsia="Arial" w:hAnsi="Arial"/>
          <w:sz w:val="17"/>
          <w:szCs w:val="17"/>
          <w:color w:val="auto"/>
        </w:rPr>
        <w:t>” means, as to the Series F Preferred Stock, $1,000 per share (as adjusted for any split, subdivision, combination, consolidation, recapitalization or similar event with respect to the Series F Preferred Stock).</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5"/>
          <w:szCs w:val="15"/>
          <w:color w:val="auto"/>
        </w:rPr>
        <w:t>(aa) “</w:t>
      </w:r>
      <w:r>
        <w:rPr>
          <w:rFonts w:ascii="Arial" w:cs="Arial" w:eastAsia="Arial" w:hAnsi="Arial"/>
          <w:sz w:val="15"/>
          <w:szCs w:val="15"/>
          <w:u w:val="single" w:color="auto"/>
          <w:color w:val="auto"/>
        </w:rPr>
        <w:t>London Banking Day</w:t>
      </w:r>
      <w:r>
        <w:rPr>
          <w:rFonts w:ascii="Arial" w:cs="Arial" w:eastAsia="Arial" w:hAnsi="Arial"/>
          <w:sz w:val="15"/>
          <w:szCs w:val="15"/>
          <w:color w:val="auto"/>
        </w:rPr>
        <w:t>” means any day on which commercial banks are open for general business (including dealings in deposits in U.S. dollars) in</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London.</w:t>
      </w:r>
    </w:p>
    <w:p>
      <w:pPr>
        <w:spacing w:after="0" w:line="178" w:lineRule="exact"/>
        <w:rPr>
          <w:sz w:val="20"/>
          <w:szCs w:val="20"/>
          <w:color w:val="auto"/>
        </w:rPr>
      </w:pPr>
    </w:p>
    <w:p>
      <w:pPr>
        <w:ind w:firstLine="916"/>
        <w:spacing w:after="0" w:line="255" w:lineRule="auto"/>
        <w:tabs>
          <w:tab w:leader="none" w:pos="1241" w:val="left"/>
        </w:tabs>
        <w:numPr>
          <w:ilvl w:val="0"/>
          <w:numId w:val="5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Mandatory Conversion Date</w:t>
      </w:r>
      <w:r>
        <w:rPr>
          <w:rFonts w:ascii="Arial" w:cs="Arial" w:eastAsia="Arial" w:hAnsi="Arial"/>
          <w:sz w:val="17"/>
          <w:szCs w:val="17"/>
          <w:color w:val="auto"/>
        </w:rPr>
        <w:t xml:space="preserve">” means, with respect to the shares of Series F Preferred Stock of any Holder, the second Business Day after which the Corporation has received the Stockholder Approvals (or if a Reorganization Event has theretofore been consummated, the date of consummation of such Reorganization Event) necessary to permit such Holder to convert such shares of Series F Preferred Stock into authorized Common Stock without such conversion resulting in a Violation,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 Mandatory Conversion Date would otherwise occur on or after an Ex-Date for an issuance or distribution that results in an adjustment of the Conversion Price pursuant to Section 10 and on or before the Record Date for such issuance or distribution, such Mandatory Conversion Date shall instead occur on the first calendar day after the Record Date for such issuance or distribution,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if a Mandatory Conversion Date would otherwise occur but such Holder has not received all accrued and unpaid dividends, whether or not declared with respect to any Dividend Period completed prior to such Mandatory Conversion Date, such Mandatory Conversion Date shall instead occur on the first calendar day after such Holder has received all such accrued and unpaid dividends.</w:t>
      </w:r>
    </w:p>
    <w:p>
      <w:pPr>
        <w:spacing w:after="0" w:line="143" w:lineRule="exact"/>
        <w:rPr>
          <w:rFonts w:ascii="Arial" w:cs="Arial" w:eastAsia="Arial" w:hAnsi="Arial"/>
          <w:sz w:val="17"/>
          <w:szCs w:val="17"/>
          <w:color w:val="auto"/>
        </w:rPr>
      </w:pPr>
    </w:p>
    <w:p>
      <w:pPr>
        <w:ind w:left="1220" w:hanging="304"/>
        <w:spacing w:after="0"/>
        <w:tabs>
          <w:tab w:leader="none" w:pos="12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Non-Voting Common Stock</w:t>
      </w:r>
      <w:r>
        <w:rPr>
          <w:rFonts w:ascii="Arial" w:cs="Arial" w:eastAsia="Arial" w:hAnsi="Arial"/>
          <w:sz w:val="17"/>
          <w:szCs w:val="17"/>
          <w:color w:val="auto"/>
        </w:rPr>
        <w:t>” has the meaning set forth in Section 2.</w:t>
      </w:r>
    </w:p>
    <w:p>
      <w:pPr>
        <w:spacing w:after="0" w:line="176" w:lineRule="exact"/>
        <w:rPr>
          <w:rFonts w:ascii="Arial" w:cs="Arial" w:eastAsia="Arial" w:hAnsi="Arial"/>
          <w:sz w:val="17"/>
          <w:szCs w:val="17"/>
          <w:color w:val="auto"/>
        </w:rPr>
      </w:pPr>
    </w:p>
    <w:p>
      <w:pPr>
        <w:ind w:left="1240" w:hanging="324"/>
        <w:spacing w:after="0"/>
        <w:tabs>
          <w:tab w:leader="none" w:pos="12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 of Mandatory Conversion</w:t>
      </w:r>
      <w:r>
        <w:rPr>
          <w:rFonts w:ascii="Arial" w:cs="Arial" w:eastAsia="Arial" w:hAnsi="Arial"/>
          <w:sz w:val="17"/>
          <w:szCs w:val="17"/>
          <w:color w:val="auto"/>
        </w:rPr>
        <w:t>” has the meaning set forth in Section 9(a).</w:t>
      </w:r>
    </w:p>
    <w:p>
      <w:pPr>
        <w:spacing w:after="0" w:line="189" w:lineRule="exact"/>
        <w:rPr>
          <w:rFonts w:ascii="Arial" w:cs="Arial" w:eastAsia="Arial" w:hAnsi="Arial"/>
          <w:sz w:val="17"/>
          <w:szCs w:val="17"/>
          <w:color w:val="auto"/>
        </w:rPr>
      </w:pPr>
    </w:p>
    <w:p>
      <w:pPr>
        <w:ind w:left="1220" w:hanging="304"/>
        <w:spacing w:after="0"/>
        <w:tabs>
          <w:tab w:leader="none" w:pos="12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Parity Securities</w:t>
      </w:r>
      <w:r>
        <w:rPr>
          <w:rFonts w:ascii="Arial" w:cs="Arial" w:eastAsia="Arial" w:hAnsi="Arial"/>
          <w:sz w:val="17"/>
          <w:szCs w:val="17"/>
          <w:color w:val="auto"/>
        </w:rPr>
        <w:t>” has the meaning set forth in Section 2.</w:t>
      </w:r>
    </w:p>
    <w:p>
      <w:pPr>
        <w:spacing w:after="0" w:line="176" w:lineRule="exact"/>
        <w:rPr>
          <w:rFonts w:ascii="Arial" w:cs="Arial" w:eastAsia="Arial" w:hAnsi="Arial"/>
          <w:sz w:val="17"/>
          <w:szCs w:val="17"/>
          <w:color w:val="auto"/>
        </w:rPr>
      </w:pPr>
    </w:p>
    <w:p>
      <w:pPr>
        <w:ind w:right="280" w:firstLine="916"/>
        <w:spacing w:after="0" w:line="277" w:lineRule="auto"/>
        <w:tabs>
          <w:tab w:leader="none" w:pos="1181" w:val="left"/>
        </w:tabs>
        <w:numPr>
          <w:ilvl w:val="0"/>
          <w:numId w:val="5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 legal person, including any individual, corporation, estate, partnership, joint venture, association, joint-stock company, limited liability company or trust.</w:t>
      </w:r>
    </w:p>
    <w:p>
      <w:pPr>
        <w:spacing w:after="0" w:line="125" w:lineRule="exact"/>
        <w:rPr>
          <w:rFonts w:ascii="Arial" w:cs="Arial" w:eastAsia="Arial" w:hAnsi="Arial"/>
          <w:sz w:val="17"/>
          <w:szCs w:val="17"/>
          <w:color w:val="auto"/>
        </w:rPr>
      </w:pPr>
    </w:p>
    <w:p>
      <w:pPr>
        <w:ind w:left="1240" w:hanging="324"/>
        <w:spacing w:after="0"/>
        <w:tabs>
          <w:tab w:leader="none" w:pos="12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Record Date</w:t>
      </w:r>
      <w:r>
        <w:rPr>
          <w:rFonts w:ascii="Arial" w:cs="Arial" w:eastAsia="Arial" w:hAnsi="Arial"/>
          <w:sz w:val="17"/>
          <w:szCs w:val="17"/>
          <w:color w:val="auto"/>
        </w:rPr>
        <w:t>” has the meaning set forth in Section 4(d).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622300</wp:posOffset>
            </wp:positionV>
            <wp:extent cx="725805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95" w:name="page96"/>
    <w:bookmarkEnd w:id="95"/>
    <w:p>
      <w:pPr>
        <w:spacing w:after="0" w:line="200" w:lineRule="exact"/>
        <w:rPr>
          <w:sz w:val="20"/>
          <w:szCs w:val="20"/>
          <w:color w:val="auto"/>
        </w:rPr>
      </w:pPr>
    </w:p>
    <w:p>
      <w:pPr>
        <w:spacing w:after="0" w:line="334" w:lineRule="exact"/>
        <w:rPr>
          <w:sz w:val="20"/>
          <w:szCs w:val="20"/>
          <w:color w:val="auto"/>
        </w:rPr>
      </w:pPr>
    </w:p>
    <w:p>
      <w:pPr>
        <w:ind w:left="1240" w:hanging="324"/>
        <w:spacing w:after="0"/>
        <w:tabs>
          <w:tab w:leader="none" w:pos="1240" w:val="left"/>
        </w:tabs>
        <w:numPr>
          <w:ilvl w:val="1"/>
          <w:numId w:val="5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Reorganization Event</w:t>
      </w:r>
      <w:r>
        <w:rPr>
          <w:rFonts w:ascii="Arial" w:cs="Arial" w:eastAsia="Arial" w:hAnsi="Arial"/>
          <w:sz w:val="17"/>
          <w:szCs w:val="17"/>
          <w:color w:val="auto"/>
        </w:rPr>
        <w:t>” has the meaning set forth in Section 11(a).</w:t>
      </w:r>
    </w:p>
    <w:p>
      <w:pPr>
        <w:spacing w:after="0" w:line="176" w:lineRule="exact"/>
        <w:rPr>
          <w:rFonts w:ascii="Arial" w:cs="Arial" w:eastAsia="Arial" w:hAnsi="Arial"/>
          <w:sz w:val="17"/>
          <w:szCs w:val="17"/>
          <w:color w:val="auto"/>
        </w:rPr>
      </w:pPr>
    </w:p>
    <w:p>
      <w:pPr>
        <w:ind w:left="1160" w:hanging="244"/>
        <w:spacing w:after="0"/>
        <w:tabs>
          <w:tab w:leader="none" w:pos="1160" w:val="left"/>
        </w:tabs>
        <w:numPr>
          <w:ilvl w:val="1"/>
          <w:numId w:val="5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F Preferred Stock</w:t>
      </w:r>
      <w:r>
        <w:rPr>
          <w:rFonts w:ascii="Arial" w:cs="Arial" w:eastAsia="Arial" w:hAnsi="Arial"/>
          <w:sz w:val="17"/>
          <w:szCs w:val="17"/>
          <w:color w:val="auto"/>
        </w:rPr>
        <w:t>” has the meaning set forth in Section 1.</w:t>
      </w:r>
    </w:p>
    <w:p>
      <w:pPr>
        <w:spacing w:after="0" w:line="189" w:lineRule="exact"/>
        <w:rPr>
          <w:rFonts w:ascii="Arial" w:cs="Arial" w:eastAsia="Arial" w:hAnsi="Arial"/>
          <w:sz w:val="17"/>
          <w:szCs w:val="17"/>
          <w:color w:val="auto"/>
        </w:rPr>
      </w:pPr>
    </w:p>
    <w:p>
      <w:pPr>
        <w:ind w:left="1160" w:hanging="244"/>
        <w:spacing w:after="0"/>
        <w:tabs>
          <w:tab w:leader="none" w:pos="1160" w:val="left"/>
        </w:tabs>
        <w:numPr>
          <w:ilvl w:val="1"/>
          <w:numId w:val="5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G Preferred Stock</w:t>
      </w:r>
      <w:r>
        <w:rPr>
          <w:rFonts w:ascii="Arial" w:cs="Arial" w:eastAsia="Arial" w:hAnsi="Arial"/>
          <w:sz w:val="17"/>
          <w:szCs w:val="17"/>
          <w:color w:val="auto"/>
        </w:rPr>
        <w:t>” has the meaning set forth in Section 2.</w:t>
      </w:r>
    </w:p>
    <w:p>
      <w:pPr>
        <w:spacing w:after="0" w:line="176" w:lineRule="exact"/>
        <w:rPr>
          <w:rFonts w:ascii="Arial" w:cs="Arial" w:eastAsia="Arial" w:hAnsi="Arial"/>
          <w:sz w:val="17"/>
          <w:szCs w:val="17"/>
          <w:color w:val="auto"/>
        </w:rPr>
      </w:pPr>
    </w:p>
    <w:p>
      <w:pPr>
        <w:ind w:firstLine="916"/>
        <w:spacing w:after="0" w:line="258" w:lineRule="auto"/>
        <w:tabs>
          <w:tab w:leader="none" w:pos="1241" w:val="left"/>
        </w:tabs>
        <w:numPr>
          <w:ilvl w:val="1"/>
          <w:numId w:val="5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Stockholder Approvals</w:t>
      </w:r>
      <w:r>
        <w:rPr>
          <w:rFonts w:ascii="Arial" w:cs="Arial" w:eastAsia="Arial" w:hAnsi="Arial"/>
          <w:sz w:val="17"/>
          <w:szCs w:val="17"/>
          <w:color w:val="auto"/>
        </w:rPr>
        <w:t>” means all stockholder approvals necessary to (i) approve the conversion of the Series F Preferred Stock into Common Stock for purposes of Rule 5635 of the Nasdaq Stock Market Rules and (ii) amend the Articles of Incorporation to (A) authorize a number of shares of Non-Voting Common Stock sufficient to permit the full conversion of the Series G Preferred Stock into Non-Voting Common Stock and the issuance of certain additional shares of Non-Voting Common Stock and (B) increase the number of authorized shares of Common Stock to at least such number as shall be sufficient to permit the full conversion of the Series F Preferred Stock and the Non-Voting Common Stock.</w:t>
      </w:r>
    </w:p>
    <w:p>
      <w:pPr>
        <w:spacing w:after="0" w:line="141" w:lineRule="exact"/>
        <w:rPr>
          <w:rFonts w:ascii="Arial" w:cs="Arial" w:eastAsia="Arial" w:hAnsi="Arial"/>
          <w:sz w:val="17"/>
          <w:szCs w:val="17"/>
          <w:color w:val="auto"/>
        </w:rPr>
      </w:pPr>
    </w:p>
    <w:p>
      <w:pPr>
        <w:ind w:left="1160" w:hanging="244"/>
        <w:spacing w:after="0"/>
        <w:tabs>
          <w:tab w:leader="none" w:pos="1160" w:val="left"/>
        </w:tabs>
        <w:numPr>
          <w:ilvl w:val="1"/>
          <w:numId w:val="5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Day</w:t>
      </w:r>
      <w:r>
        <w:rPr>
          <w:rFonts w:ascii="Arial" w:cs="Arial" w:eastAsia="Arial" w:hAnsi="Arial"/>
          <w:sz w:val="17"/>
          <w:szCs w:val="17"/>
          <w:color w:val="auto"/>
        </w:rPr>
        <w:t>” means a day on which the shares of Common Stock:</w:t>
      </w:r>
    </w:p>
    <w:p>
      <w:pPr>
        <w:spacing w:after="0" w:line="189" w:lineRule="exact"/>
        <w:rPr>
          <w:rFonts w:ascii="Arial" w:cs="Arial" w:eastAsia="Arial" w:hAnsi="Arial"/>
          <w:sz w:val="17"/>
          <w:szCs w:val="17"/>
          <w:color w:val="auto"/>
        </w:rPr>
      </w:pPr>
    </w:p>
    <w:p>
      <w:pPr>
        <w:ind w:left="660" w:hanging="201"/>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are not suspended from trading on any national or regional securities exchange or association or over-the-counter market at the close of business; and</w:t>
      </w:r>
    </w:p>
    <w:p>
      <w:pPr>
        <w:spacing w:after="0" w:line="187" w:lineRule="exact"/>
        <w:rPr>
          <w:rFonts w:ascii="Arial" w:cs="Arial" w:eastAsia="Arial" w:hAnsi="Arial"/>
          <w:sz w:val="16"/>
          <w:szCs w:val="16"/>
          <w:color w:val="auto"/>
        </w:rPr>
      </w:pPr>
    </w:p>
    <w:p>
      <w:pPr>
        <w:ind w:right="120" w:firstLine="459"/>
        <w:spacing w:after="0" w:line="277" w:lineRule="auto"/>
        <w:tabs>
          <w:tab w:leader="none" w:pos="708" w:val="left"/>
        </w:tabs>
        <w:numPr>
          <w:ilvl w:val="0"/>
          <w:numId w:val="59"/>
        </w:numPr>
        <w:rPr>
          <w:rFonts w:ascii="Arial" w:cs="Arial" w:eastAsia="Arial" w:hAnsi="Arial"/>
          <w:sz w:val="17"/>
          <w:szCs w:val="17"/>
          <w:color w:val="auto"/>
        </w:rPr>
      </w:pPr>
      <w:r>
        <w:rPr>
          <w:rFonts w:ascii="Arial" w:cs="Arial" w:eastAsia="Arial" w:hAnsi="Arial"/>
          <w:sz w:val="17"/>
          <w:szCs w:val="17"/>
          <w:color w:val="auto"/>
        </w:rPr>
        <w:t>have traded at least once on the national or regional securities exchange or association or over-the-counter market that is the primary market for the trading of the Common Stock.</w:t>
      </w:r>
    </w:p>
    <w:p>
      <w:pPr>
        <w:spacing w:after="0" w:line="125" w:lineRule="exact"/>
        <w:rPr>
          <w:rFonts w:ascii="Arial" w:cs="Arial" w:eastAsia="Arial" w:hAnsi="Arial"/>
          <w:sz w:val="17"/>
          <w:szCs w:val="17"/>
          <w:color w:val="auto"/>
        </w:rPr>
      </w:pPr>
    </w:p>
    <w:p>
      <w:pPr>
        <w:ind w:left="1340" w:hanging="424"/>
        <w:spacing w:after="0"/>
        <w:tabs>
          <w:tab w:leader="none" w:pos="1340" w:val="left"/>
        </w:tabs>
        <w:numPr>
          <w:ilvl w:val="1"/>
          <w:numId w:val="5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Violation</w:t>
      </w:r>
      <w:r>
        <w:rPr>
          <w:rFonts w:ascii="Arial" w:cs="Arial" w:eastAsia="Arial" w:hAnsi="Arial"/>
          <w:sz w:val="17"/>
          <w:szCs w:val="17"/>
          <w:color w:val="auto"/>
        </w:rPr>
        <w:t>” means a violation of the stockholder approval requirements of Rule 5635 of the Nasdaq Stock Market Rules.</w:t>
      </w:r>
    </w:p>
    <w:p>
      <w:pPr>
        <w:spacing w:after="0" w:line="189" w:lineRule="exact"/>
        <w:rPr>
          <w:rFonts w:ascii="Arial" w:cs="Arial" w:eastAsia="Arial" w:hAnsi="Arial"/>
          <w:sz w:val="17"/>
          <w:szCs w:val="17"/>
          <w:color w:val="auto"/>
        </w:rPr>
      </w:pPr>
    </w:p>
    <w:p>
      <w:pPr>
        <w:ind w:left="1240" w:hanging="324"/>
        <w:spacing w:after="0"/>
        <w:tabs>
          <w:tab w:leader="none" w:pos="1240" w:val="left"/>
        </w:tabs>
        <w:numPr>
          <w:ilvl w:val="1"/>
          <w:numId w:val="5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Securities</w:t>
      </w:r>
      <w:r>
        <w:rPr>
          <w:rFonts w:ascii="Arial" w:cs="Arial" w:eastAsia="Arial" w:hAnsi="Arial"/>
          <w:sz w:val="17"/>
          <w:szCs w:val="17"/>
          <w:color w:val="auto"/>
        </w:rPr>
        <w:t>” has the meaning set forth in the BHC Act and any rules or regulations promulgated thereunder.</w:t>
      </w:r>
    </w:p>
    <w:p>
      <w:pPr>
        <w:spacing w:after="0" w:line="176" w:lineRule="exact"/>
        <w:rPr>
          <w:sz w:val="20"/>
          <w:szCs w:val="20"/>
          <w:color w:val="auto"/>
        </w:rPr>
      </w:pPr>
    </w:p>
    <w:p>
      <w:pPr>
        <w:ind w:right="40" w:firstLine="914"/>
        <w:spacing w:after="0" w:line="264" w:lineRule="auto"/>
        <w:rPr>
          <w:sz w:val="20"/>
          <w:szCs w:val="20"/>
          <w:color w:val="auto"/>
        </w:rPr>
      </w:pPr>
      <w:r>
        <w:rPr>
          <w:rFonts w:ascii="Arial" w:cs="Arial" w:eastAsia="Arial" w:hAnsi="Arial"/>
          <w:sz w:val="17"/>
          <w:szCs w:val="17"/>
          <w:i w:val="1"/>
          <w:iCs w:val="1"/>
          <w:color w:val="auto"/>
        </w:rPr>
        <w:t xml:space="preserve">Section 4. Dividends. </w:t>
      </w:r>
      <w:r>
        <w:rPr>
          <w:rFonts w:ascii="Arial" w:cs="Arial" w:eastAsia="Arial" w:hAnsi="Arial"/>
          <w:sz w:val="17"/>
          <w:szCs w:val="17"/>
          <w:color w:val="auto"/>
        </w:rPr>
        <w:t>(a) From and after the Effective Date, the Holders shall be entitled to receive, when, as and if declared by the Board of Directors or</w:t>
      </w:r>
      <w:r>
        <w:rPr>
          <w:rFonts w:ascii="Arial" w:cs="Arial" w:eastAsia="Arial" w:hAnsi="Arial"/>
          <w:sz w:val="17"/>
          <w:szCs w:val="17"/>
          <w:i w:val="1"/>
          <w:iCs w:val="1"/>
          <w:color w:val="auto"/>
        </w:rPr>
        <w:t xml:space="preserve"> </w:t>
      </w:r>
      <w:r>
        <w:rPr>
          <w:rFonts w:ascii="Arial" w:cs="Arial" w:eastAsia="Arial" w:hAnsi="Arial"/>
          <w:sz w:val="17"/>
          <w:szCs w:val="17"/>
          <w:color w:val="auto"/>
        </w:rPr>
        <w:t>a duly authorized committee of the Board of Directors, out of funds legally available therefor, cumulative dividends of the type and in the amounts determined as set forth in this Section 4, and no more.</w:t>
      </w:r>
    </w:p>
    <w:p>
      <w:pPr>
        <w:spacing w:after="0" w:line="137" w:lineRule="exact"/>
        <w:rPr>
          <w:sz w:val="20"/>
          <w:szCs w:val="20"/>
          <w:color w:val="auto"/>
        </w:rPr>
      </w:pPr>
    </w:p>
    <w:p>
      <w:pPr>
        <w:ind w:right="120" w:firstLine="916"/>
        <w:spacing w:after="0" w:line="274" w:lineRule="auto"/>
        <w:tabs>
          <w:tab w:leader="none" w:pos="1156"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Commencing on the Effective Date, dividends shall accrue and shall be payable semi-annually in arrears on March 30th and September 30th of each year (each, a “</w:t>
      </w:r>
      <w:r>
        <w:rPr>
          <w:rFonts w:ascii="Arial" w:cs="Arial" w:eastAsia="Arial" w:hAnsi="Arial"/>
          <w:sz w:val="16"/>
          <w:szCs w:val="16"/>
          <w:u w:val="single" w:color="auto"/>
          <w:color w:val="auto"/>
        </w:rPr>
        <w:t>Dividend Payment Date</w:t>
      </w:r>
      <w:r>
        <w:rPr>
          <w:rFonts w:ascii="Arial" w:cs="Arial" w:eastAsia="Arial" w:hAnsi="Arial"/>
          <w:sz w:val="16"/>
          <w:szCs w:val="16"/>
          <w:color w:val="auto"/>
        </w:rPr>
        <w:t>”) or, if any such day is not a Business Day, the next Business Day. Dividends payable pursuant to this Section 4, if, when and as declared by the Board of Directors or a duly authorized committee of the Board of Directors, will be, for each outstanding share of Series F Preferred Stock, payable in cash at an annual rate equal to the Dividend Rate multiplied by the sum of (i) the Liquidation Preference plus (ii) all accrued and unpaid dividends for any prior Dividend Period that are payable on such share of Series F Preferred Stock, payable in cash (such dividend, the “</w:t>
      </w:r>
      <w:r>
        <w:rPr>
          <w:rFonts w:ascii="Arial" w:cs="Arial" w:eastAsia="Arial" w:hAnsi="Arial"/>
          <w:sz w:val="16"/>
          <w:szCs w:val="16"/>
          <w:u w:val="single" w:color="auto"/>
          <w:color w:val="auto"/>
        </w:rPr>
        <w:t>Dividend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As-Converted Dividend for such Dividend Period is greater than the Dividend, each outstanding share of Series F Preferred Stock shall be entitled to receive, when and as declared by the Board of Directors, the As-Converted Dividend rather than the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594360</wp:posOffset>
            </wp:positionV>
            <wp:extent cx="725805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6" w:name="page97"/>
    <w:bookmarkEnd w:id="96"/>
    <w:p>
      <w:pPr>
        <w:spacing w:after="0" w:line="200" w:lineRule="exact"/>
        <w:rPr>
          <w:sz w:val="20"/>
          <w:szCs w:val="20"/>
          <w:color w:val="auto"/>
        </w:rPr>
      </w:pPr>
    </w:p>
    <w:p>
      <w:pPr>
        <w:spacing w:after="0" w:line="334" w:lineRule="exact"/>
        <w:rPr>
          <w:sz w:val="20"/>
          <w:szCs w:val="20"/>
          <w:color w:val="auto"/>
        </w:rPr>
      </w:pPr>
    </w:p>
    <w:p>
      <w:pPr>
        <w:jc w:val="both"/>
        <w:ind w:left="-916" w:right="160" w:firstLine="916"/>
        <w:spacing w:after="0" w:line="260" w:lineRule="auto"/>
        <w:tabs>
          <w:tab w:leader="none" w:pos="230" w:val="left"/>
        </w:tabs>
        <w:numPr>
          <w:ilvl w:val="0"/>
          <w:numId w:val="61"/>
        </w:numPr>
        <w:rPr>
          <w:rFonts w:ascii="Arial" w:cs="Arial" w:eastAsia="Arial" w:hAnsi="Arial"/>
          <w:sz w:val="17"/>
          <w:szCs w:val="17"/>
          <w:color w:val="auto"/>
        </w:rPr>
      </w:pPr>
      <w:r>
        <w:rPr>
          <w:rFonts w:ascii="Arial" w:cs="Arial" w:eastAsia="Arial" w:hAnsi="Arial"/>
          <w:sz w:val="17"/>
          <w:szCs w:val="17"/>
          <w:color w:val="auto"/>
        </w:rPr>
        <w:t>Dividends payable pursuant to Section 4 will be computed on the basis of a 360-day year of twelve 30-day months and, for any Dividend Period greater or less than a full Dividend Period, will be computed on the basis of the actual number of days elapsed in the period divided by 360. The period from the Effective Date to but excluding September 30, 2011 and each period from and including a Dividend Payment Date to but excluding the following Dividend Payment Date is herein referred to as a “</w:t>
      </w:r>
      <w:r>
        <w:rPr>
          <w:rFonts w:ascii="Arial" w:cs="Arial" w:eastAsia="Arial" w:hAnsi="Arial"/>
          <w:sz w:val="17"/>
          <w:szCs w:val="17"/>
          <w:u w:val="single" w:color="auto"/>
          <w:color w:val="auto"/>
        </w:rPr>
        <w:t>Dividend Period</w:t>
      </w:r>
      <w:r>
        <w:rPr>
          <w:rFonts w:ascii="Arial" w:cs="Arial" w:eastAsia="Arial" w:hAnsi="Arial"/>
          <w:sz w:val="17"/>
          <w:szCs w:val="17"/>
          <w:color w:val="auto"/>
        </w:rPr>
        <w:t>”.</w:t>
      </w:r>
    </w:p>
    <w:p>
      <w:pPr>
        <w:spacing w:after="0" w:line="140" w:lineRule="exact"/>
        <w:rPr>
          <w:rFonts w:ascii="Arial" w:cs="Arial" w:eastAsia="Arial" w:hAnsi="Arial"/>
          <w:sz w:val="17"/>
          <w:szCs w:val="17"/>
          <w:color w:val="auto"/>
        </w:rPr>
      </w:pPr>
    </w:p>
    <w:p>
      <w:pPr>
        <w:ind w:left="-916" w:right="280" w:firstLine="916"/>
        <w:spacing w:after="0" w:line="264" w:lineRule="auto"/>
        <w:tabs>
          <w:tab w:leader="none" w:pos="239" w:val="left"/>
        </w:tabs>
        <w:numPr>
          <w:ilvl w:val="0"/>
          <w:numId w:val="61"/>
        </w:numPr>
        <w:rPr>
          <w:rFonts w:ascii="Arial" w:cs="Arial" w:eastAsia="Arial" w:hAnsi="Arial"/>
          <w:sz w:val="17"/>
          <w:szCs w:val="17"/>
          <w:color w:val="auto"/>
        </w:rPr>
      </w:pPr>
      <w:r>
        <w:rPr>
          <w:rFonts w:ascii="Arial" w:cs="Arial" w:eastAsia="Arial" w:hAnsi="Arial"/>
          <w:sz w:val="17"/>
          <w:szCs w:val="17"/>
          <w:color w:val="auto"/>
        </w:rPr>
        <w:t>Each dividend will be payable to Holders of record as they appear in the records of the Corporation on the applicable record date (each, a “</w:t>
      </w:r>
      <w:r>
        <w:rPr>
          <w:rFonts w:ascii="Arial" w:cs="Arial" w:eastAsia="Arial" w:hAnsi="Arial"/>
          <w:sz w:val="17"/>
          <w:szCs w:val="17"/>
          <w:u w:val="single" w:color="auto"/>
          <w:color w:val="auto"/>
        </w:rPr>
        <w:t>Record</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which with respect to dividends payable pursuant to this Section 4, shall be on the fifteenth day of the month immediately prior to the month in which the relevant Dividend Payment Date occurs.</w:t>
      </w:r>
    </w:p>
    <w:p>
      <w:pPr>
        <w:spacing w:after="0" w:line="149" w:lineRule="exact"/>
        <w:rPr>
          <w:rFonts w:ascii="Arial" w:cs="Arial" w:eastAsia="Arial" w:hAnsi="Arial"/>
          <w:sz w:val="17"/>
          <w:szCs w:val="17"/>
          <w:color w:val="auto"/>
        </w:rPr>
      </w:pPr>
    </w:p>
    <w:p>
      <w:pPr>
        <w:ind w:left="-916" w:right="120" w:firstLine="916"/>
        <w:spacing w:after="0" w:line="305" w:lineRule="auto"/>
        <w:tabs>
          <w:tab w:leader="none" w:pos="230" w:val="left"/>
        </w:tabs>
        <w:numPr>
          <w:ilvl w:val="0"/>
          <w:numId w:val="61"/>
        </w:numPr>
        <w:rPr>
          <w:rFonts w:ascii="Arial" w:cs="Arial" w:eastAsia="Arial" w:hAnsi="Arial"/>
          <w:sz w:val="15"/>
          <w:szCs w:val="15"/>
          <w:color w:val="auto"/>
        </w:rPr>
      </w:pPr>
      <w:r>
        <w:rPr>
          <w:rFonts w:ascii="Arial" w:cs="Arial" w:eastAsia="Arial" w:hAnsi="Arial"/>
          <w:sz w:val="15"/>
          <w:szCs w:val="15"/>
          <w:color w:val="auto"/>
        </w:rPr>
        <w:t>Dividends on the Series F Preferred Stock are cumulative. Such dividends shall begin to accrue and be cumulative from the Effective Date (in the case of the shares of Series F Preferred Stock issued on the Effective Date), shall compound at the relevant rate on each subsequent Dividend Payment Date (</w:t>
      </w:r>
      <w:r>
        <w:rPr>
          <w:rFonts w:ascii="Arial" w:cs="Arial" w:eastAsia="Arial" w:hAnsi="Arial"/>
          <w:sz w:val="15"/>
          <w:szCs w:val="15"/>
          <w:i w:val="1"/>
          <w:iCs w:val="1"/>
          <w:color w:val="auto"/>
        </w:rPr>
        <w:t>i.e.</w:t>
      </w:r>
      <w:r>
        <w:rPr>
          <w:rFonts w:ascii="Arial" w:cs="Arial" w:eastAsia="Arial" w:hAnsi="Arial"/>
          <w:sz w:val="15"/>
          <w:szCs w:val="15"/>
          <w:color w:val="auto"/>
        </w:rPr>
        <w:t>, no dividends shall accrue on another dividend unless and until the first Dividend Payment Date for such other dividends has passed without such other dividends having been paid on such date) and shall be payable semi-annually in arrears on each Dividend Payment Date, commencing with the first such Dividend Payment Date.</w:t>
      </w:r>
    </w:p>
    <w:p>
      <w:pPr>
        <w:spacing w:after="0" w:line="110" w:lineRule="exact"/>
        <w:rPr>
          <w:rFonts w:ascii="Arial" w:cs="Arial" w:eastAsia="Arial" w:hAnsi="Arial"/>
          <w:sz w:val="15"/>
          <w:szCs w:val="15"/>
          <w:color w:val="auto"/>
        </w:rPr>
      </w:pPr>
    </w:p>
    <w:p>
      <w:pPr>
        <w:ind w:left="-916" w:firstLine="916"/>
        <w:spacing w:after="0" w:line="269" w:lineRule="auto"/>
        <w:tabs>
          <w:tab w:leader="none" w:pos="211" w:val="left"/>
        </w:tabs>
        <w:numPr>
          <w:ilvl w:val="0"/>
          <w:numId w:val="61"/>
        </w:numPr>
        <w:rPr>
          <w:rFonts w:ascii="Arial" w:cs="Arial" w:eastAsia="Arial" w:hAnsi="Arial"/>
          <w:sz w:val="16"/>
          <w:szCs w:val="16"/>
          <w:color w:val="auto"/>
        </w:rPr>
      </w:pPr>
      <w:r>
        <w:rPr>
          <w:rFonts w:ascii="Arial" w:cs="Arial" w:eastAsia="Arial" w:hAnsi="Arial"/>
          <w:sz w:val="16"/>
          <w:szCs w:val="16"/>
          <w:color w:val="auto"/>
        </w:rPr>
        <w:t>So long as any shares of Series F Preferred Stock remain outstanding, if all dividends payable pursuant to Section 4 on all outstanding shares of the Series F Preferred Stock for any Dividend Period have not been declared and paid, or declared and funds set aside therefor, the Corporation shall not, directly or indirectly, (x) declare or pay dividends with respect to, or make any distributions on, or, directly or indirectly, redeem, purchase or acquire any of its Junior Securities or (y) directly or indirectly, redeem, purchase or acquire any of its Parity Securities, other than, in each case, (i) redemptions, purchases or other acquisitions of Junior Securities or Parity Securities in connection with any employment contract, benefit plan or other similar arrangement with or for the benefit of any one or more employees, officers, directors or consultants or in connection with a dividend reinvestment plan, (ii) any declaration of a dividend in connection with any stockholders’ rights plan, or the issuance of rights, stock or other property under any stockholders’ rights plan, or the redemption or repurchase of rights pursuant thereto, (iii) conversions or exchanges of Junior Securities or Parity Securities for Junior Securities or Parity Securities, respectively, and (iv) any purchase of fractional interests in shares of the Corporation’s capital stock pursuant to the conversion or exchange provisions of such capital stock or the securities being converted or exchanged. If dividends payable pursuant to Section 4 for any Dividend Payment Date are not paid in full, or declared and funds set aside therefor on the shares of the Series F Preferred Stock and there are issued and outstanding shares of Parity Securities with the same Dividend Payment Date (or, in the case of Parity Securities having dividend payment dates different from the Dividend Payment Dates, on a dividend payment date falling within a Dividend Period applicable to such Dividend Payment Date), then all dividends declared on shares of the Series F Preferred Stock and such Parity Securities on such date or dates, as the case may be, shall be declared pro rata so that the respective amounts of such dividends shall bear the same ratio to each other as full semi-annual dividends per share payable on the shares of the Series F Preferred Stock pursuant to Section 4 and all such Parity Securities otherwise payable on such Dividend Payment Date (or, in the case of Parity Securities having dividend payment dates different from the Dividend Payment Dates, on a dividend payment date falling within a Dividend Period applicable to such Dividend Payment Date) (subject to such dividends on such Parity Securities having been declared by the Board of Directors out of legally available funds and including, in the case of any such Parity Securities that bear cumulative dividends, all accrued but unpaid dividends) bear to each other. However, the foregoing provisions shall not restrict the ability of any Affiliate of the Corporation to engage in any market making transactions in Junior Securities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602615</wp:posOffset>
            </wp:positionV>
            <wp:extent cx="725805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504"/>
          </w:cols>
          <w:pgMar w:left="1156" w:top="1440" w:right="239" w:bottom="1440" w:gutter="0" w:footer="0" w:header="0"/>
        </w:sectPr>
      </w:pPr>
    </w:p>
    <w:bookmarkStart w:id="97" w:name="page98"/>
    <w:bookmarkEnd w:id="97"/>
    <w:p>
      <w:pPr>
        <w:spacing w:after="0" w:line="200" w:lineRule="exact"/>
        <w:rPr>
          <w:sz w:val="20"/>
          <w:szCs w:val="20"/>
          <w:color w:val="auto"/>
        </w:rPr>
      </w:pPr>
    </w:p>
    <w:p>
      <w:pPr>
        <w:spacing w:after="0" w:line="334" w:lineRule="exact"/>
        <w:rPr>
          <w:sz w:val="20"/>
          <w:szCs w:val="20"/>
          <w:color w:val="auto"/>
        </w:rPr>
      </w:pPr>
    </w:p>
    <w:p>
      <w:pPr>
        <w:ind w:right="140" w:firstLine="916"/>
        <w:spacing w:after="0" w:line="260" w:lineRule="auto"/>
        <w:tabs>
          <w:tab w:leader="none" w:pos="1156" w:val="left"/>
        </w:tabs>
        <w:numPr>
          <w:ilvl w:val="0"/>
          <w:numId w:val="62"/>
        </w:numPr>
        <w:rPr>
          <w:rFonts w:ascii="Arial" w:cs="Arial" w:eastAsia="Arial" w:hAnsi="Arial"/>
          <w:sz w:val="17"/>
          <w:szCs w:val="17"/>
          <w:color w:val="auto"/>
        </w:rPr>
      </w:pPr>
      <w:r>
        <w:rPr>
          <w:rFonts w:ascii="Arial" w:cs="Arial" w:eastAsia="Arial" w:hAnsi="Arial"/>
          <w:sz w:val="17"/>
          <w:szCs w:val="17"/>
          <w:color w:val="auto"/>
        </w:rPr>
        <w:t>If the Mandatory Conversion Date with respect to any share of Series F Preferred Stock is prior to the Dividend Payment Date applicable to any Dividend Period, the Holder of such share of Series F Preferred Stock will not have the right to receive any dividends on the Series F Preferred Stock with respect to such Dividend Period, provided that this provision shall not affect any rights to receive any accrued but unpaid dividends on the Series F Preferred Stock attributable to any Dividend Period completed prior to the Mandatory Conversion Date.</w:t>
      </w:r>
    </w:p>
    <w:p>
      <w:pPr>
        <w:spacing w:after="0" w:line="140" w:lineRule="exact"/>
        <w:rPr>
          <w:rFonts w:ascii="Arial" w:cs="Arial" w:eastAsia="Arial" w:hAnsi="Arial"/>
          <w:sz w:val="17"/>
          <w:szCs w:val="17"/>
          <w:color w:val="auto"/>
        </w:rPr>
      </w:pPr>
    </w:p>
    <w:p>
      <w:pPr>
        <w:ind w:firstLine="916"/>
        <w:spacing w:after="0" w:line="288" w:lineRule="auto"/>
        <w:tabs>
          <w:tab w:leader="none" w:pos="1152"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Corporation, in satisfaction of its obligation to issue preferred stock under any provision of this Certificate of Designations to any Holder, may, in order to minimize the number of its authorized and unissued shares of preferred stock used for such purpose, issue depositary shares for such preferred stock, with such depositary shares and underlying preferred stock being in such denominations as the Corporation and such Holder shall mutually agree.</w:t>
      </w:r>
    </w:p>
    <w:p>
      <w:pPr>
        <w:spacing w:after="0" w:line="133" w:lineRule="exact"/>
        <w:rPr>
          <w:sz w:val="20"/>
          <w:szCs w:val="20"/>
          <w:color w:val="auto"/>
        </w:rPr>
      </w:pPr>
    </w:p>
    <w:p>
      <w:pPr>
        <w:ind w:right="100" w:firstLine="914"/>
        <w:spacing w:after="0" w:line="274" w:lineRule="auto"/>
        <w:rPr>
          <w:sz w:val="20"/>
          <w:szCs w:val="20"/>
          <w:color w:val="auto"/>
        </w:rPr>
      </w:pPr>
      <w:r>
        <w:rPr>
          <w:rFonts w:ascii="Arial" w:cs="Arial" w:eastAsia="Arial" w:hAnsi="Arial"/>
          <w:sz w:val="16"/>
          <w:szCs w:val="16"/>
          <w:i w:val="1"/>
          <w:iCs w:val="1"/>
          <w:color w:val="auto"/>
        </w:rPr>
        <w:t xml:space="preserve">Section 5. Liquidation. </w:t>
      </w:r>
      <w:r>
        <w:rPr>
          <w:rFonts w:ascii="Arial" w:cs="Arial" w:eastAsia="Arial" w:hAnsi="Arial"/>
          <w:sz w:val="16"/>
          <w:szCs w:val="16"/>
          <w:color w:val="auto"/>
        </w:rPr>
        <w:t>(a) In the event the Corporation voluntarily or involuntarily liquidates, dissolves or winds up, the Holders at the time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receive liquidating distributions in an amount equal to the greater of (i) the Liquidation Preference per share of Series F Preferred Stock plus an amount equal to any accrued but unpaid dividends, whether or not declared, thereon to and including the date of such liquidation and (ii) the payment or distribution to which such Holders would have been entitled if the Series F Preferred Stock were converted into Common Stock (assuming receipt of the Stockholder Approvals) immediately before such liquidation, dissolution or winding-up, out of assets legally available for distribution to the Corporation’s stockholders, before any distribution of assets is made to the holders of the Company Common Stock or any other Junior Securities. After payment of the full amount of such liquidation distribution, the Holders shall not be entitled to any further participation in any distribution of assets by the Corporation.</w:t>
      </w:r>
    </w:p>
    <w:p>
      <w:pPr>
        <w:spacing w:after="0" w:line="132" w:lineRule="exact"/>
        <w:rPr>
          <w:sz w:val="20"/>
          <w:szCs w:val="20"/>
          <w:color w:val="auto"/>
        </w:rPr>
      </w:pPr>
    </w:p>
    <w:p>
      <w:pPr>
        <w:ind w:right="240" w:firstLine="916"/>
        <w:spacing w:after="0" w:line="281" w:lineRule="auto"/>
        <w:tabs>
          <w:tab w:leader="none" w:pos="1156"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the event the assets of the Corporation available for distribution to stockholders upon any liquidation, dissolution or winding-up of the affairs of the Corporation, whether voluntary or involuntary, shall be insufficient to pay in full the amounts payable with respect to all outstanding shares of the Series F Preferred Stock and the corresponding amounts payable on any Parity Securities, Holders and the holders of such Parity Securities shall share ratably in any distribution of assets of the Corporation in proportion to the full respective liquidating distributions to which they would otherwise be respectively entitled.</w:t>
      </w:r>
    </w:p>
    <w:p>
      <w:pPr>
        <w:spacing w:after="0" w:line="125" w:lineRule="exact"/>
        <w:rPr>
          <w:rFonts w:ascii="Arial" w:cs="Arial" w:eastAsia="Arial" w:hAnsi="Arial"/>
          <w:sz w:val="16"/>
          <w:szCs w:val="16"/>
          <w:color w:val="auto"/>
        </w:rPr>
      </w:pPr>
    </w:p>
    <w:p>
      <w:pPr>
        <w:ind w:right="140" w:firstLine="916"/>
        <w:spacing w:after="0" w:line="277" w:lineRule="auto"/>
        <w:tabs>
          <w:tab w:leader="none" w:pos="1143"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Corporation’s consolidation or merger with or into any other entity, the consolidation or merger of any other entity with or into the Corporation, or the sale of all or substantially all of the Corporation’s property or business will not constitute its liquidation, dissolution or winding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589915</wp:posOffset>
            </wp:positionV>
            <wp:extent cx="725805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8" w:name="page99"/>
    <w:bookmarkEnd w:id="98"/>
    <w:p>
      <w:pPr>
        <w:spacing w:after="0" w:line="200" w:lineRule="exact"/>
        <w:rPr>
          <w:sz w:val="20"/>
          <w:szCs w:val="20"/>
          <w:color w:val="auto"/>
        </w:rPr>
      </w:pPr>
    </w:p>
    <w:p>
      <w:pPr>
        <w:spacing w:after="0" w:line="334" w:lineRule="exact"/>
        <w:rPr>
          <w:sz w:val="20"/>
          <w:szCs w:val="20"/>
          <w:color w:val="auto"/>
        </w:rPr>
      </w:pPr>
    </w:p>
    <w:p>
      <w:pPr>
        <w:ind w:left="4"/>
        <w:spacing w:after="0"/>
        <w:rPr>
          <w:sz w:val="20"/>
          <w:szCs w:val="20"/>
          <w:color w:val="auto"/>
        </w:rPr>
      </w:pPr>
      <w:r>
        <w:rPr>
          <w:rFonts w:ascii="Arial" w:cs="Arial" w:eastAsia="Arial" w:hAnsi="Arial"/>
          <w:sz w:val="17"/>
          <w:szCs w:val="17"/>
          <w:i w:val="1"/>
          <w:iCs w:val="1"/>
          <w:color w:val="auto"/>
        </w:rPr>
        <w:t>Section 6. Maturity</w:t>
      </w:r>
      <w:r>
        <w:rPr>
          <w:rFonts w:ascii="Arial" w:cs="Arial" w:eastAsia="Arial" w:hAnsi="Arial"/>
          <w:sz w:val="17"/>
          <w:szCs w:val="17"/>
          <w:color w:val="auto"/>
        </w:rPr>
        <w:t>. The Series F Preferred Stock shall be perpetual unless converted in accordance with this Certificate of Designations.</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7"/>
          <w:szCs w:val="17"/>
          <w:i w:val="1"/>
          <w:iCs w:val="1"/>
          <w:color w:val="auto"/>
        </w:rPr>
        <w:t>Section 7. Redemptions</w:t>
      </w:r>
      <w:r>
        <w:rPr>
          <w:rFonts w:ascii="Arial" w:cs="Arial" w:eastAsia="Arial" w:hAnsi="Arial"/>
          <w:sz w:val="17"/>
          <w:szCs w:val="17"/>
          <w:color w:val="auto"/>
        </w:rPr>
        <w:t>.</w:t>
      </w:r>
    </w:p>
    <w:p>
      <w:pPr>
        <w:spacing w:after="0" w:line="189" w:lineRule="exact"/>
        <w:rPr>
          <w:sz w:val="20"/>
          <w:szCs w:val="20"/>
          <w:color w:val="auto"/>
        </w:rPr>
      </w:pPr>
    </w:p>
    <w:p>
      <w:pPr>
        <w:ind w:left="-916" w:firstLine="916"/>
        <w:spacing w:after="0" w:line="293" w:lineRule="auto"/>
        <w:tabs>
          <w:tab w:leader="none" w:pos="230" w:val="left"/>
        </w:tabs>
        <w:numPr>
          <w:ilvl w:val="0"/>
          <w:numId w:val="64"/>
        </w:numPr>
        <w:rPr>
          <w:rFonts w:ascii="Arial" w:cs="Arial" w:eastAsia="Arial" w:hAnsi="Arial"/>
          <w:sz w:val="15"/>
          <w:szCs w:val="15"/>
          <w:color w:val="auto"/>
        </w:rPr>
      </w:pPr>
      <w:r>
        <w:rPr>
          <w:rFonts w:ascii="Arial" w:cs="Arial" w:eastAsia="Arial" w:hAnsi="Arial"/>
          <w:sz w:val="15"/>
          <w:szCs w:val="15"/>
          <w:b w:val="1"/>
          <w:bCs w:val="1"/>
          <w:i w:val="1"/>
          <w:iCs w:val="1"/>
          <w:color w:val="auto"/>
        </w:rPr>
        <w:t>Optional Redemption</w:t>
      </w:r>
      <w:r>
        <w:rPr>
          <w:rFonts w:ascii="Arial" w:cs="Arial" w:eastAsia="Arial" w:hAnsi="Arial"/>
          <w:sz w:val="15"/>
          <w:szCs w:val="15"/>
          <w:color w:val="auto"/>
        </w:rPr>
        <w:t>. The Series F Preferred Stock may not be redeemed by the Corporation prior to December 31, 2015. After December 31, 2015,</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Corporation, at its option, may redeem in whole at any time the shares of Series F Preferred Stock at the time outstanding, upon notice given as provided in Section 7(c) below, at a redemption price per share payable in cash equal to the greater of (i) 150.0% of the sum of (A) the Liquidation Preference, plus (B) all accrued and unpaid dividends, whether or not declared, up to, but excluding, the date fixed for redemption and (ii) 125.0% of (A) the number of shares of Common Stock into which a share of Series F Preferred Stock would be convertible on the Trading Day immediately prior to the date fixed for redemption (assuming receipt of Stockholder Approvals) multiplied by (B) the Closing Price of Common Stock on such Trading Day. The redemption price for any shares of Series F Preferred Stock shall be payable on the redemption date to the Holder of such shares against surrender of the certificate(s) evidencing such shares to the Corporation or its agent. Any declared but unpaid dividends payable on a redemption date that occurs subsequent to a Record Date for a Dividend Period shall not be paid to the Holder entitled to receive the redemption price on the redemption date, but rather shall be paid to the holder of record of the redeemed shares on such Record Date.</w:t>
      </w:r>
    </w:p>
    <w:p>
      <w:pPr>
        <w:spacing w:after="0" w:line="117" w:lineRule="exact"/>
        <w:rPr>
          <w:rFonts w:ascii="Arial" w:cs="Arial" w:eastAsia="Arial" w:hAnsi="Arial"/>
          <w:sz w:val="15"/>
          <w:szCs w:val="15"/>
          <w:color w:val="auto"/>
        </w:rPr>
      </w:pPr>
    </w:p>
    <w:p>
      <w:pPr>
        <w:ind w:left="-916" w:firstLine="916"/>
        <w:spacing w:after="0" w:line="277" w:lineRule="auto"/>
        <w:tabs>
          <w:tab w:leader="none" w:pos="239" w:val="left"/>
        </w:tabs>
        <w:numPr>
          <w:ilvl w:val="0"/>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No Sinking Fund</w:t>
      </w:r>
      <w:r>
        <w:rPr>
          <w:rFonts w:ascii="Arial" w:cs="Arial" w:eastAsia="Arial" w:hAnsi="Arial"/>
          <w:sz w:val="17"/>
          <w:szCs w:val="17"/>
          <w:color w:val="auto"/>
        </w:rPr>
        <w:t>. The Series F Preferred Stock will not be subject to any mandatory redemption, sinking fund or other similar provisions. Holders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Series F Preferred Stock will have no right to require redemption of any shares of Series F Preferred Stock.</w:t>
      </w:r>
    </w:p>
    <w:p>
      <w:pPr>
        <w:spacing w:after="0" w:line="125" w:lineRule="exact"/>
        <w:rPr>
          <w:rFonts w:ascii="Arial" w:cs="Arial" w:eastAsia="Arial" w:hAnsi="Arial"/>
          <w:sz w:val="17"/>
          <w:szCs w:val="17"/>
          <w:color w:val="auto"/>
        </w:rPr>
      </w:pPr>
    </w:p>
    <w:p>
      <w:pPr>
        <w:ind w:left="-916" w:right="20" w:firstLine="916"/>
        <w:spacing w:after="0" w:line="272" w:lineRule="auto"/>
        <w:tabs>
          <w:tab w:leader="none" w:pos="230"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Notice of Redemption</w:t>
      </w:r>
      <w:r>
        <w:rPr>
          <w:rFonts w:ascii="Arial" w:cs="Arial" w:eastAsia="Arial" w:hAnsi="Arial"/>
          <w:sz w:val="16"/>
          <w:szCs w:val="16"/>
          <w:color w:val="auto"/>
        </w:rPr>
        <w:t>. Notice of every redemption of shares of Series F Preferred Stock shall be given by first class mail, postage prepaid, addressed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to the Holders of the shares to be redeemed at their respective last addresses appearing on the books of the Corporation. Such mailing shall be at least 30 days and not more than 60 days before the date fixed for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failure to give such notice by mail, or any defect in such notice or in the mailing thereof, to any Holder of shares of Series F Preferred Stock designated for redemption shall not affect the validity of the proceedings for the redemption of any other shares of Series F Preferred Stock to be so redeemed except as to the Holder to whom the Corporation has failed to give such notice or except as to the Holder to whom notice was defective. Notwithstanding the foregoing, if the Series F Preferred Stock or any depositary shares representing interests in the Series F Preferred Stock are issued in book-entry form through The Depository Trust Company or any other similar facility, notice of redemption may be given to the Holders of Series F Preferred Stock at such time and in any manner permitted by such facility. Each such notice given to a Holder shall state: (1) the redemption date; (2) the number of shares of Series F Preferred Stock to be redeemed; (3) the redemption price (or manner of determination of the redemption price); and (4) the place or places where certificates for such shares are to be surrendered for payment of the 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594360</wp:posOffset>
            </wp:positionV>
            <wp:extent cx="725805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504"/>
          </w:cols>
          <w:pgMar w:left="1156" w:top="1440" w:right="239" w:bottom="1440" w:gutter="0" w:footer="0" w:header="0"/>
        </w:sectPr>
      </w:pPr>
    </w:p>
    <w:bookmarkStart w:id="99" w:name="page100"/>
    <w:bookmarkEnd w:id="99"/>
    <w:p>
      <w:pPr>
        <w:spacing w:after="0" w:line="200" w:lineRule="exact"/>
        <w:rPr>
          <w:sz w:val="20"/>
          <w:szCs w:val="20"/>
          <w:color w:val="auto"/>
        </w:rPr>
      </w:pPr>
    </w:p>
    <w:p>
      <w:pPr>
        <w:spacing w:after="0" w:line="333" w:lineRule="exact"/>
        <w:rPr>
          <w:sz w:val="20"/>
          <w:szCs w:val="20"/>
          <w:color w:val="auto"/>
        </w:rPr>
      </w:pPr>
    </w:p>
    <w:p>
      <w:pPr>
        <w:ind w:right="40" w:firstLine="916"/>
        <w:spacing w:after="0" w:line="271" w:lineRule="auto"/>
        <w:tabs>
          <w:tab w:leader="none" w:pos="1155"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Effectiveness of Redemption</w:t>
      </w:r>
      <w:r>
        <w:rPr>
          <w:rFonts w:ascii="Arial" w:cs="Arial" w:eastAsia="Arial" w:hAnsi="Arial"/>
          <w:sz w:val="16"/>
          <w:szCs w:val="16"/>
          <w:color w:val="auto"/>
        </w:rPr>
        <w:t>. If notice of redemption has been duly given as provided in Section 7(c) and if on or before the redemption 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specified in the notice all funds necessary for the redemption have been set aside by the Corporation, separate and apart from its other funds, in trust for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benefit of the Holders of the shares called for redemption, so as to be and continue to be available therefor, then, notwithstanding that any certificate for any share so called for redemption has not been surrendered for cancellation, on and after the redemption date unless the Corporation defaults in the payment of the redemption price, in which case such rights shall continue until the redemption price is paid,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without interest. Any funds unclaimed at the end of two years from the redemption date shall, to the extent permitted by law, be released to the Corporation, after which time the Holders of the shares so called for redemption shall look only to the Corporation for payment of the redemption price of such shares. Shares of outstanding Series F Preferred Stock that are redeemed, purchased or otherwise acquired by the Corporation, or converted into another series of Preferred Stock, shall be cancelled and shall revert to authorized but unissued shares of Preferred Stock undesignated as to series.</w:t>
      </w:r>
    </w:p>
    <w:p>
      <w:pPr>
        <w:spacing w:after="0" w:line="138" w:lineRule="exact"/>
        <w:rPr>
          <w:sz w:val="20"/>
          <w:szCs w:val="20"/>
          <w:color w:val="auto"/>
        </w:rPr>
      </w:pPr>
    </w:p>
    <w:p>
      <w:pPr>
        <w:ind w:right="100" w:firstLine="914"/>
        <w:spacing w:after="0" w:line="274" w:lineRule="auto"/>
        <w:rPr>
          <w:sz w:val="20"/>
          <w:szCs w:val="20"/>
          <w:color w:val="auto"/>
        </w:rPr>
      </w:pPr>
      <w:r>
        <w:rPr>
          <w:rFonts w:ascii="Arial" w:cs="Arial" w:eastAsia="Arial" w:hAnsi="Arial"/>
          <w:sz w:val="16"/>
          <w:szCs w:val="16"/>
          <w:i w:val="1"/>
          <w:iCs w:val="1"/>
          <w:color w:val="auto"/>
        </w:rPr>
        <w:t>Section 8. Mandatory Conversion</w:t>
      </w:r>
      <w:r>
        <w:rPr>
          <w:rFonts w:ascii="Arial" w:cs="Arial" w:eastAsia="Arial" w:hAnsi="Arial"/>
          <w:sz w:val="16"/>
          <w:szCs w:val="16"/>
          <w:color w:val="auto"/>
        </w:rPr>
        <w:t>. Effective as of the close of business on the Mandatory Conversion Date with respect to the shares of Series 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Preferred Stock of a Holder, all such Holder’s shares of Series F Preferred Stock shall automatically convert into shares of Common Stock as set forth below. The number of shares of Common Stock into which a share of Series F Preferred Stock shall be convertible shall be determined by dividing (i) the Liquidation Preference by (ii) the Applicable Conversion Price (subject to the conversion procedures of Section 9 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the Series F Preferred Stock shall not convert into Common Stock unless and until all accrued and unpaid dividends, whether or not declared, with respect to any Dividend Period completed prior to the Mandatory Conversion Date (but not with respect to the Dividend Period in which the Mandatory Conversion Date occurs) have been paid in cash to the Holders. Upon conversion, Holders shall receive cash in lieu of fractional shares in accordance with Section 13 hereof.</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Section 9. Conversion Procedures</w:t>
      </w:r>
      <w:r>
        <w:rPr>
          <w:rFonts w:ascii="Arial" w:cs="Arial" w:eastAsia="Arial" w:hAnsi="Arial"/>
          <w:sz w:val="17"/>
          <w:szCs w:val="17"/>
          <w:color w:val="auto"/>
        </w:rPr>
        <w:t>.</w:t>
      </w:r>
    </w:p>
    <w:p>
      <w:pPr>
        <w:spacing w:after="0" w:line="176" w:lineRule="exact"/>
        <w:rPr>
          <w:sz w:val="20"/>
          <w:szCs w:val="20"/>
          <w:color w:val="auto"/>
        </w:rPr>
      </w:pPr>
    </w:p>
    <w:p>
      <w:pPr>
        <w:ind w:right="100" w:firstLine="916"/>
        <w:spacing w:after="0" w:line="264" w:lineRule="auto"/>
        <w:tabs>
          <w:tab w:leader="none" w:pos="1137" w:val="left"/>
        </w:tabs>
        <w:numPr>
          <w:ilvl w:val="1"/>
          <w:numId w:val="66"/>
        </w:numPr>
        <w:rPr>
          <w:rFonts w:ascii="Arial" w:cs="Arial" w:eastAsia="Arial" w:hAnsi="Arial"/>
          <w:sz w:val="17"/>
          <w:szCs w:val="17"/>
          <w:color w:val="auto"/>
        </w:rPr>
      </w:pPr>
      <w:r>
        <w:rPr>
          <w:rFonts w:ascii="Arial" w:cs="Arial" w:eastAsia="Arial" w:hAnsi="Arial"/>
          <w:sz w:val="17"/>
          <w:szCs w:val="17"/>
          <w:color w:val="auto"/>
        </w:rPr>
        <w:t>At least one Business Day prior to the Mandatory Conversion Date with respect to shares of any Holder, the Corporation shall provide notice of such conversion to such Holder (such notice a “</w:t>
      </w:r>
      <w:r>
        <w:rPr>
          <w:rFonts w:ascii="Arial" w:cs="Arial" w:eastAsia="Arial" w:hAnsi="Arial"/>
          <w:sz w:val="17"/>
          <w:szCs w:val="17"/>
          <w:u w:val="single" w:color="auto"/>
          <w:color w:val="auto"/>
        </w:rPr>
        <w:t>Notice of Mandatory Conversion</w:t>
      </w:r>
      <w:r>
        <w:rPr>
          <w:rFonts w:ascii="Arial" w:cs="Arial" w:eastAsia="Arial" w:hAnsi="Arial"/>
          <w:sz w:val="17"/>
          <w:szCs w:val="17"/>
          <w:color w:val="auto"/>
        </w:rPr>
        <w:t>”). In addition to any information required by applicable law or regulation, the Notice of Mandatory Conversion with respect to such Holder shall state, as appropriate:</w:t>
      </w:r>
    </w:p>
    <w:p>
      <w:pPr>
        <w:spacing w:after="0" w:line="136" w:lineRule="exact"/>
        <w:rPr>
          <w:rFonts w:ascii="Arial" w:cs="Arial" w:eastAsia="Arial" w:hAnsi="Arial"/>
          <w:sz w:val="17"/>
          <w:szCs w:val="17"/>
          <w:color w:val="auto"/>
        </w:rPr>
      </w:pPr>
    </w:p>
    <w:p>
      <w:pPr>
        <w:ind w:left="660" w:hanging="201"/>
        <w:spacing w:after="0"/>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Mandatory Conversion Date;</w:t>
      </w:r>
    </w:p>
    <w:p>
      <w:pPr>
        <w:spacing w:after="0" w:line="189" w:lineRule="exact"/>
        <w:rPr>
          <w:rFonts w:ascii="Arial" w:cs="Arial" w:eastAsia="Arial" w:hAnsi="Arial"/>
          <w:sz w:val="17"/>
          <w:szCs w:val="17"/>
          <w:color w:val="auto"/>
        </w:rPr>
      </w:pPr>
    </w:p>
    <w:p>
      <w:pPr>
        <w:ind w:left="720" w:hanging="261"/>
        <w:spacing w:after="0"/>
        <w:tabs>
          <w:tab w:leader="none" w:pos="7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Applicable Conversion Price;</w:t>
      </w:r>
    </w:p>
    <w:p>
      <w:pPr>
        <w:spacing w:after="0" w:line="176" w:lineRule="exact"/>
        <w:rPr>
          <w:rFonts w:ascii="Arial" w:cs="Arial" w:eastAsia="Arial" w:hAnsi="Arial"/>
          <w:sz w:val="17"/>
          <w:szCs w:val="17"/>
          <w:color w:val="auto"/>
        </w:rPr>
      </w:pPr>
    </w:p>
    <w:p>
      <w:pPr>
        <w:ind w:firstLine="459"/>
        <w:spacing w:after="0" w:line="277" w:lineRule="auto"/>
        <w:tabs>
          <w:tab w:leader="none" w:pos="756"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number of shares of Common Stock to be issued upon conversion of each share of Series F Preferred Stock held of record by such Holder and subject to such mandatory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589915</wp:posOffset>
            </wp:positionV>
            <wp:extent cx="725805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0" w:name="page101"/>
    <w:bookmarkEnd w:id="100"/>
    <w:p>
      <w:pPr>
        <w:spacing w:after="0" w:line="200" w:lineRule="exact"/>
        <w:rPr>
          <w:sz w:val="20"/>
          <w:szCs w:val="20"/>
          <w:color w:val="auto"/>
        </w:rPr>
      </w:pPr>
    </w:p>
    <w:p>
      <w:pPr>
        <w:spacing w:after="0" w:line="334" w:lineRule="exact"/>
        <w:rPr>
          <w:sz w:val="20"/>
          <w:szCs w:val="20"/>
          <w:color w:val="auto"/>
        </w:rPr>
      </w:pPr>
    </w:p>
    <w:p>
      <w:pPr>
        <w:ind w:left="-459" w:right="720" w:firstLine="459"/>
        <w:spacing w:after="0" w:line="277" w:lineRule="auto"/>
        <w:tabs>
          <w:tab w:leader="none" w:pos="287"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certificates are to be issued, the place or places where certificates for shares of Series F Preferred Stock held of record by such Holder are to be surrendered for issuance of certificates representing shares of Common Stock; and</w:t>
      </w:r>
    </w:p>
    <w:p>
      <w:pPr>
        <w:spacing w:after="0" w:line="125" w:lineRule="exact"/>
        <w:rPr>
          <w:rFonts w:ascii="Arial" w:cs="Arial" w:eastAsia="Arial" w:hAnsi="Arial"/>
          <w:sz w:val="17"/>
          <w:szCs w:val="17"/>
          <w:color w:val="auto"/>
        </w:rPr>
      </w:pPr>
    </w:p>
    <w:p>
      <w:pPr>
        <w:ind w:left="-459" w:right="580" w:firstLine="459"/>
        <w:spacing w:after="0" w:line="277" w:lineRule="auto"/>
        <w:tabs>
          <w:tab w:leader="none" w:pos="239"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amount of accrued and unpaid dividends to be paid in cash on each share of Series F Preferred Stock held of record by such Holder prior to such mandatory conversion.</w:t>
      </w:r>
    </w:p>
    <w:p>
      <w:pPr>
        <w:spacing w:after="0" w:line="138" w:lineRule="exact"/>
        <w:rPr>
          <w:rFonts w:ascii="Arial" w:cs="Arial" w:eastAsia="Arial" w:hAnsi="Arial"/>
          <w:sz w:val="17"/>
          <w:szCs w:val="17"/>
          <w:color w:val="auto"/>
        </w:rPr>
      </w:pPr>
    </w:p>
    <w:p>
      <w:pPr>
        <w:ind w:left="-459" w:right="40" w:firstLine="916"/>
        <w:spacing w:after="0" w:line="258" w:lineRule="auto"/>
        <w:tabs>
          <w:tab w:leader="none" w:pos="696" w:val="left"/>
        </w:tabs>
        <w:numPr>
          <w:ilvl w:val="1"/>
          <w:numId w:val="68"/>
        </w:numPr>
        <w:rPr>
          <w:rFonts w:ascii="Arial" w:cs="Arial" w:eastAsia="Arial" w:hAnsi="Arial"/>
          <w:sz w:val="17"/>
          <w:szCs w:val="17"/>
          <w:color w:val="auto"/>
        </w:rPr>
      </w:pPr>
      <w:r>
        <w:rPr>
          <w:rFonts w:ascii="Arial" w:cs="Arial" w:eastAsia="Arial" w:hAnsi="Arial"/>
          <w:sz w:val="17"/>
          <w:szCs w:val="17"/>
          <w:color w:val="auto"/>
        </w:rPr>
        <w:t>Effective immediately prior to the close of business on the Mandatory Conversion Date with respect to any shares of Series F Preferred Stock dividends shall no longer be declared on any such shares of Series F Preferred Stock and such shares of Series F Preferred Stock shall cease to be outstanding, in each case, subject to the right of the Holder to receive (i) shares of Common Stock issuable upon such mandatory conversion, (ii) any declared and unpaid dividends on such share to the extent provided in Section 4(g) and (iii) any other payments to which such Holder is otherwise entitled pursuant to Section 5, Section 7, Section 8, Section 11 or Section 13 hereof, as applicable.</w:t>
      </w:r>
    </w:p>
    <w:p>
      <w:pPr>
        <w:spacing w:after="0" w:line="141" w:lineRule="exact"/>
        <w:rPr>
          <w:rFonts w:ascii="Arial" w:cs="Arial" w:eastAsia="Arial" w:hAnsi="Arial"/>
          <w:sz w:val="17"/>
          <w:szCs w:val="17"/>
          <w:color w:val="auto"/>
        </w:rPr>
      </w:pPr>
    </w:p>
    <w:p>
      <w:pPr>
        <w:ind w:left="-459" w:firstLine="916"/>
        <w:spacing w:after="0" w:line="274" w:lineRule="auto"/>
        <w:tabs>
          <w:tab w:leader="none" w:pos="687" w:val="left"/>
        </w:tabs>
        <w:numPr>
          <w:ilvl w:val="1"/>
          <w:numId w:val="68"/>
        </w:numPr>
        <w:rPr>
          <w:rFonts w:ascii="Arial" w:cs="Arial" w:eastAsia="Arial" w:hAnsi="Arial"/>
          <w:sz w:val="16"/>
          <w:szCs w:val="16"/>
          <w:color w:val="auto"/>
        </w:rPr>
      </w:pPr>
      <w:r>
        <w:rPr>
          <w:rFonts w:ascii="Arial" w:cs="Arial" w:eastAsia="Arial" w:hAnsi="Arial"/>
          <w:sz w:val="16"/>
          <w:szCs w:val="16"/>
          <w:color w:val="auto"/>
        </w:rPr>
        <w:t>No allowance or adjustment, except pursuant to Section 4 or Section 10, shall be made in respect of dividends payable to holders of the Common Stock of record as of any date prior to the close of business on the Mandatory Conversion Date with respect to any share of Series F Preferred Stock. Prior to the close of business on the Mandatory Conversion Date with respect to any share of Series F Preferred Stock, shares of Common Stock issuable upon conversion thereof, or other securities issuable upon conversion of, such share of Series F Preferred Stock shall not be deemed outstanding for any purpose, and the Holder thereof shall have no rights with respect to the Common Stock or other securities issuable upon conversion (including voting rights, rights to respond to tender offers for the Common Stock or other securities issuable upon conversion and rights to receive any dividends or other distributions on the Common Stock or other securities issuable upon conversion) by virtue of holding such share of Series F Preferred Stock.</w:t>
      </w:r>
    </w:p>
    <w:p>
      <w:pPr>
        <w:spacing w:after="0" w:line="132" w:lineRule="exact"/>
        <w:rPr>
          <w:rFonts w:ascii="Arial" w:cs="Arial" w:eastAsia="Arial" w:hAnsi="Arial"/>
          <w:sz w:val="16"/>
          <w:szCs w:val="16"/>
          <w:color w:val="auto"/>
        </w:rPr>
      </w:pPr>
    </w:p>
    <w:p>
      <w:pPr>
        <w:ind w:left="-459" w:right="60" w:firstLine="916"/>
        <w:spacing w:after="0" w:line="258" w:lineRule="auto"/>
        <w:tabs>
          <w:tab w:leader="none" w:pos="696" w:val="left"/>
        </w:tabs>
        <w:numPr>
          <w:ilvl w:val="1"/>
          <w:numId w:val="68"/>
        </w:numPr>
        <w:rPr>
          <w:rFonts w:ascii="Arial" w:cs="Arial" w:eastAsia="Arial" w:hAnsi="Arial"/>
          <w:sz w:val="17"/>
          <w:szCs w:val="17"/>
          <w:color w:val="auto"/>
        </w:rPr>
      </w:pPr>
      <w:r>
        <w:rPr>
          <w:rFonts w:ascii="Arial" w:cs="Arial" w:eastAsia="Arial" w:hAnsi="Arial"/>
          <w:sz w:val="17"/>
          <w:szCs w:val="17"/>
          <w:color w:val="auto"/>
        </w:rPr>
        <w:t xml:space="preserve">Shares of Series F Preferred Stock duly converted in accordance with this Certificate of Designations, or otherwise reacquired by the Corporation, will resume the status of authorized and unissued preferred stock, undesignated as to series and available for future issuance. The Corporation may from time-to-time take such appropriate action as may be necessary to reduce the authorized number of shares of Series F Preferred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Corporation shall not take any such action if such action would reduce the authorized number of shares of Series F Preferred Stock below the number of shares of Series F Preferred Stock then outstanding.</w:t>
      </w:r>
    </w:p>
    <w:p>
      <w:pPr>
        <w:spacing w:after="0" w:line="154" w:lineRule="exact"/>
        <w:rPr>
          <w:rFonts w:ascii="Arial" w:cs="Arial" w:eastAsia="Arial" w:hAnsi="Arial"/>
          <w:sz w:val="17"/>
          <w:szCs w:val="17"/>
          <w:color w:val="auto"/>
        </w:rPr>
      </w:pPr>
    </w:p>
    <w:p>
      <w:pPr>
        <w:ind w:left="-459" w:right="100" w:firstLine="916"/>
        <w:spacing w:after="0" w:line="275" w:lineRule="auto"/>
        <w:tabs>
          <w:tab w:leader="none" w:pos="684"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Person or Persons entitled to receive the Common Stock and/or cash, securities or other property issuable upon conversion of Series F Preferred Stock shall be treated for all purposes as the record holder(s) of such shares of Common Stock and/or securities as of the close of business on the Mandatory Conversion Date with respect thereto. In the event that a Holder shall not by written notice designate the name in which shares of Common Stock and/or cash, securities or other property (including payments of cash in lieu of fractional shares) to be issued or paid upon conversion of shares of Series F Preferred Stock should be registered or paid or the manner in which such shares should be delivered, the Corporation shall be entitled to register and deliver such shares, and make such payment, in the name of the Holder and in the manner shown on the records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586105</wp:posOffset>
            </wp:positionV>
            <wp:extent cx="725805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941"/>
          </w:cols>
          <w:pgMar w:left="699" w:top="1440" w:right="259" w:bottom="1440" w:gutter="0" w:footer="0" w:header="0"/>
        </w:sectPr>
      </w:pPr>
    </w:p>
    <w:bookmarkStart w:id="101" w:name="page102"/>
    <w:bookmarkEnd w:id="101"/>
    <w:p>
      <w:pPr>
        <w:spacing w:after="0" w:line="200" w:lineRule="exact"/>
        <w:rPr>
          <w:sz w:val="20"/>
          <w:szCs w:val="20"/>
          <w:color w:val="auto"/>
        </w:rPr>
      </w:pPr>
    </w:p>
    <w:p>
      <w:pPr>
        <w:spacing w:after="0" w:line="334" w:lineRule="exact"/>
        <w:rPr>
          <w:sz w:val="20"/>
          <w:szCs w:val="20"/>
          <w:color w:val="auto"/>
        </w:rPr>
      </w:pPr>
    </w:p>
    <w:p>
      <w:pPr>
        <w:ind w:right="120" w:firstLine="916"/>
        <w:spacing w:after="0" w:line="260" w:lineRule="auto"/>
        <w:tabs>
          <w:tab w:leader="none" w:pos="1127" w:val="left"/>
        </w:tabs>
        <w:numPr>
          <w:ilvl w:val="0"/>
          <w:numId w:val="69"/>
        </w:numPr>
        <w:rPr>
          <w:rFonts w:ascii="Arial" w:cs="Arial" w:eastAsia="Arial" w:hAnsi="Arial"/>
          <w:sz w:val="17"/>
          <w:szCs w:val="17"/>
          <w:color w:val="auto"/>
        </w:rPr>
      </w:pPr>
      <w:r>
        <w:rPr>
          <w:rFonts w:ascii="Arial" w:cs="Arial" w:eastAsia="Arial" w:hAnsi="Arial"/>
          <w:sz w:val="17"/>
          <w:szCs w:val="17"/>
          <w:color w:val="auto"/>
        </w:rPr>
        <w:t>On the Mandatory Conversion Date with respect to any share of Series F Preferred Stock, certificates representing shares of Common Stock shall be issued and delivered to the Holder thereof or such Holder’s designee (or, at the Corporation’s option such shares shall be registered in book-entry form) upon presentation and surrender of the certificate evidencing the Series F Preferred Stock to the Corporation and, if required, the furnishing of appropriate endorsements and transfer documents and the payment of all transfer and similar taxes.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Section 10. Anti-Dilution Adjustments</w:t>
      </w:r>
      <w:r>
        <w:rPr>
          <w:rFonts w:ascii="Arial" w:cs="Arial" w:eastAsia="Arial" w:hAnsi="Arial"/>
          <w:sz w:val="17"/>
          <w:szCs w:val="17"/>
          <w:color w:val="auto"/>
        </w:rPr>
        <w:t>.</w:t>
      </w:r>
    </w:p>
    <w:p>
      <w:pPr>
        <w:spacing w:after="0" w:line="189" w:lineRule="exact"/>
        <w:rPr>
          <w:sz w:val="20"/>
          <w:szCs w:val="20"/>
          <w:color w:val="auto"/>
        </w:rPr>
      </w:pPr>
    </w:p>
    <w:p>
      <w:pPr>
        <w:ind w:left="1140" w:hanging="224"/>
        <w:spacing w:after="0"/>
        <w:tabs>
          <w:tab w:leader="none" w:pos="1140" w:val="left"/>
        </w:tabs>
        <w:numPr>
          <w:ilvl w:val="1"/>
          <w:numId w:val="70"/>
        </w:numPr>
        <w:rPr>
          <w:rFonts w:ascii="Arial" w:cs="Arial" w:eastAsia="Arial" w:hAnsi="Arial"/>
          <w:sz w:val="17"/>
          <w:szCs w:val="17"/>
          <w:color w:val="auto"/>
        </w:rPr>
      </w:pPr>
      <w:r>
        <w:rPr>
          <w:rFonts w:ascii="Arial" w:cs="Arial" w:eastAsia="Arial" w:hAnsi="Arial"/>
          <w:sz w:val="17"/>
          <w:szCs w:val="17"/>
          <w:color w:val="auto"/>
        </w:rPr>
        <w:t>The Conversion Price shall be subject to the following adjustments:</w:t>
      </w:r>
    </w:p>
    <w:p>
      <w:pPr>
        <w:spacing w:after="0" w:line="176" w:lineRule="exact"/>
        <w:rPr>
          <w:rFonts w:ascii="Arial" w:cs="Arial" w:eastAsia="Arial" w:hAnsi="Arial"/>
          <w:sz w:val="17"/>
          <w:szCs w:val="17"/>
          <w:color w:val="auto"/>
        </w:rPr>
      </w:pPr>
    </w:p>
    <w:p>
      <w:pPr>
        <w:ind w:right="20" w:firstLine="459"/>
        <w:spacing w:after="0" w:line="309" w:lineRule="auto"/>
        <w:tabs>
          <w:tab w:leader="none" w:pos="661"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Stock Dividends and Distributions</w:t>
      </w:r>
      <w:r>
        <w:rPr>
          <w:rFonts w:ascii="Arial" w:cs="Arial" w:eastAsia="Arial" w:hAnsi="Arial"/>
          <w:sz w:val="16"/>
          <w:szCs w:val="16"/>
          <w:color w:val="auto"/>
        </w:rPr>
        <w:t>. If the Corporation pays dividends or other distributions on the Company Common Stock in shares of Company Common Stock, then the Conversion Price in effect immediately prior to the Ex-Date for such dividend or distribution will be multiplied by the following fraction:</w:t>
      </w:r>
    </w:p>
    <w:p>
      <w:pPr>
        <w:spacing w:after="0" w:line="103" w:lineRule="exact"/>
        <w:rPr>
          <w:sz w:val="20"/>
          <w:szCs w:val="20"/>
          <w:color w:val="auto"/>
        </w:rPr>
      </w:pPr>
    </w:p>
    <w:p>
      <w:pPr>
        <w:ind w:left="5560"/>
        <w:spacing w:after="0"/>
        <w:rPr>
          <w:sz w:val="20"/>
          <w:szCs w:val="20"/>
          <w:color w:val="auto"/>
        </w:rPr>
      </w:pPr>
      <w:r>
        <w:rPr>
          <w:rFonts w:ascii="Arial" w:cs="Arial" w:eastAsia="Arial" w:hAnsi="Arial"/>
          <w:sz w:val="17"/>
          <w:szCs w:val="17"/>
          <w:u w:val="single" w:color="auto"/>
          <w:color w:val="auto"/>
        </w:rPr>
        <w:t>OS0</w:t>
      </w:r>
    </w:p>
    <w:p>
      <w:pPr>
        <w:spacing w:after="0" w:line="3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OS1</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Where,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OS0 = the number of shares of Company Common Stock outstanding immediately prior to Ex-Date for such dividend or distribution.</w:t>
      </w:r>
    </w:p>
    <w:p>
      <w:pPr>
        <w:spacing w:after="0" w:line="189" w:lineRule="exact"/>
        <w:rPr>
          <w:sz w:val="20"/>
          <w:szCs w:val="20"/>
          <w:color w:val="auto"/>
        </w:rPr>
      </w:pPr>
    </w:p>
    <w:p>
      <w:pPr>
        <w:ind w:right="380"/>
        <w:spacing w:after="0" w:line="293" w:lineRule="auto"/>
        <w:rPr>
          <w:sz w:val="20"/>
          <w:szCs w:val="20"/>
          <w:color w:val="auto"/>
        </w:rPr>
      </w:pPr>
      <w:r>
        <w:rPr>
          <w:rFonts w:ascii="Arial" w:cs="Arial" w:eastAsia="Arial" w:hAnsi="Arial"/>
          <w:sz w:val="17"/>
          <w:szCs w:val="17"/>
          <w:color w:val="auto"/>
        </w:rPr>
        <w:t>OS1 = the sum of the number of shares of Company Common Stock outstanding immediately prior to the Ex-Date for such dividend or distribution plus the total number of shares of Company Common Stock constituting such dividend or distribution.</w:t>
      </w:r>
    </w:p>
    <w:p>
      <w:pPr>
        <w:spacing w:after="0" w:line="125"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For the purposes of this clause (i), the number of shares of Company Common Stock at the time outstanding shall not include shares acquired by the Corporation. If any dividend or distribution described in this clause (i) is declared but not so paid or made, the Conversion Price shall be readjusted, effective as of the date the Board of Directors publicly announces its decision not to make such dividend or distribution, to such Conversion Price that would be in effect if such dividend or distribution had not been declared (but giving effect to any intervening adjustments that may have been made with respect to the Series 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572135</wp:posOffset>
            </wp:positionV>
            <wp:extent cx="725805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02" w:name="page103"/>
    <w:bookmarkEnd w:id="102"/>
    <w:p>
      <w:pPr>
        <w:spacing w:after="0" w:line="200" w:lineRule="exact"/>
        <w:rPr>
          <w:sz w:val="20"/>
          <w:szCs w:val="20"/>
          <w:color w:val="auto"/>
        </w:rPr>
      </w:pPr>
    </w:p>
    <w:p>
      <w:pPr>
        <w:spacing w:after="0" w:line="334" w:lineRule="exact"/>
        <w:rPr>
          <w:sz w:val="20"/>
          <w:szCs w:val="20"/>
          <w:color w:val="auto"/>
        </w:rPr>
      </w:pPr>
    </w:p>
    <w:p>
      <w:pPr>
        <w:ind w:right="140" w:firstLine="459"/>
        <w:spacing w:after="0" w:line="264" w:lineRule="auto"/>
        <w:tabs>
          <w:tab w:leader="none" w:pos="708"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Subdivisions, Splits and Combination of the Company Common Stock</w:t>
      </w:r>
      <w:r>
        <w:rPr>
          <w:rFonts w:ascii="Arial" w:cs="Arial" w:eastAsia="Arial" w:hAnsi="Arial"/>
          <w:sz w:val="17"/>
          <w:szCs w:val="17"/>
          <w:color w:val="auto"/>
        </w:rPr>
        <w:t>. If the Corporation subdivides, splits or combines the shares of Company Common Stock, then the Conversion Price in effect immediately prior to the effective date of such share subdivision, split or combination will be multiplied by the following fraction:</w:t>
      </w:r>
    </w:p>
    <w:p>
      <w:pPr>
        <w:spacing w:after="0" w:line="137" w:lineRule="exact"/>
        <w:rPr>
          <w:sz w:val="20"/>
          <w:szCs w:val="20"/>
          <w:color w:val="auto"/>
        </w:rPr>
      </w:pPr>
    </w:p>
    <w:p>
      <w:pPr>
        <w:ind w:left="5560"/>
        <w:spacing w:after="0"/>
        <w:rPr>
          <w:sz w:val="20"/>
          <w:szCs w:val="20"/>
          <w:color w:val="auto"/>
        </w:rPr>
      </w:pPr>
      <w:r>
        <w:rPr>
          <w:rFonts w:ascii="Arial" w:cs="Arial" w:eastAsia="Arial" w:hAnsi="Arial"/>
          <w:sz w:val="17"/>
          <w:szCs w:val="17"/>
          <w:u w:val="single" w:color="auto"/>
          <w:color w:val="auto"/>
        </w:rPr>
        <w:t>OS0</w:t>
      </w:r>
    </w:p>
    <w:p>
      <w:pPr>
        <w:spacing w:after="0" w:line="3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OS1</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Where,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OS0 = the number of shares of Company Common Stock outstanding immediately prior to the effective date of such share subdivision, split or combination.</w:t>
      </w:r>
    </w:p>
    <w:p>
      <w:pPr>
        <w:spacing w:after="0" w:line="201" w:lineRule="exact"/>
        <w:rPr>
          <w:sz w:val="20"/>
          <w:szCs w:val="20"/>
          <w:color w:val="auto"/>
        </w:rPr>
      </w:pPr>
    </w:p>
    <w:p>
      <w:pPr>
        <w:ind w:right="160"/>
        <w:spacing w:after="0" w:line="293" w:lineRule="auto"/>
        <w:rPr>
          <w:sz w:val="20"/>
          <w:szCs w:val="20"/>
          <w:color w:val="auto"/>
        </w:rPr>
      </w:pPr>
      <w:r>
        <w:rPr>
          <w:rFonts w:ascii="Arial" w:cs="Arial" w:eastAsia="Arial" w:hAnsi="Arial"/>
          <w:sz w:val="17"/>
          <w:szCs w:val="17"/>
          <w:color w:val="auto"/>
        </w:rPr>
        <w:t>OS1 = the number of shares of Company Common Stock outstanding immediately after the opening of business on the effective date of such share subdivision, split or combination.</w:t>
      </w:r>
    </w:p>
    <w:p>
      <w:pPr>
        <w:spacing w:after="0" w:line="12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For the purposes of this clause (ii), the number of shares of Company Common Stock at the time outstanding shall not include shares acquired by the Corporation. If any subdivision, split or combination described in this clause (ii) is announced but the outstanding shares of Company Common Stock are not subdivided, split or combined, the Conversion Price shall be readjusted, effective as of the date the Board of Directors publicly announces its decision not to subdivide, split or combine the outstanding shares of Company Common Stock, to such Conversion Price that would be in effect if such subdivision, split or combination had not been announced (but giving effect to any intervening adjustments that may have been made with respect to the Series F Preferred Stock).</w:t>
      </w:r>
    </w:p>
    <w:p>
      <w:pPr>
        <w:spacing w:after="0" w:line="127" w:lineRule="exact"/>
        <w:rPr>
          <w:sz w:val="20"/>
          <w:szCs w:val="20"/>
          <w:color w:val="auto"/>
        </w:rPr>
      </w:pPr>
    </w:p>
    <w:p>
      <w:pPr>
        <w:ind w:right="80" w:firstLine="459"/>
        <w:spacing w:after="0" w:line="256" w:lineRule="auto"/>
        <w:tabs>
          <w:tab w:leader="none" w:pos="756"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Issuance of Stock Purchase Rights</w:t>
      </w:r>
      <w:r>
        <w:rPr>
          <w:rFonts w:ascii="Arial" w:cs="Arial" w:eastAsia="Arial" w:hAnsi="Arial"/>
          <w:sz w:val="17"/>
          <w:szCs w:val="17"/>
          <w:color w:val="auto"/>
        </w:rPr>
        <w:t>. If the Corporation issues to all or substantially all holders of the shares of Company Common Stock rights or warrants (other than rights or warrants issued pursuant to a stockholders’ rights plan, a dividend reinvestment plan or share purchase plan or other similar plans, including that certain Tax Benefits Preservation Plan, dated February 22, 2011, as amended, between the Corporation and Illinois Stock Transfer Company) entitling them to subscribe for or purchase the shares of Company Common Stock at less than the Current Market Price on the date fixed for the determination of stockholders entitled to receive such rights or warrants, then the Conversion Price in effect immediately prior to the Ex-Date for such distribution will be multiplied by the following fraction:</w:t>
      </w:r>
    </w:p>
    <w:p>
      <w:pPr>
        <w:spacing w:after="0" w:line="146" w:lineRule="exact"/>
        <w:rPr>
          <w:sz w:val="20"/>
          <w:szCs w:val="20"/>
          <w:color w:val="auto"/>
        </w:rPr>
      </w:pPr>
    </w:p>
    <w:p>
      <w:pPr>
        <w:ind w:left="5400"/>
        <w:spacing w:after="0"/>
        <w:rPr>
          <w:sz w:val="20"/>
          <w:szCs w:val="20"/>
          <w:color w:val="auto"/>
        </w:rPr>
      </w:pPr>
      <w:r>
        <w:rPr>
          <w:rFonts w:ascii="Arial" w:cs="Arial" w:eastAsia="Arial" w:hAnsi="Arial"/>
          <w:sz w:val="17"/>
          <w:szCs w:val="17"/>
          <w:u w:val="single" w:color="auto"/>
          <w:color w:val="auto"/>
        </w:rPr>
        <w:t>OS0 + Y</w:t>
      </w:r>
    </w:p>
    <w:p>
      <w:pPr>
        <w:spacing w:after="0" w:line="34"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OS0 + X</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Where,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OS0 = the number of shares of Company Common Stock outstanding immediately prior to the Ex-Date for such distribution.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X = the total number of shares of Company Common Stock issuable pursuant to such rights or warrants.</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Y = the number of shares of Company Common Stock equal to the aggregate price payable to exercise such rights or warrants divided by the Current Market Price on the date fixed for the determination of stockholders entitled to receive such rights or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582295</wp:posOffset>
            </wp:positionV>
            <wp:extent cx="725805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03" w:name="page104"/>
    <w:bookmarkEnd w:id="103"/>
    <w:p>
      <w:pPr>
        <w:spacing w:after="0" w:line="200" w:lineRule="exact"/>
        <w:rPr>
          <w:sz w:val="20"/>
          <w:szCs w:val="20"/>
          <w:color w:val="auto"/>
        </w:rPr>
      </w:pPr>
    </w:p>
    <w:p>
      <w:pPr>
        <w:spacing w:after="0" w:line="334"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For the purposes of this clause (iii), the number of shares of Company Common Stock at the time outstanding shall not include shares acquired by the Corporation. The Corporation shall not issue any such rights or warrants in respect of shares of the Company Common Stock acquired by the Corporation. In the event that such rights or warrants described in this clause (iii) are not so issued, the Conversion Price shall be readjusted, effective as of the date the Board of Directors publicly announces its decision not to issue such rights or warrants, to the Conversion Price that would then be in effect if such issuance had not been declared (but giving effect to any intervening adjustments that may have been made with respect to the Series F Preferred Stock). To the extent that such rights or warrants are not exercised prior to their expiration or shares of Company Common Stock are otherwise not delivered pursuant to such rights or warrants upon the exercise of such rights or warrants, the Conversion Price shall be readjusted to such Conversion Price that would then be in effect had the adjustment made upon the issuance of such rights or warrants been made on the basis of the delivery of only the number of shares of Company Common Stock actually delivered (but giving effect to any intervening adjustments that may have been made with respect to the Series F Preferred Stock). In determining the aggregate offering price payable for such shares of Company Common Stock, there shall be taken into account any consideration received for such rights or warrants and the value of such consideration (if other than cash, to be determined in a reasonable manner by the Board of Directors).</w:t>
      </w:r>
    </w:p>
    <w:p>
      <w:pPr>
        <w:spacing w:after="0" w:line="138" w:lineRule="exact"/>
        <w:rPr>
          <w:sz w:val="20"/>
          <w:szCs w:val="20"/>
          <w:color w:val="auto"/>
        </w:rPr>
      </w:pPr>
    </w:p>
    <w:p>
      <w:pPr>
        <w:ind w:firstLine="459"/>
        <w:spacing w:after="0" w:line="293" w:lineRule="auto"/>
        <w:tabs>
          <w:tab w:leader="none" w:pos="746" w:val="left"/>
        </w:tabs>
        <w:numPr>
          <w:ilvl w:val="1"/>
          <w:numId w:val="74"/>
        </w:numPr>
        <w:rPr>
          <w:rFonts w:ascii="Arial" w:cs="Arial" w:eastAsia="Arial" w:hAnsi="Arial"/>
          <w:sz w:val="15"/>
          <w:szCs w:val="15"/>
          <w:color w:val="auto"/>
        </w:rPr>
      </w:pPr>
      <w:r>
        <w:rPr>
          <w:rFonts w:ascii="Arial" w:cs="Arial" w:eastAsia="Arial" w:hAnsi="Arial"/>
          <w:sz w:val="15"/>
          <w:szCs w:val="15"/>
          <w:u w:val="single" w:color="auto"/>
          <w:color w:val="auto"/>
        </w:rPr>
        <w:t>Debt or Asset Distributions</w:t>
      </w:r>
      <w:r>
        <w:rPr>
          <w:rFonts w:ascii="Arial" w:cs="Arial" w:eastAsia="Arial" w:hAnsi="Arial"/>
          <w:sz w:val="15"/>
          <w:szCs w:val="15"/>
          <w:color w:val="auto"/>
        </w:rPr>
        <w:t>. If the Corporation distributes to all or substantially all holders of shares of Common Stock evidences of indebtedness, shares of capital stock, securities, cash or other assets (excluding any dividend or distribution referred to in clause (i) above, any rights or warrants referred to in clause</w:t>
      </w:r>
    </w:p>
    <w:p>
      <w:pPr>
        <w:ind w:right="100" w:firstLine="3"/>
        <w:spacing w:after="0" w:line="300" w:lineRule="auto"/>
        <w:tabs>
          <w:tab w:leader="none" w:pos="299" w:val="left"/>
        </w:tabs>
        <w:numPr>
          <w:ilvl w:val="0"/>
          <w:numId w:val="75"/>
        </w:numPr>
        <w:rPr>
          <w:rFonts w:ascii="Arial" w:cs="Arial" w:eastAsia="Arial" w:hAnsi="Arial"/>
          <w:sz w:val="15"/>
          <w:szCs w:val="15"/>
          <w:color w:val="auto"/>
        </w:rPr>
      </w:pPr>
      <w:r>
        <w:rPr>
          <w:rFonts w:ascii="Arial" w:cs="Arial" w:eastAsia="Arial" w:hAnsi="Arial"/>
          <w:sz w:val="15"/>
          <w:szCs w:val="15"/>
          <w:color w:val="auto"/>
        </w:rPr>
        <w:t>above, any dividend or distribution paid exclusively in cash, any consideration payable in connection with a tender or exchange offer made by the Corporation or any of its applicable subsidiaries, and any dividend of shares of capital stock of any class or series, or similar equity interests, of or relating to a subsidiary or other business unit in the case of certain spin-off transactions as described below) (such evidences of indebtedness, shares of capital stock, securities, cash or other assets, the “</w:t>
      </w:r>
      <w:r>
        <w:rPr>
          <w:rFonts w:ascii="Arial" w:cs="Arial" w:eastAsia="Arial" w:hAnsi="Arial"/>
          <w:sz w:val="15"/>
          <w:szCs w:val="15"/>
          <w:u w:val="single" w:color="auto"/>
          <w:color w:val="auto"/>
        </w:rPr>
        <w:t>Distributed Property</w:t>
      </w:r>
      <w:r>
        <w:rPr>
          <w:rFonts w:ascii="Arial" w:cs="Arial" w:eastAsia="Arial" w:hAnsi="Arial"/>
          <w:sz w:val="15"/>
          <w:szCs w:val="15"/>
          <w:color w:val="auto"/>
        </w:rPr>
        <w:t>”), then the Conversion Price in effect immediately prior to the Ex-Date for such distribution will be multiplied by the following fraction: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SP0 – FMV</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SP0</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Where,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SP0 = the Current Market Price per share of Common Stock on such date.</w:t>
      </w:r>
    </w:p>
    <w:p>
      <w:pPr>
        <w:spacing w:after="0" w:line="202" w:lineRule="exact"/>
        <w:rPr>
          <w:sz w:val="20"/>
          <w:szCs w:val="20"/>
          <w:color w:val="auto"/>
        </w:rPr>
      </w:pPr>
    </w:p>
    <w:p>
      <w:pPr>
        <w:ind w:left="460" w:right="100"/>
        <w:spacing w:after="0" w:line="277" w:lineRule="auto"/>
        <w:rPr>
          <w:sz w:val="20"/>
          <w:szCs w:val="20"/>
          <w:color w:val="auto"/>
        </w:rPr>
      </w:pPr>
      <w:r>
        <w:rPr>
          <w:rFonts w:ascii="Arial" w:cs="Arial" w:eastAsia="Arial" w:hAnsi="Arial"/>
          <w:sz w:val="17"/>
          <w:szCs w:val="17"/>
          <w:color w:val="auto"/>
        </w:rPr>
        <w:t>FMV = the fair market value of the portion of the distribution applicable to one share of Common Stock on such date as determined in good faith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582295</wp:posOffset>
            </wp:positionV>
            <wp:extent cx="725805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4" w:name="page105"/>
    <w:bookmarkEnd w:id="104"/>
    <w:p>
      <w:pPr>
        <w:spacing w:after="0" w:line="200" w:lineRule="exact"/>
        <w:rPr>
          <w:sz w:val="20"/>
          <w:szCs w:val="20"/>
          <w:color w:val="auto"/>
        </w:rPr>
      </w:pPr>
    </w:p>
    <w:p>
      <w:pPr>
        <w:spacing w:after="0" w:line="33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 “spin-off”, where the Corporation makes a distribution to all holders of shares of Common Stock consisting of capital stock of any class or series, or similar equity interests of, or relating to, a subsidiary or other business unit, the Conversion Price will be adjusted on the fifteenth Trading Day after the effective date of the distribution by multiplying such Conversion Price in effect immediately prior to such fifteenth Trading Day by the following fraction:</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MP0</w:t>
      </w:r>
    </w:p>
    <w:p>
      <w:pPr>
        <w:spacing w:after="0" w:line="3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MP0+ 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-122555</wp:posOffset>
            </wp:positionV>
            <wp:extent cx="4965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6570"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Where,</w:t>
      </w:r>
    </w:p>
    <w:p>
      <w:pPr>
        <w:spacing w:after="0" w:line="176" w:lineRule="exact"/>
        <w:rPr>
          <w:sz w:val="20"/>
          <w:szCs w:val="20"/>
          <w:color w:val="auto"/>
        </w:rPr>
      </w:pPr>
    </w:p>
    <w:p>
      <w:pPr>
        <w:ind w:right="240"/>
        <w:spacing w:after="0" w:line="293" w:lineRule="auto"/>
        <w:rPr>
          <w:sz w:val="20"/>
          <w:szCs w:val="20"/>
          <w:color w:val="auto"/>
        </w:rPr>
      </w:pPr>
      <w:r>
        <w:rPr>
          <w:rFonts w:ascii="Arial" w:cs="Arial" w:eastAsia="Arial" w:hAnsi="Arial"/>
          <w:sz w:val="17"/>
          <w:szCs w:val="17"/>
          <w:color w:val="auto"/>
        </w:rPr>
        <w:t>MP0 = the average of the Closing Prices of the Common Stock over the first ten Trading Days commencing on and including the fifth Trading Day following the effective date of such distribution.</w:t>
      </w:r>
    </w:p>
    <w:p>
      <w:pPr>
        <w:spacing w:after="0" w:line="11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MPs = the average of the Closing Prices of the capital stock or equity interests representing the portion of the distribution applicable to one share of Common Stock over the first ten Trading Days commencing on and including the fifth Trading Day following the effective date of such distribution, or, if not traded on a national or regional securities exchange or over-the-counter market, the fair market value of the capital stock or equity interests representing the portion of the distribution applicable to one share of Common Stock on such date as determined by the Board of Directors.</w:t>
      </w:r>
    </w:p>
    <w:p>
      <w:pPr>
        <w:spacing w:after="0" w:line="149" w:lineRule="exact"/>
        <w:rPr>
          <w:sz w:val="20"/>
          <w:szCs w:val="20"/>
          <w:color w:val="auto"/>
        </w:rPr>
      </w:pPr>
    </w:p>
    <w:p>
      <w:pPr>
        <w:jc w:val="both"/>
        <w:ind w:right="140"/>
        <w:spacing w:after="0" w:line="315" w:lineRule="auto"/>
        <w:rPr>
          <w:sz w:val="20"/>
          <w:szCs w:val="20"/>
          <w:color w:val="auto"/>
        </w:rPr>
      </w:pPr>
      <w:r>
        <w:rPr>
          <w:rFonts w:ascii="Arial" w:cs="Arial" w:eastAsia="Arial" w:hAnsi="Arial"/>
          <w:sz w:val="15"/>
          <w:szCs w:val="15"/>
          <w:color w:val="auto"/>
        </w:rPr>
        <w:t>In the event that such distribution described in this clause (iv) is not so paid or made, the Conversion Price shall be readjusted, effective as of the date the Board of Directors publicly announces its decision not to pay or make such dividend or distribution, to the Conversion Price that would then be in effect if such dividend or distribution had not been declared (but giving effect to any intervening adjustments that may have been made with respect to the Series F Preferred Stock).</w:t>
      </w:r>
    </w:p>
    <w:p>
      <w:pPr>
        <w:spacing w:after="0" w:line="103" w:lineRule="exact"/>
        <w:rPr>
          <w:sz w:val="20"/>
          <w:szCs w:val="20"/>
          <w:color w:val="auto"/>
        </w:rPr>
      </w:pPr>
    </w:p>
    <w:p>
      <w:pPr>
        <w:ind w:right="80" w:firstLine="459"/>
        <w:spacing w:after="0" w:line="300" w:lineRule="auto"/>
        <w:tabs>
          <w:tab w:leader="none" w:pos="698" w:val="left"/>
        </w:tabs>
        <w:numPr>
          <w:ilvl w:val="0"/>
          <w:numId w:val="76"/>
        </w:numPr>
        <w:rPr>
          <w:rFonts w:ascii="Arial" w:cs="Arial" w:eastAsia="Arial" w:hAnsi="Arial"/>
          <w:sz w:val="15"/>
          <w:szCs w:val="15"/>
          <w:color w:val="auto"/>
        </w:rPr>
      </w:pPr>
      <w:r>
        <w:rPr>
          <w:rFonts w:ascii="Arial" w:cs="Arial" w:eastAsia="Arial" w:hAnsi="Arial"/>
          <w:sz w:val="15"/>
          <w:szCs w:val="15"/>
          <w:u w:val="single" w:color="auto"/>
          <w:color w:val="auto"/>
        </w:rPr>
        <w:t>Cash Distributions</w:t>
      </w:r>
      <w:r>
        <w:rPr>
          <w:rFonts w:ascii="Arial" w:cs="Arial" w:eastAsia="Arial" w:hAnsi="Arial"/>
          <w:sz w:val="15"/>
          <w:szCs w:val="15"/>
          <w:color w:val="auto"/>
        </w:rPr>
        <w:t>. If the Corporation makes a distribution consisting exclusively of cash to all holders of the Common Stock, excluding (a) any cash dividend on the Common Stock to the extent a corresponding cash dividend pursuant to Section 4 is paid on the Series F Preferred Stock, (b) any cash that is distributed in a Reorganization Event or as part of a “spin-off” referred to in clause (iv) above, (c) any dividend or distribution in connection with the Corporation’s liquidation, dissolution or winding up, and (d) any consideration payable in connection with a tender or exchange offer made by the Corporation or any of its subsidiaries, then in each event, the Conversion Price in effect immediately prior to the Ex-Date for such distribution will be multiplied by the following fraction:</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7"/>
          <w:szCs w:val="17"/>
          <w:u w:val="single" w:color="auto"/>
          <w:color w:val="auto"/>
        </w:rPr>
        <w:t>SP0 – DIV</w:t>
      </w:r>
    </w:p>
    <w:p>
      <w:pPr>
        <w:spacing w:after="0" w:line="3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SP0</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Where,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SP0 = the Closing Price per share of Common Stock on the Trading Day immediately preceding the Ex-Date.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DIV = the amount per share of Common Stock of the cash distribution, as determined pursuant to the introduction to this paragraph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622300</wp:posOffset>
            </wp:positionV>
            <wp:extent cx="725805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260"/>
          </w:cols>
          <w:pgMar w:left="240" w:top="1440" w:right="399" w:bottom="1440" w:gutter="0" w:footer="0" w:header="0"/>
        </w:sectPr>
      </w:pPr>
    </w:p>
    <w:bookmarkStart w:id="105" w:name="page106"/>
    <w:bookmarkEnd w:id="105"/>
    <w:p>
      <w:pPr>
        <w:spacing w:after="0" w:line="200" w:lineRule="exact"/>
        <w:rPr>
          <w:sz w:val="20"/>
          <w:szCs w:val="20"/>
          <w:color w:val="auto"/>
        </w:rPr>
      </w:pPr>
    </w:p>
    <w:p>
      <w:pPr>
        <w:spacing w:after="0" w:line="334"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In the event that any distribution described in this clause (v) is not so made, the Conversion Price shall be readjusted, effective as of the date the Board of Directors publicly announces its decision not to pay such distribution, to the Conversion Price which would then be in effect if such distribution had not been declared (but giving effect to any intervening adjustments that may have been made with respect to the Series F Preferred Stock).</w:t>
      </w:r>
    </w:p>
    <w:p>
      <w:pPr>
        <w:spacing w:after="0" w:line="120" w:lineRule="exact"/>
        <w:rPr>
          <w:sz w:val="20"/>
          <w:szCs w:val="20"/>
          <w:color w:val="auto"/>
        </w:rPr>
      </w:pPr>
    </w:p>
    <w:p>
      <w:pPr>
        <w:ind w:firstLine="459"/>
        <w:spacing w:after="0" w:line="260" w:lineRule="auto"/>
        <w:tabs>
          <w:tab w:leader="none" w:pos="746"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Self Tender Offers and Exchange Offers</w:t>
      </w:r>
      <w:r>
        <w:rPr>
          <w:rFonts w:ascii="Arial" w:cs="Arial" w:eastAsia="Arial" w:hAnsi="Arial"/>
          <w:sz w:val="17"/>
          <w:szCs w:val="17"/>
          <w:color w:val="auto"/>
        </w:rPr>
        <w:t>. If the Corporation or any of its subsidiaries successfully completes a tender or exchange offer for the Common Stock where the cash and the value of any other consideration included in the payment per share of the Common Stock exceeds the Closing Price per share of the Common Stock on the Trading Day immediately succeeding the expiration of the tender or exchange offer, then the Conversion Price in effect at the close of business on such immediately succeeding Trading Day will be multiplied by the following fraction:</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OS0 x SP0</w:t>
      </w:r>
    </w:p>
    <w:p>
      <w:pPr>
        <w:spacing w:after="0" w:line="3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AC + (SP0 x OS1)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-122555</wp:posOffset>
            </wp:positionV>
            <wp:extent cx="822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Where,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SP0 = the Closing Price per share of Common Stock on the Trading Day immediately succeeding the expiration of the tender or exchange offer.</w:t>
      </w:r>
    </w:p>
    <w:p>
      <w:pPr>
        <w:spacing w:after="0" w:line="202" w:lineRule="exact"/>
        <w:rPr>
          <w:sz w:val="20"/>
          <w:szCs w:val="20"/>
          <w:color w:val="auto"/>
        </w:rPr>
      </w:pPr>
    </w:p>
    <w:p>
      <w:pPr>
        <w:ind w:right="80"/>
        <w:spacing w:after="0" w:line="293" w:lineRule="auto"/>
        <w:rPr>
          <w:sz w:val="20"/>
          <w:szCs w:val="20"/>
          <w:color w:val="auto"/>
        </w:rPr>
      </w:pPr>
      <w:r>
        <w:rPr>
          <w:rFonts w:ascii="Arial" w:cs="Arial" w:eastAsia="Arial" w:hAnsi="Arial"/>
          <w:sz w:val="17"/>
          <w:szCs w:val="17"/>
          <w:color w:val="auto"/>
        </w:rPr>
        <w:t>OS0 = the number of shares of Common Stock outstanding immediately prior to the expiration of the tender or exchange offer, including any shares validly tendered and not withdrawn.</w:t>
      </w:r>
    </w:p>
    <w:p>
      <w:pPr>
        <w:spacing w:after="0" w:line="112" w:lineRule="exact"/>
        <w:rPr>
          <w:sz w:val="20"/>
          <w:szCs w:val="20"/>
          <w:color w:val="auto"/>
        </w:rPr>
      </w:pPr>
    </w:p>
    <w:p>
      <w:pPr>
        <w:ind w:right="340"/>
        <w:spacing w:after="0" w:line="293" w:lineRule="auto"/>
        <w:rPr>
          <w:sz w:val="20"/>
          <w:szCs w:val="20"/>
          <w:color w:val="auto"/>
        </w:rPr>
      </w:pPr>
      <w:r>
        <w:rPr>
          <w:rFonts w:ascii="Arial" w:cs="Arial" w:eastAsia="Arial" w:hAnsi="Arial"/>
          <w:sz w:val="17"/>
          <w:szCs w:val="17"/>
          <w:color w:val="auto"/>
        </w:rPr>
        <w:t>OS1= the number of shares of Common Stock outstanding immediately after the expiration of the tender or exchange offer, giving effect to consummation of the acquisition of all shares validly tendered or exchanged (and not withdrawn) in connection with such tender or exchange.</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AC = the aggregate cash and fair market value of the other consideration payable in the tender or exchange offer, as determined by the Board of Directors.</w:t>
      </w:r>
    </w:p>
    <w:p>
      <w:pPr>
        <w:spacing w:after="0" w:line="201"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In the event that the Corporation, or one of its subsidiaries, is obligated to purchase shares of Common Stock pursuant to any such tender offer or exchange offer, but the Corporation, or such subsidiary, is permanently prevented by applicable law from effecting any such purchases, or all such purchases are rescinded, then the Conversion Price shall be readjusted to be such Conversion Price that would then be in effect if such tender offer or exchange offer had not been made (but giving effect to any intervening adjustments that may have been made with respect to the Series F Preferred Stock). Except as set forth in the preceding sentence, if the application of this clause (vi) to any tender offer or exchange offer would result in an increase in the Conversion Price, no adjustment shall be made for such tender offer or exchange offer under this clause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594995</wp:posOffset>
            </wp:positionV>
            <wp:extent cx="725805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106" w:name="page107"/>
    <w:bookmarkEnd w:id="106"/>
    <w:p>
      <w:pPr>
        <w:spacing w:after="0" w:line="200" w:lineRule="exact"/>
        <w:rPr>
          <w:sz w:val="20"/>
          <w:szCs w:val="20"/>
          <w:color w:val="auto"/>
        </w:rPr>
      </w:pPr>
    </w:p>
    <w:p>
      <w:pPr>
        <w:spacing w:after="0" w:line="333" w:lineRule="exact"/>
        <w:rPr>
          <w:sz w:val="20"/>
          <w:szCs w:val="20"/>
          <w:color w:val="auto"/>
        </w:rPr>
      </w:pPr>
    </w:p>
    <w:p>
      <w:pPr>
        <w:ind w:left="-459" w:right="80" w:firstLine="459"/>
        <w:spacing w:after="0" w:line="256" w:lineRule="auto"/>
        <w:tabs>
          <w:tab w:leader="none" w:pos="334"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Rights Plans</w:t>
      </w:r>
      <w:r>
        <w:rPr>
          <w:rFonts w:ascii="Arial" w:cs="Arial" w:eastAsia="Arial" w:hAnsi="Arial"/>
          <w:sz w:val="17"/>
          <w:szCs w:val="17"/>
          <w:color w:val="auto"/>
        </w:rPr>
        <w:t>. To the extent that the Corporation has a rights plan in effect with respect to the Common Stock on the Mandatory Conversion Date, upon conversion of any shares of the Series F Preferred Stock, Holders will receive, in addition to the shares of Common Stock, the rights under the rights plan, unless, prior to the Mandatory Conversion Date, the rights have separated from the shares of Common Stock, in which case the Conversion Price will be adjusted at the time of separation as if the Corporation had made a distribution to all holders of the Common Stock as described in clause (iii) above, subject to readjustment in the event of the expiration, termination or redemption of such rights (but giving effect to any intervening adjustments that may have been made with respect to the Series F Preferred Stock).</w:t>
      </w:r>
    </w:p>
    <w:p>
      <w:pPr>
        <w:spacing w:after="0" w:line="146" w:lineRule="exact"/>
        <w:rPr>
          <w:rFonts w:ascii="Arial" w:cs="Arial" w:eastAsia="Arial" w:hAnsi="Arial"/>
          <w:sz w:val="17"/>
          <w:szCs w:val="17"/>
          <w:color w:val="auto"/>
        </w:rPr>
      </w:pPr>
    </w:p>
    <w:p>
      <w:pPr>
        <w:ind w:left="-459" w:right="60" w:firstLine="916"/>
        <w:spacing w:after="0" w:line="260" w:lineRule="auto"/>
        <w:tabs>
          <w:tab w:leader="none" w:pos="693"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Corporation may make such decreases in the Conversion Price, in addition to any other decreases required by this Section 10, if the Board of Directors deems it advisable, to avoid or diminish any income tax to holders of the Company Common Stock resulting from any dividend or distribution of shares of Company Common Stock (or issuance of rights or warrants to acquire shares of Company Common Stock) or from any event treated as such for income tax purposes or for any other reason.</w:t>
      </w:r>
    </w:p>
    <w:p>
      <w:pPr>
        <w:spacing w:after="0" w:line="152" w:lineRule="exact"/>
        <w:rPr>
          <w:rFonts w:ascii="Arial" w:cs="Arial" w:eastAsia="Arial" w:hAnsi="Arial"/>
          <w:sz w:val="17"/>
          <w:szCs w:val="17"/>
          <w:color w:val="auto"/>
        </w:rPr>
      </w:pPr>
    </w:p>
    <w:p>
      <w:pPr>
        <w:ind w:left="-459" w:firstLine="916"/>
        <w:spacing w:after="0" w:line="281" w:lineRule="auto"/>
        <w:tabs>
          <w:tab w:leader="none" w:pos="687" w:val="left"/>
        </w:tabs>
        <w:numPr>
          <w:ilvl w:val="1"/>
          <w:numId w:val="78"/>
        </w:numPr>
        <w:rPr>
          <w:rFonts w:ascii="Arial" w:cs="Arial" w:eastAsia="Arial" w:hAnsi="Arial"/>
          <w:sz w:val="16"/>
          <w:szCs w:val="16"/>
          <w:color w:val="auto"/>
        </w:rPr>
      </w:pPr>
      <w:r>
        <w:rPr>
          <w:rFonts w:ascii="Arial" w:cs="Arial" w:eastAsia="Arial" w:hAnsi="Arial"/>
          <w:sz w:val="16"/>
          <w:szCs w:val="16"/>
          <w:color w:val="auto"/>
        </w:rPr>
        <w:t xml:space="preserve">(i) All adjustments to the Conversion Price shall be calculated to the nearest 1/10 of a cent. No adjustment in the Conversion Price shall be required if such adjustment would be less than $0.01;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adjustments which by reason of this subparagraph are not required to be made shall be carried forward and taken into account in any subsequent adjustment;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on the Mandatory Conversion Date adjustments to the Conversion Price will be made with respect to any such adjustment carried forward and which has not been taken into account before such date.</w:t>
      </w:r>
    </w:p>
    <w:p>
      <w:pPr>
        <w:spacing w:after="0" w:line="125" w:lineRule="exact"/>
        <w:rPr>
          <w:sz w:val="20"/>
          <w:szCs w:val="20"/>
          <w:color w:val="auto"/>
        </w:rPr>
      </w:pPr>
    </w:p>
    <w:p>
      <w:pPr>
        <w:ind w:left="-459" w:right="60" w:firstLine="459"/>
        <w:spacing w:after="0" w:line="288" w:lineRule="auto"/>
        <w:tabs>
          <w:tab w:leader="none" w:pos="249" w:val="left"/>
        </w:tabs>
        <w:numPr>
          <w:ilvl w:val="0"/>
          <w:numId w:val="79"/>
        </w:numPr>
        <w:rPr>
          <w:rFonts w:ascii="Arial" w:cs="Arial" w:eastAsia="Arial" w:hAnsi="Arial"/>
          <w:sz w:val="16"/>
          <w:szCs w:val="16"/>
          <w:color w:val="auto"/>
        </w:rPr>
      </w:pPr>
      <w:r>
        <w:rPr>
          <w:rFonts w:ascii="Arial" w:cs="Arial" w:eastAsia="Arial" w:hAnsi="Arial"/>
          <w:sz w:val="16"/>
          <w:szCs w:val="16"/>
          <w:color w:val="auto"/>
        </w:rPr>
        <w:t>No adjustment to the Conversion Price shall be made if Holders may participate in the transaction that would otherwise give rise to an adjustment, as a result of holding the Series F Preferred Stock (including without limitation pursuant to Section 4 hereof), without having to convert the Series F Preferred Stock, as if they held the full number of shares of Common Stock into which a share of the Series F Preferred Stock may then be converted.</w:t>
      </w:r>
    </w:p>
    <w:p>
      <w:pPr>
        <w:spacing w:after="0" w:line="119" w:lineRule="exact"/>
        <w:rPr>
          <w:rFonts w:ascii="Arial" w:cs="Arial" w:eastAsia="Arial" w:hAnsi="Arial"/>
          <w:sz w:val="16"/>
          <w:szCs w:val="16"/>
          <w:color w:val="auto"/>
        </w:rPr>
      </w:pPr>
    </w:p>
    <w:p>
      <w:pPr>
        <w:ind w:left="301" w:hanging="301"/>
        <w:spacing w:after="0"/>
        <w:tabs>
          <w:tab w:leader="none" w:pos="301"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Applicable Conversion Price shall not be adjusted:</w:t>
      </w:r>
    </w:p>
    <w:p>
      <w:pPr>
        <w:spacing w:after="0" w:line="189" w:lineRule="exact"/>
        <w:rPr>
          <w:sz w:val="20"/>
          <w:szCs w:val="20"/>
          <w:color w:val="auto"/>
        </w:rPr>
      </w:pPr>
    </w:p>
    <w:p>
      <w:pPr>
        <w:ind w:left="-459" w:right="120" w:firstLine="459"/>
        <w:spacing w:after="0" w:line="309" w:lineRule="auto"/>
        <w:tabs>
          <w:tab w:leader="none" w:pos="277" w:val="left"/>
        </w:tabs>
        <w:numPr>
          <w:ilvl w:val="0"/>
          <w:numId w:val="80"/>
        </w:numPr>
        <w:rPr>
          <w:rFonts w:ascii="Arial" w:cs="Arial" w:eastAsia="Arial" w:hAnsi="Arial"/>
          <w:sz w:val="16"/>
          <w:szCs w:val="16"/>
          <w:color w:val="auto"/>
        </w:rPr>
      </w:pPr>
      <w:r>
        <w:rPr>
          <w:rFonts w:ascii="Arial" w:cs="Arial" w:eastAsia="Arial" w:hAnsi="Arial"/>
          <w:sz w:val="16"/>
          <w:szCs w:val="16"/>
          <w:color w:val="auto"/>
        </w:rPr>
        <w:t>upon the issuance of any shares of Company Common Stock pursuant to any present or future plan providing for the reinvestment of dividends or interest payable on the Corporation’s securities and the investment of additional optional amounts in shares of Company Common Stock under any such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567690</wp:posOffset>
            </wp:positionV>
            <wp:extent cx="725805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921"/>
          </w:cols>
          <w:pgMar w:left="699" w:top="1440" w:right="279" w:bottom="1440" w:gutter="0" w:footer="0" w:header="0"/>
        </w:sectPr>
      </w:pPr>
    </w:p>
    <w:bookmarkStart w:id="107" w:name="page108"/>
    <w:bookmarkEnd w:id="107"/>
    <w:p>
      <w:pPr>
        <w:spacing w:after="0" w:line="200" w:lineRule="exact"/>
        <w:rPr>
          <w:sz w:val="20"/>
          <w:szCs w:val="20"/>
          <w:color w:val="auto"/>
        </w:rPr>
      </w:pPr>
    </w:p>
    <w:p>
      <w:pPr>
        <w:spacing w:after="0" w:line="334" w:lineRule="exact"/>
        <w:rPr>
          <w:sz w:val="20"/>
          <w:szCs w:val="20"/>
          <w:color w:val="auto"/>
        </w:rPr>
      </w:pPr>
    </w:p>
    <w:p>
      <w:pPr>
        <w:ind w:right="380" w:firstLine="459"/>
        <w:spacing w:after="0" w:line="277" w:lineRule="auto"/>
        <w:tabs>
          <w:tab w:leader="none" w:pos="727" w:val="left"/>
        </w:tabs>
        <w:numPr>
          <w:ilvl w:val="0"/>
          <w:numId w:val="81"/>
        </w:numPr>
        <w:rPr>
          <w:rFonts w:ascii="Arial" w:cs="Arial" w:eastAsia="Arial" w:hAnsi="Arial"/>
          <w:sz w:val="17"/>
          <w:szCs w:val="17"/>
          <w:color w:val="auto"/>
        </w:rPr>
      </w:pPr>
      <w:r>
        <w:rPr>
          <w:rFonts w:ascii="Arial" w:cs="Arial" w:eastAsia="Arial" w:hAnsi="Arial"/>
          <w:sz w:val="17"/>
          <w:szCs w:val="17"/>
          <w:color w:val="auto"/>
        </w:rPr>
        <w:t>upon the issuance of any shares of Company Common Stock or rights or warrants to purchase those shares pursuant to any present or future employee, director or consultant benefit plan or program of or assumed by the Corporation or any of its subsidiaries;</w:t>
      </w:r>
    </w:p>
    <w:p>
      <w:pPr>
        <w:spacing w:after="0" w:line="125" w:lineRule="exact"/>
        <w:rPr>
          <w:rFonts w:ascii="Arial" w:cs="Arial" w:eastAsia="Arial" w:hAnsi="Arial"/>
          <w:sz w:val="17"/>
          <w:szCs w:val="17"/>
          <w:color w:val="auto"/>
        </w:rPr>
      </w:pPr>
    </w:p>
    <w:p>
      <w:pPr>
        <w:ind w:right="340" w:firstLine="459"/>
        <w:spacing w:after="0" w:line="277" w:lineRule="auto"/>
        <w:tabs>
          <w:tab w:leader="none" w:pos="727" w:val="left"/>
        </w:tabs>
        <w:numPr>
          <w:ilvl w:val="0"/>
          <w:numId w:val="81"/>
        </w:numPr>
        <w:rPr>
          <w:rFonts w:ascii="Arial" w:cs="Arial" w:eastAsia="Arial" w:hAnsi="Arial"/>
          <w:sz w:val="17"/>
          <w:szCs w:val="17"/>
          <w:color w:val="auto"/>
        </w:rPr>
      </w:pPr>
      <w:r>
        <w:rPr>
          <w:rFonts w:ascii="Arial" w:cs="Arial" w:eastAsia="Arial" w:hAnsi="Arial"/>
          <w:sz w:val="17"/>
          <w:szCs w:val="17"/>
          <w:color w:val="auto"/>
        </w:rPr>
        <w:t>upon the issuance of any shares of Company Common Stock pursuant to any option, warrant, right or exercisable, exchangeable or convertible security outstanding as of the date shares of the Series F Preferred Stock were first issued and not substantially amended thereafter;</w:t>
      </w:r>
    </w:p>
    <w:p>
      <w:pPr>
        <w:spacing w:after="0" w:line="138" w:lineRule="exact"/>
        <w:rPr>
          <w:rFonts w:ascii="Arial" w:cs="Arial" w:eastAsia="Arial" w:hAnsi="Arial"/>
          <w:sz w:val="17"/>
          <w:szCs w:val="17"/>
          <w:color w:val="auto"/>
        </w:rPr>
      </w:pPr>
    </w:p>
    <w:p>
      <w:pPr>
        <w:ind w:left="740" w:hanging="281"/>
        <w:spacing w:after="0"/>
        <w:tabs>
          <w:tab w:leader="none" w:pos="7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for a change in the par value or no par value of Company Common Stock; or</w:t>
      </w:r>
    </w:p>
    <w:p>
      <w:pPr>
        <w:spacing w:after="0" w:line="176" w:lineRule="exact"/>
        <w:rPr>
          <w:rFonts w:ascii="Arial" w:cs="Arial" w:eastAsia="Arial" w:hAnsi="Arial"/>
          <w:sz w:val="17"/>
          <w:szCs w:val="17"/>
          <w:color w:val="auto"/>
        </w:rPr>
      </w:pPr>
    </w:p>
    <w:p>
      <w:pPr>
        <w:ind w:left="720" w:hanging="261"/>
        <w:spacing w:after="0"/>
        <w:tabs>
          <w:tab w:leader="none" w:pos="7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for accrued and unpaid dividends on the Series F Preferred Stock.</w:t>
      </w:r>
    </w:p>
    <w:p>
      <w:pPr>
        <w:spacing w:after="0" w:line="176" w:lineRule="exact"/>
        <w:rPr>
          <w:rFonts w:ascii="Arial" w:cs="Arial" w:eastAsia="Arial" w:hAnsi="Arial"/>
          <w:sz w:val="17"/>
          <w:szCs w:val="17"/>
          <w:color w:val="auto"/>
        </w:rPr>
      </w:pPr>
    </w:p>
    <w:p>
      <w:pPr>
        <w:ind w:firstLine="916"/>
        <w:spacing w:after="0" w:line="295" w:lineRule="auto"/>
        <w:tabs>
          <w:tab w:leader="none" w:pos="1152" w:val="left"/>
        </w:tabs>
        <w:numPr>
          <w:ilvl w:val="1"/>
          <w:numId w:val="81"/>
        </w:numPr>
        <w:rPr>
          <w:rFonts w:ascii="Arial" w:cs="Arial" w:eastAsia="Arial" w:hAnsi="Arial"/>
          <w:sz w:val="15"/>
          <w:szCs w:val="15"/>
          <w:color w:val="auto"/>
        </w:rPr>
      </w:pPr>
      <w:r>
        <w:rPr>
          <w:rFonts w:ascii="Arial" w:cs="Arial" w:eastAsia="Arial" w:hAnsi="Arial"/>
          <w:sz w:val="15"/>
          <w:szCs w:val="15"/>
          <w:color w:val="auto"/>
        </w:rPr>
        <w:t>Whenever the Conversion Price is to be adjusted in accordance with Section 10(a) or Section 10(b), the Corporation shall: (i) compute the Conversion Price in accordance with Section 10(a) or Section 10(b), taking into account the $0.01 threshold set forth in Section 10(c) hereof; (ii) as soon as practicable following the occurrence of an event that requires an adjustment to the Conversion Price pursuant to Section 10(a) or Section 10(b), taking into account the one percent threshold set forth in Section 10(c) hereof (or if the Corporation is not aware of such occurrence, as soon as practicable after becoming so aware), provide, or cause to be provided, a written notice to the Holders of the occurrence of such event; and (iii) as soon as practicable following the determination of the revised Conversion Price in accordance with Section 10(a) or Section 10(b) hereof, provide, or cause to be provided, a written notice to the Holders setting forth in reasonable detail the method by which the adjustment to the Conversion Price was determined and setting forth the revised Conversion Price.</w:t>
      </w:r>
    </w:p>
    <w:p>
      <w:pPr>
        <w:spacing w:after="0" w:line="131" w:lineRule="exact"/>
        <w:rPr>
          <w:sz w:val="20"/>
          <w:szCs w:val="20"/>
          <w:color w:val="auto"/>
        </w:rPr>
      </w:pPr>
    </w:p>
    <w:p>
      <w:pPr>
        <w:ind w:right="560" w:firstLine="914"/>
        <w:spacing w:after="0" w:line="277" w:lineRule="auto"/>
        <w:rPr>
          <w:sz w:val="20"/>
          <w:szCs w:val="20"/>
          <w:color w:val="auto"/>
        </w:rPr>
      </w:pPr>
      <w:r>
        <w:rPr>
          <w:rFonts w:ascii="Arial" w:cs="Arial" w:eastAsia="Arial" w:hAnsi="Arial"/>
          <w:sz w:val="17"/>
          <w:szCs w:val="17"/>
          <w:i w:val="1"/>
          <w:iCs w:val="1"/>
          <w:color w:val="auto"/>
        </w:rPr>
        <w:t>Section 11. Reorganization Events</w:t>
      </w:r>
      <w:r>
        <w:rPr>
          <w:rFonts w:ascii="Arial" w:cs="Arial" w:eastAsia="Arial" w:hAnsi="Arial"/>
          <w:sz w:val="17"/>
          <w:szCs w:val="17"/>
          <w:color w:val="auto"/>
        </w:rPr>
        <w:t>. (a) In the event that, for so long as any shares of Series F Preferred Stock have not been converted and remain</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there occurs:</w:t>
      </w:r>
    </w:p>
    <w:p>
      <w:pPr>
        <w:spacing w:after="0" w:line="126" w:lineRule="exact"/>
        <w:rPr>
          <w:sz w:val="20"/>
          <w:szCs w:val="20"/>
          <w:color w:val="auto"/>
        </w:rPr>
      </w:pPr>
    </w:p>
    <w:p>
      <w:pPr>
        <w:ind w:right="40" w:firstLine="459"/>
        <w:spacing w:after="0" w:line="277" w:lineRule="auto"/>
        <w:tabs>
          <w:tab w:leader="none" w:pos="661"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any consolidation, merger or other similar business combination of the Corporation with or into another Person, in each case pursuant to which the Common Stock will be converted into cash, securities or other property of the Corporation or another Person;</w:t>
      </w:r>
    </w:p>
    <w:p>
      <w:pPr>
        <w:spacing w:after="0" w:line="125" w:lineRule="exact"/>
        <w:rPr>
          <w:rFonts w:ascii="Arial" w:cs="Arial" w:eastAsia="Arial" w:hAnsi="Arial"/>
          <w:sz w:val="17"/>
          <w:szCs w:val="17"/>
          <w:color w:val="auto"/>
        </w:rPr>
      </w:pPr>
    </w:p>
    <w:p>
      <w:pPr>
        <w:ind w:right="340" w:firstLine="459"/>
        <w:spacing w:after="0" w:line="277" w:lineRule="auto"/>
        <w:tabs>
          <w:tab w:leader="none" w:pos="708"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any sale, transfer, lease or conveyance to another Person of all or substantially all of the property and assets of the Corporation, in each case pursuant to which the Common Stock will be converted into cash, securities or other property of the Corporation or another Person;</w:t>
      </w:r>
    </w:p>
    <w:p>
      <w:pPr>
        <w:spacing w:after="0" w:line="138" w:lineRule="exact"/>
        <w:rPr>
          <w:rFonts w:ascii="Arial" w:cs="Arial" w:eastAsia="Arial" w:hAnsi="Arial"/>
          <w:sz w:val="17"/>
          <w:szCs w:val="17"/>
          <w:color w:val="auto"/>
        </w:rPr>
      </w:pPr>
    </w:p>
    <w:p>
      <w:pPr>
        <w:ind w:left="760" w:hanging="301"/>
        <w:spacing w:after="0"/>
        <w:tabs>
          <w:tab w:leader="none" w:pos="7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any reclassification of the Common Stock into securities including securities other than the Common Stock; or</w:t>
      </w:r>
    </w:p>
    <w:p>
      <w:pPr>
        <w:spacing w:after="0" w:line="176" w:lineRule="exact"/>
        <w:rPr>
          <w:rFonts w:ascii="Arial" w:cs="Arial" w:eastAsia="Arial" w:hAnsi="Arial"/>
          <w:sz w:val="17"/>
          <w:szCs w:val="17"/>
          <w:color w:val="auto"/>
        </w:rPr>
      </w:pPr>
    </w:p>
    <w:p>
      <w:pPr>
        <w:ind w:left="740" w:hanging="281"/>
        <w:spacing w:after="0"/>
        <w:tabs>
          <w:tab w:leader="none" w:pos="740" w:val="left"/>
        </w:tabs>
        <w:numPr>
          <w:ilvl w:val="0"/>
          <w:numId w:val="82"/>
        </w:numPr>
        <w:rPr>
          <w:rFonts w:ascii="Arial" w:cs="Arial" w:eastAsia="Arial" w:hAnsi="Arial"/>
          <w:sz w:val="15"/>
          <w:szCs w:val="15"/>
          <w:color w:val="auto"/>
        </w:rPr>
      </w:pPr>
      <w:r>
        <w:rPr>
          <w:rFonts w:ascii="Arial" w:cs="Arial" w:eastAsia="Arial" w:hAnsi="Arial"/>
          <w:sz w:val="15"/>
          <w:szCs w:val="15"/>
          <w:color w:val="auto"/>
        </w:rPr>
        <w:t>any statutory exchange of the outstanding shares of Common Stock for securities of another Person (other than in connection with a merger or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636905</wp:posOffset>
            </wp:positionV>
            <wp:extent cx="725805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8" w:name="page109"/>
    <w:bookmarkEnd w:id="108"/>
    <w:p>
      <w:pPr>
        <w:spacing w:after="0" w:line="200" w:lineRule="exact"/>
        <w:rPr>
          <w:sz w:val="20"/>
          <w:szCs w:val="20"/>
          <w:color w:val="auto"/>
        </w:rPr>
      </w:pPr>
    </w:p>
    <w:p>
      <w:pPr>
        <w:spacing w:after="0" w:line="334"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(any such event specified in this Section 11(a), a “</w:t>
      </w:r>
      <w:r>
        <w:rPr>
          <w:rFonts w:ascii="Arial" w:cs="Arial" w:eastAsia="Arial" w:hAnsi="Arial"/>
          <w:sz w:val="15"/>
          <w:szCs w:val="15"/>
          <w:u w:val="single" w:color="auto"/>
          <w:color w:val="auto"/>
        </w:rPr>
        <w:t>Reorganization Event</w:t>
      </w:r>
      <w:r>
        <w:rPr>
          <w:rFonts w:ascii="Arial" w:cs="Arial" w:eastAsia="Arial" w:hAnsi="Arial"/>
          <w:sz w:val="15"/>
          <w:szCs w:val="15"/>
          <w:color w:val="auto"/>
        </w:rPr>
        <w:t>”); then each share of such Holder’s Series F Preferred Stock outstanding immediately prior to such Reorganization Event shall remain outstanding but shall automatically convert, effective as of the close of business on the Mandatory Conversion Date with respect to the shares of Series F Preferred Stock of such Holder, into the type and amount of securities, cash and other property receivable in such Reorganization Event by the holder (excluding the counterparty to the Reorganization Event or an Affiliate of such counterparty) of the greater of (i) the number of shares of Common Stock into which one share of Series F Preferred Stock would then be convertible assuming the receipt of the Stockholder Approvals and (ii) the number of shares of Common Stock that, if one share of Series F Preferred Stock were converted into such number of shares, would result in the fair market value of the securities, cash and other property receivable in such Reorganization Event by a Holder of such number of shares equaling the Liquidation Preference plus, in each case of clause</w:t>
      </w:r>
    </w:p>
    <w:p>
      <w:pPr>
        <w:spacing w:after="0" w:line="3" w:lineRule="exact"/>
        <w:rPr>
          <w:sz w:val="20"/>
          <w:szCs w:val="20"/>
          <w:color w:val="auto"/>
        </w:rPr>
      </w:pPr>
    </w:p>
    <w:p>
      <w:pPr>
        <w:ind w:right="220" w:firstLine="3"/>
        <w:spacing w:after="0" w:line="276" w:lineRule="auto"/>
        <w:tabs>
          <w:tab w:leader="none" w:pos="204"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and (ii) above, all accrued and unpaid dividends, whether or not declared, up to, but excluding such date (such securities, cash and other property, the “</w:t>
      </w:r>
      <w:r>
        <w:rPr>
          <w:rFonts w:ascii="Arial" w:cs="Arial" w:eastAsia="Arial" w:hAnsi="Arial"/>
          <w:sz w:val="16"/>
          <w:szCs w:val="16"/>
          <w:u w:val="single" w:color="auto"/>
          <w:color w:val="auto"/>
        </w:rPr>
        <w:t>Exchange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Property</w:t>
      </w:r>
      <w:r>
        <w:rPr>
          <w:rFonts w:ascii="Arial" w:cs="Arial" w:eastAsia="Arial" w:hAnsi="Arial"/>
          <w:sz w:val="16"/>
          <w:szCs w:val="16"/>
          <w:color w:val="auto"/>
        </w:rPr>
        <w:t>”). In the event that a Reorganization Event referenced in Section 11(a) involves common stock as all or part of the consideration being offered in a fixed exchange ratio transaction, the fair market value per share of such common stock shall be determined by reference to the average of the closing prices of such common stock for the ten Trading Day period ending immediately prior to the consummation of such Reorganization Event.</w:t>
      </w:r>
    </w:p>
    <w:p>
      <w:pPr>
        <w:spacing w:after="0" w:line="129" w:lineRule="exact"/>
        <w:rPr>
          <w:rFonts w:ascii="Arial" w:cs="Arial" w:eastAsia="Arial" w:hAnsi="Arial"/>
          <w:sz w:val="16"/>
          <w:szCs w:val="16"/>
          <w:color w:val="auto"/>
        </w:rPr>
      </w:pPr>
    </w:p>
    <w:p>
      <w:pPr>
        <w:ind w:right="20" w:firstLine="916"/>
        <w:spacing w:after="0" w:line="277" w:lineRule="auto"/>
        <w:tabs>
          <w:tab w:leader="none" w:pos="1156" w:val="left"/>
        </w:tabs>
        <w:numPr>
          <w:ilvl w:val="1"/>
          <w:numId w:val="83"/>
        </w:numPr>
        <w:rPr>
          <w:rFonts w:ascii="Arial" w:cs="Arial" w:eastAsia="Arial" w:hAnsi="Arial"/>
          <w:sz w:val="17"/>
          <w:szCs w:val="17"/>
          <w:color w:val="auto"/>
        </w:rPr>
      </w:pPr>
      <w:r>
        <w:rPr>
          <w:rFonts w:ascii="Arial" w:cs="Arial" w:eastAsia="Arial" w:hAnsi="Arial"/>
          <w:sz w:val="17"/>
          <w:szCs w:val="17"/>
          <w:color w:val="auto"/>
        </w:rPr>
        <w:t>In the event that holders of the shares of Common Stock have the opportunity to elect the form of consideration to be received in such transaction, the Holders shall likewise be allowed to make such an election.</w:t>
      </w:r>
    </w:p>
    <w:p>
      <w:pPr>
        <w:spacing w:after="0" w:line="138" w:lineRule="exact"/>
        <w:rPr>
          <w:rFonts w:ascii="Arial" w:cs="Arial" w:eastAsia="Arial" w:hAnsi="Arial"/>
          <w:sz w:val="17"/>
          <w:szCs w:val="17"/>
          <w:color w:val="auto"/>
        </w:rPr>
      </w:pPr>
    </w:p>
    <w:p>
      <w:pPr>
        <w:ind w:right="100" w:firstLine="916"/>
        <w:spacing w:after="0" w:line="309" w:lineRule="auto"/>
        <w:tabs>
          <w:tab w:leader="none" w:pos="1143"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above provisions of this Section 11 shall similarly apply to successive Reorganization Events and the provisions of Section 10 shall apply to any shares of capital stock of the Corporation (or any successor) received by the holders of the Company Common Stock in any such Reorganization Event.</w:t>
      </w:r>
    </w:p>
    <w:p>
      <w:pPr>
        <w:spacing w:after="0" w:line="103" w:lineRule="exact"/>
        <w:rPr>
          <w:rFonts w:ascii="Arial" w:cs="Arial" w:eastAsia="Arial" w:hAnsi="Arial"/>
          <w:sz w:val="16"/>
          <w:szCs w:val="16"/>
          <w:color w:val="auto"/>
        </w:rPr>
      </w:pPr>
    </w:p>
    <w:p>
      <w:pPr>
        <w:ind w:firstLine="916"/>
        <w:spacing w:after="0" w:line="264" w:lineRule="auto"/>
        <w:tabs>
          <w:tab w:leader="none" w:pos="1152" w:val="left"/>
        </w:tabs>
        <w:numPr>
          <w:ilvl w:val="1"/>
          <w:numId w:val="83"/>
        </w:numPr>
        <w:rPr>
          <w:rFonts w:ascii="Arial" w:cs="Arial" w:eastAsia="Arial" w:hAnsi="Arial"/>
          <w:sz w:val="17"/>
          <w:szCs w:val="17"/>
          <w:color w:val="auto"/>
        </w:rPr>
      </w:pPr>
      <w:r>
        <w:rPr>
          <w:rFonts w:ascii="Arial" w:cs="Arial" w:eastAsia="Arial" w:hAnsi="Arial"/>
          <w:sz w:val="17"/>
          <w:szCs w:val="17"/>
          <w:color w:val="auto"/>
        </w:rPr>
        <w:t>The Corporation (or any successor) shall, within seven days of the consummation of any Reorganization Event, provide written notice to the Holders of such consummation of such event and of the kind and amount of the cash, securities or other property that constitutes the Exchange Property. Failure to deliver such notice shall not affect the operation of this Section 11.</w:t>
      </w:r>
    </w:p>
    <w:p>
      <w:pPr>
        <w:spacing w:after="0" w:line="136" w:lineRule="exact"/>
        <w:rPr>
          <w:rFonts w:ascii="Arial" w:cs="Arial" w:eastAsia="Arial" w:hAnsi="Arial"/>
          <w:sz w:val="17"/>
          <w:szCs w:val="17"/>
          <w:color w:val="auto"/>
        </w:rPr>
      </w:pPr>
    </w:p>
    <w:p>
      <w:pPr>
        <w:jc w:val="both"/>
        <w:ind w:right="100" w:firstLine="916"/>
        <w:spacing w:after="0" w:line="264" w:lineRule="auto"/>
        <w:tabs>
          <w:tab w:leader="none" w:pos="1143" w:val="left"/>
        </w:tabs>
        <w:numPr>
          <w:ilvl w:val="1"/>
          <w:numId w:val="83"/>
        </w:numPr>
        <w:rPr>
          <w:rFonts w:ascii="Arial" w:cs="Arial" w:eastAsia="Arial" w:hAnsi="Arial"/>
          <w:sz w:val="17"/>
          <w:szCs w:val="17"/>
          <w:color w:val="auto"/>
        </w:rPr>
      </w:pPr>
      <w:r>
        <w:rPr>
          <w:rFonts w:ascii="Arial" w:cs="Arial" w:eastAsia="Arial" w:hAnsi="Arial"/>
          <w:sz w:val="17"/>
          <w:szCs w:val="17"/>
          <w:color w:val="auto"/>
        </w:rPr>
        <w:t>The Corporation shall not enter into any agreement for a transaction constituting a Reorganization Event unless such agreement provides for or does not interfere with or prevent (as applicable) conversion of the Series F Preferred Stock into the Exchange Property in a manner that is consistent with and gives effect to this Section 11.</w:t>
      </w:r>
    </w:p>
    <w:p>
      <w:pPr>
        <w:spacing w:after="0" w:line="150" w:lineRule="exact"/>
        <w:rPr>
          <w:sz w:val="20"/>
          <w:szCs w:val="20"/>
          <w:color w:val="auto"/>
        </w:rPr>
      </w:pPr>
    </w:p>
    <w:p>
      <w:pPr>
        <w:ind w:right="200" w:firstLine="914"/>
        <w:spacing w:after="0" w:line="277" w:lineRule="auto"/>
        <w:rPr>
          <w:sz w:val="20"/>
          <w:szCs w:val="20"/>
          <w:color w:val="auto"/>
        </w:rPr>
      </w:pPr>
      <w:r>
        <w:rPr>
          <w:rFonts w:ascii="Arial" w:cs="Arial" w:eastAsia="Arial" w:hAnsi="Arial"/>
          <w:sz w:val="17"/>
          <w:szCs w:val="17"/>
          <w:i w:val="1"/>
          <w:iCs w:val="1"/>
          <w:color w:val="auto"/>
        </w:rPr>
        <w:t>Section 12. Voting Rights</w:t>
      </w:r>
      <w:r>
        <w:rPr>
          <w:rFonts w:ascii="Arial" w:cs="Arial" w:eastAsia="Arial" w:hAnsi="Arial"/>
          <w:sz w:val="17"/>
          <w:szCs w:val="17"/>
          <w:color w:val="auto"/>
        </w:rPr>
        <w:t>. (a) Holders will not have any voting rights, including the right to elect any directors, except (i) voting rights, if any, required</w:t>
      </w:r>
      <w:r>
        <w:rPr>
          <w:rFonts w:ascii="Arial" w:cs="Arial" w:eastAsia="Arial" w:hAnsi="Arial"/>
          <w:sz w:val="17"/>
          <w:szCs w:val="17"/>
          <w:i w:val="1"/>
          <w:iCs w:val="1"/>
          <w:color w:val="auto"/>
        </w:rPr>
        <w:t xml:space="preserve"> </w:t>
      </w:r>
      <w:r>
        <w:rPr>
          <w:rFonts w:ascii="Arial" w:cs="Arial" w:eastAsia="Arial" w:hAnsi="Arial"/>
          <w:sz w:val="17"/>
          <w:szCs w:val="17"/>
          <w:color w:val="auto"/>
        </w:rPr>
        <w:t>by law, and (ii) voting rights, if any, described in this Section 12.</w:t>
      </w:r>
    </w:p>
    <w:p>
      <w:pPr>
        <w:spacing w:after="0" w:line="126" w:lineRule="exact"/>
        <w:rPr>
          <w:sz w:val="20"/>
          <w:szCs w:val="20"/>
          <w:color w:val="auto"/>
        </w:rPr>
      </w:pPr>
    </w:p>
    <w:p>
      <w:pPr>
        <w:ind w:right="120" w:firstLine="916"/>
        <w:spacing w:after="0" w:line="288" w:lineRule="auto"/>
        <w:tabs>
          <w:tab w:leader="none" w:pos="1156" w:val="left"/>
        </w:tabs>
        <w:numPr>
          <w:ilvl w:val="0"/>
          <w:numId w:val="84"/>
        </w:numPr>
        <w:rPr>
          <w:rFonts w:ascii="Arial" w:cs="Arial" w:eastAsia="Arial" w:hAnsi="Arial"/>
          <w:sz w:val="16"/>
          <w:szCs w:val="16"/>
          <w:color w:val="auto"/>
        </w:rPr>
      </w:pPr>
      <w:r>
        <w:rPr>
          <w:rFonts w:ascii="Arial" w:cs="Arial" w:eastAsia="Arial" w:hAnsi="Arial"/>
          <w:sz w:val="16"/>
          <w:szCs w:val="16"/>
          <w:color w:val="auto"/>
        </w:rPr>
        <w:t>So long as any shares of Series F Preferred Stock are outstanding, the vote or consent of the Holders of a majority of the shares of Series F Preferred Stock at the time outstanding, voting as a single class, given in person or by proxy, either in writing without a meeting or by vote at any meeting called for the purpose, will be necessary for effecting or validating any of the following actions, whether or not such approval is required by Georgia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586105</wp:posOffset>
            </wp:positionV>
            <wp:extent cx="7258050"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9" w:name="page110"/>
    <w:bookmarkEnd w:id="109"/>
    <w:p>
      <w:pPr>
        <w:spacing w:after="0" w:line="200" w:lineRule="exact"/>
        <w:rPr>
          <w:sz w:val="20"/>
          <w:szCs w:val="20"/>
          <w:color w:val="auto"/>
        </w:rPr>
      </w:pPr>
    </w:p>
    <w:p>
      <w:pPr>
        <w:spacing w:after="0" w:line="334" w:lineRule="exact"/>
        <w:rPr>
          <w:sz w:val="20"/>
          <w:szCs w:val="20"/>
          <w:color w:val="auto"/>
        </w:rPr>
      </w:pPr>
    </w:p>
    <w:p>
      <w:pPr>
        <w:ind w:firstLine="459"/>
        <w:spacing w:after="0" w:line="264" w:lineRule="auto"/>
        <w:tabs>
          <w:tab w:leader="none" w:pos="661"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any amendment, alteration or repeal (including by means of a merger, consolidation or otherwise) of any provision of the Articles of Incorporation (including this Certificate of Designations) or the Corporation’s bylaws that would alter or change the rights, preferences or privileges of the Series F Preferred Stock so as to affect them adversely; or</w:t>
      </w:r>
    </w:p>
    <w:p>
      <w:pPr>
        <w:spacing w:after="0" w:line="136" w:lineRule="exact"/>
        <w:rPr>
          <w:rFonts w:ascii="Arial" w:cs="Arial" w:eastAsia="Arial" w:hAnsi="Arial"/>
          <w:sz w:val="17"/>
          <w:szCs w:val="17"/>
          <w:color w:val="auto"/>
        </w:rPr>
      </w:pPr>
    </w:p>
    <w:p>
      <w:pPr>
        <w:jc w:val="both"/>
        <w:ind w:right="200" w:firstLine="459"/>
        <w:spacing w:after="0" w:line="260" w:lineRule="auto"/>
        <w:tabs>
          <w:tab w:leader="none" w:pos="708"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any amendment or alteration (including by means of a merger, consolidation or otherwise) of the Corporation’s Articles of Incorporation to authorize, or create, or increase the authorized amount of, any shares of, or any securities convertible into shares of, any class or series of the Corporation’s capital stock ranking equally with or senior to the Series F Preferred Stock in the payment of dividends or in the distribution of assets on any liquidation, dissolution or winding up of the Corporation.</w:t>
      </w:r>
    </w:p>
    <w:p>
      <w:pPr>
        <w:spacing w:after="0" w:line="153"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 creation and issuance, or an increase in the authorized or issued amount, of any series of preferred stock or any securities convertible into</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stock ranking junior to the Series F Preferred Stock with respect to the payment of dividends (whether such dividends are cumulative or non-cumulative) and/or the distribution of assets upon the Corporation’s liquidation, dissolution or winding up will not, in and of itself, be deemed to adversely affect rights, preferences or privileges of the Series F Preferred Stock and, notwithstanding any provision of Georgia law, Holders will have no right to vote solely by reason of such an increase, creation or issuance.</w:t>
      </w:r>
    </w:p>
    <w:p>
      <w:pPr>
        <w:spacing w:after="0" w:line="142" w:lineRule="exact"/>
        <w:rPr>
          <w:sz w:val="20"/>
          <w:szCs w:val="20"/>
          <w:color w:val="auto"/>
        </w:rPr>
      </w:pPr>
    </w:p>
    <w:p>
      <w:pPr>
        <w:ind w:right="140" w:firstLine="916"/>
        <w:spacing w:after="0" w:line="309" w:lineRule="auto"/>
        <w:tabs>
          <w:tab w:leader="none" w:pos="1146" w:val="left"/>
        </w:tabs>
        <w:numPr>
          <w:ilvl w:val="0"/>
          <w:numId w:val="86"/>
        </w:numPr>
        <w:rPr>
          <w:rFonts w:ascii="Arial" w:cs="Arial" w:eastAsia="Arial" w:hAnsi="Arial"/>
          <w:sz w:val="16"/>
          <w:szCs w:val="16"/>
          <w:color w:val="auto"/>
        </w:rPr>
      </w:pPr>
      <w:r>
        <w:rPr>
          <w:rFonts w:ascii="Arial" w:cs="Arial" w:eastAsia="Arial" w:hAnsi="Arial"/>
          <w:sz w:val="16"/>
          <w:szCs w:val="16"/>
          <w:color w:val="auto"/>
        </w:rPr>
        <w:t>Notwithstanding the foregoing, Holders shall not have any voting rights if, at or prior to the effective time of the act with respect to which such vote would otherwise be required, all outstanding shares of Series F Preferred Stock shall have been converted into shares of Common Stock.</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Section 13. Fractional Shares</w:t>
      </w:r>
      <w:r>
        <w:rPr>
          <w:rFonts w:ascii="Arial" w:cs="Arial" w:eastAsia="Arial" w:hAnsi="Arial"/>
          <w:sz w:val="17"/>
          <w:szCs w:val="17"/>
          <w:color w:val="auto"/>
        </w:rPr>
        <w:t>.</w:t>
      </w:r>
    </w:p>
    <w:p>
      <w:pPr>
        <w:spacing w:after="0" w:line="189" w:lineRule="exact"/>
        <w:rPr>
          <w:sz w:val="20"/>
          <w:szCs w:val="20"/>
          <w:color w:val="auto"/>
        </w:rPr>
      </w:pPr>
    </w:p>
    <w:p>
      <w:pPr>
        <w:ind w:left="1140" w:hanging="224"/>
        <w:spacing w:after="0"/>
        <w:tabs>
          <w:tab w:leader="none" w:pos="11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No fractional shares of Common Stock will be issued as a result of any conversion of shares of Series F Preferred Stock.</w:t>
      </w:r>
    </w:p>
    <w:p>
      <w:pPr>
        <w:spacing w:after="0" w:line="176" w:lineRule="exact"/>
        <w:rPr>
          <w:rFonts w:ascii="Arial" w:cs="Arial" w:eastAsia="Arial" w:hAnsi="Arial"/>
          <w:sz w:val="17"/>
          <w:szCs w:val="17"/>
          <w:color w:val="auto"/>
        </w:rPr>
      </w:pPr>
    </w:p>
    <w:p>
      <w:pPr>
        <w:ind w:right="360" w:firstLine="916"/>
        <w:spacing w:after="0" w:line="264" w:lineRule="auto"/>
        <w:tabs>
          <w:tab w:leader="none" w:pos="1156"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 lieu of any fractional share of Common Stock otherwise issuable in respect of any mandatory conversion pursuant to Section 8 hereof, the Corporation shall pay an amount in cash (computed to the nearest cent) equal to the same fraction of the Closing Price of the Common Stock determined as of the second Trading Day immediately preceding the Mandatory Conversion Date.</w:t>
      </w:r>
    </w:p>
    <w:p>
      <w:pPr>
        <w:spacing w:after="0" w:line="136" w:lineRule="exact"/>
        <w:rPr>
          <w:rFonts w:ascii="Arial" w:cs="Arial" w:eastAsia="Arial" w:hAnsi="Arial"/>
          <w:sz w:val="17"/>
          <w:szCs w:val="17"/>
          <w:color w:val="auto"/>
        </w:rPr>
      </w:pPr>
    </w:p>
    <w:p>
      <w:pPr>
        <w:jc w:val="both"/>
        <w:ind w:right="140" w:firstLine="916"/>
        <w:spacing w:after="0" w:line="346" w:lineRule="auto"/>
        <w:tabs>
          <w:tab w:leader="none" w:pos="1146" w:val="left"/>
        </w:tabs>
        <w:numPr>
          <w:ilvl w:val="0"/>
          <w:numId w:val="87"/>
        </w:numPr>
        <w:rPr>
          <w:rFonts w:ascii="Arial" w:cs="Arial" w:eastAsia="Arial" w:hAnsi="Arial"/>
          <w:sz w:val="15"/>
          <w:szCs w:val="15"/>
          <w:color w:val="auto"/>
        </w:rPr>
      </w:pPr>
      <w:r>
        <w:rPr>
          <w:rFonts w:ascii="Arial" w:cs="Arial" w:eastAsia="Arial" w:hAnsi="Arial"/>
          <w:sz w:val="15"/>
          <w:szCs w:val="15"/>
          <w:color w:val="auto"/>
        </w:rPr>
        <w:t>If more than one share of the Series F Preferred Stock is surrendered for conversion at one time by or for the same Holder, the number of full shares of Common Stock issuable upon conversion thereof shall be computed on the basis of the aggregate number of shares of the Series F Preferred Stock so surrendered.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560705</wp:posOffset>
            </wp:positionV>
            <wp:extent cx="725805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0" w:name="page111"/>
    <w:bookmarkEnd w:id="110"/>
    <w:p>
      <w:pPr>
        <w:spacing w:after="0" w:line="200" w:lineRule="exact"/>
        <w:rPr>
          <w:sz w:val="20"/>
          <w:szCs w:val="20"/>
          <w:color w:val="auto"/>
        </w:rPr>
      </w:pPr>
    </w:p>
    <w:p>
      <w:pPr>
        <w:spacing w:after="0" w:line="334" w:lineRule="exact"/>
        <w:rPr>
          <w:sz w:val="20"/>
          <w:szCs w:val="20"/>
          <w:color w:val="auto"/>
        </w:rPr>
      </w:pPr>
    </w:p>
    <w:p>
      <w:pPr>
        <w:ind w:left="4"/>
        <w:spacing w:after="0"/>
        <w:rPr>
          <w:sz w:val="20"/>
          <w:szCs w:val="20"/>
          <w:color w:val="auto"/>
        </w:rPr>
      </w:pPr>
      <w:r>
        <w:rPr>
          <w:rFonts w:ascii="Arial" w:cs="Arial" w:eastAsia="Arial" w:hAnsi="Arial"/>
          <w:sz w:val="17"/>
          <w:szCs w:val="17"/>
          <w:i w:val="1"/>
          <w:iCs w:val="1"/>
          <w:color w:val="auto"/>
        </w:rPr>
        <w:t>Section 14. Reservation of Common Stock.</w:t>
      </w:r>
    </w:p>
    <w:p>
      <w:pPr>
        <w:spacing w:after="0" w:line="176" w:lineRule="exact"/>
        <w:rPr>
          <w:sz w:val="20"/>
          <w:szCs w:val="20"/>
          <w:color w:val="auto"/>
        </w:rPr>
      </w:pPr>
    </w:p>
    <w:p>
      <w:pPr>
        <w:ind w:left="-916" w:right="40" w:firstLine="916"/>
        <w:spacing w:after="0" w:line="256" w:lineRule="auto"/>
        <w:tabs>
          <w:tab w:leader="none" w:pos="230" w:val="left"/>
        </w:tabs>
        <w:numPr>
          <w:ilvl w:val="0"/>
          <w:numId w:val="88"/>
        </w:numPr>
        <w:rPr>
          <w:rFonts w:ascii="Arial" w:cs="Arial" w:eastAsia="Arial" w:hAnsi="Arial"/>
          <w:sz w:val="17"/>
          <w:szCs w:val="17"/>
          <w:color w:val="auto"/>
        </w:rPr>
      </w:pPr>
      <w:r>
        <w:rPr>
          <w:rFonts w:ascii="Arial" w:cs="Arial" w:eastAsia="Arial" w:hAnsi="Arial"/>
          <w:sz w:val="17"/>
          <w:szCs w:val="17"/>
          <w:color w:val="auto"/>
        </w:rPr>
        <w:t>Following the receipt of the Stockholder Approvals, the Corporation shall at all times reserve and keep available out of its authorized and unissued Common Stock or shares acquired by the Corporation, solely for issuance upon the conversion of shares of Series F Preferred Stock as provided in this Certificate of Designations free from any preemptive or other similar rights, such number of shares of Common Stock as shall from time to time be issuable upon the conversion of all the shares of Series F Preferred Stock then outstanding. For purposes of this Section 14(a), the number of shares of Common Stock that shall be deliverable upon the conversion of all outstanding shares of Series F Preferred Stock shall be computed as if at the time of computation all such outstanding shares were held by a single Holder.</w:t>
      </w:r>
    </w:p>
    <w:p>
      <w:pPr>
        <w:spacing w:after="0" w:line="159" w:lineRule="exact"/>
        <w:rPr>
          <w:rFonts w:ascii="Arial" w:cs="Arial" w:eastAsia="Arial" w:hAnsi="Arial"/>
          <w:sz w:val="17"/>
          <w:szCs w:val="17"/>
          <w:color w:val="auto"/>
        </w:rPr>
      </w:pPr>
    </w:p>
    <w:p>
      <w:pPr>
        <w:ind w:left="-916" w:firstLine="916"/>
        <w:spacing w:after="0" w:line="264" w:lineRule="auto"/>
        <w:tabs>
          <w:tab w:leader="none" w:pos="239" w:val="left"/>
        </w:tabs>
        <w:numPr>
          <w:ilvl w:val="0"/>
          <w:numId w:val="88"/>
        </w:numPr>
        <w:rPr>
          <w:rFonts w:ascii="Arial" w:cs="Arial" w:eastAsia="Arial" w:hAnsi="Arial"/>
          <w:sz w:val="17"/>
          <w:szCs w:val="17"/>
          <w:color w:val="auto"/>
        </w:rPr>
      </w:pPr>
      <w:r>
        <w:rPr>
          <w:rFonts w:ascii="Arial" w:cs="Arial" w:eastAsia="Arial" w:hAnsi="Arial"/>
          <w:sz w:val="17"/>
          <w:szCs w:val="17"/>
          <w:color w:val="auto"/>
        </w:rPr>
        <w:t>Notwithstanding the foregoing, the Corporation shall be entitled to deliver upon conversion of shares of Series F Preferred Stock, as herein provided, shares of Common Stock acquired by the Corporation (in lieu of the issuance of authorized and unissued shares of Common Stock), so long as any such acquired shares are free and clear of all liens, charges, security interests or encumbrances.</w:t>
      </w:r>
    </w:p>
    <w:p>
      <w:pPr>
        <w:spacing w:after="0" w:line="136" w:lineRule="exact"/>
        <w:rPr>
          <w:rFonts w:ascii="Arial" w:cs="Arial" w:eastAsia="Arial" w:hAnsi="Arial"/>
          <w:sz w:val="17"/>
          <w:szCs w:val="17"/>
          <w:color w:val="auto"/>
        </w:rPr>
      </w:pPr>
    </w:p>
    <w:p>
      <w:pPr>
        <w:ind w:left="-916" w:right="140" w:firstLine="916"/>
        <w:spacing w:after="0" w:line="277" w:lineRule="auto"/>
        <w:tabs>
          <w:tab w:leader="none" w:pos="2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All shares of Common Stock delivered upon conversion of the Series F Preferred Stock shall be duly authorized, validly issued, fully paid and non-assessable, free and clear of all liens, claims, security interests and other encumbrances.</w:t>
      </w:r>
    </w:p>
    <w:p>
      <w:pPr>
        <w:spacing w:after="0" w:line="125" w:lineRule="exact"/>
        <w:rPr>
          <w:rFonts w:ascii="Arial" w:cs="Arial" w:eastAsia="Arial" w:hAnsi="Arial"/>
          <w:sz w:val="17"/>
          <w:szCs w:val="17"/>
          <w:color w:val="auto"/>
        </w:rPr>
      </w:pPr>
    </w:p>
    <w:p>
      <w:pPr>
        <w:ind w:left="-916" w:right="80" w:firstLine="916"/>
        <w:spacing w:after="0" w:line="264" w:lineRule="auto"/>
        <w:tabs>
          <w:tab w:leader="none" w:pos="239" w:val="left"/>
        </w:tabs>
        <w:numPr>
          <w:ilvl w:val="0"/>
          <w:numId w:val="88"/>
        </w:numPr>
        <w:rPr>
          <w:rFonts w:ascii="Arial" w:cs="Arial" w:eastAsia="Arial" w:hAnsi="Arial"/>
          <w:sz w:val="17"/>
          <w:szCs w:val="17"/>
          <w:color w:val="auto"/>
        </w:rPr>
      </w:pPr>
      <w:r>
        <w:rPr>
          <w:rFonts w:ascii="Arial" w:cs="Arial" w:eastAsia="Arial" w:hAnsi="Arial"/>
          <w:sz w:val="17"/>
          <w:szCs w:val="17"/>
          <w:color w:val="auto"/>
        </w:rPr>
        <w:t>Prior to the delivery of any securities that the Corporation shall be obligated to deliver upon conversion of the Series F Preferred Stock, the Corporation shall use its reasonable best efforts to comply with all federal and state laws and regulations thereunder requiring the registration of such securities with, or any approval of or consent to the delivery thereof by, any governmental authority.</w:t>
      </w:r>
    </w:p>
    <w:p>
      <w:pPr>
        <w:spacing w:after="0" w:line="149" w:lineRule="exact"/>
        <w:rPr>
          <w:rFonts w:ascii="Arial" w:cs="Arial" w:eastAsia="Arial" w:hAnsi="Arial"/>
          <w:sz w:val="17"/>
          <w:szCs w:val="17"/>
          <w:color w:val="auto"/>
        </w:rPr>
      </w:pPr>
    </w:p>
    <w:p>
      <w:pPr>
        <w:ind w:left="-916" w:right="20" w:firstLine="916"/>
        <w:spacing w:after="0" w:line="260" w:lineRule="auto"/>
        <w:tabs>
          <w:tab w:leader="none" w:pos="227"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Corporation hereby covenants and agrees that, if at any time the Common Stock shall be listed on The NASDAQ Global Select Market or any other national securities exchange or automated quotation system, the Corporation will, if permitted by the rules of such exchange or automated quotation system, list and keep listed, so long as the Common Stock shall be so listed on such exchange or automated quotation system, all the Common Stock issuable upon conversion of the Series F Preferred Stock.</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7"/>
          <w:szCs w:val="17"/>
          <w:i w:val="1"/>
          <w:iCs w:val="1"/>
          <w:color w:val="auto"/>
        </w:rPr>
        <w:t>Section 15. Replacement Certificates</w:t>
      </w:r>
      <w:r>
        <w:rPr>
          <w:rFonts w:ascii="Arial" w:cs="Arial" w:eastAsia="Arial" w:hAnsi="Arial"/>
          <w:sz w:val="17"/>
          <w:szCs w:val="17"/>
          <w:color w:val="auto"/>
        </w:rPr>
        <w:t>.</w:t>
      </w:r>
    </w:p>
    <w:p>
      <w:pPr>
        <w:spacing w:after="0" w:line="176" w:lineRule="exact"/>
        <w:rPr>
          <w:sz w:val="20"/>
          <w:szCs w:val="20"/>
          <w:color w:val="auto"/>
        </w:rPr>
      </w:pPr>
    </w:p>
    <w:p>
      <w:pPr>
        <w:jc w:val="both"/>
        <w:ind w:left="-916" w:right="20" w:firstLine="916"/>
        <w:spacing w:after="0" w:line="264" w:lineRule="auto"/>
        <w:tabs>
          <w:tab w:leader="none" w:pos="227"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Corporation shall replace any mutilated certificate at the Holder’s expense upon surrender of that certificate to the Corporation. The Corporation shall replace certificates that become destroyed, stolen or lost at the Holder’s expense upon delivery to the Corporation of satisfactory evidence that the certificate has been destroyed, stolen or lost, together with any indemnity that may be required by the Corporation.</w:t>
      </w:r>
    </w:p>
    <w:p>
      <w:pPr>
        <w:spacing w:after="0" w:line="149" w:lineRule="exact"/>
        <w:rPr>
          <w:rFonts w:ascii="Arial" w:cs="Arial" w:eastAsia="Arial" w:hAnsi="Arial"/>
          <w:sz w:val="17"/>
          <w:szCs w:val="17"/>
          <w:color w:val="auto"/>
        </w:rPr>
      </w:pPr>
    </w:p>
    <w:p>
      <w:pPr>
        <w:ind w:left="-916" w:right="100" w:firstLine="916"/>
        <w:spacing w:after="0" w:line="315" w:lineRule="auto"/>
        <w:tabs>
          <w:tab w:leader="none" w:pos="236"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Corporation shall not be required to issue any certificates representing the Series F Preferred Stock on or after the Mandatory Conversion Date. In place of the delivery of a replacement certificate following the Mandatory Conversion Date, the Corporation, upon delivery of the evidence and indemnity described in clause (a) above, shall deliver the shares of Common Stock pursuant to the terms of the Series F Preferred Stock formerly evidenced by the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567690</wp:posOffset>
            </wp:positionV>
            <wp:extent cx="725805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444"/>
          </w:cols>
          <w:pgMar w:left="1156" w:top="1440" w:right="299" w:bottom="1440" w:gutter="0" w:footer="0" w:header="0"/>
        </w:sectPr>
      </w:pPr>
    </w:p>
    <w:bookmarkStart w:id="111" w:name="page112"/>
    <w:bookmarkEnd w:id="111"/>
    <w:p>
      <w:pPr>
        <w:spacing w:after="0" w:line="200" w:lineRule="exact"/>
        <w:rPr>
          <w:sz w:val="20"/>
          <w:szCs w:val="20"/>
          <w:color w:val="auto"/>
        </w:rPr>
      </w:pPr>
    </w:p>
    <w:p>
      <w:pPr>
        <w:spacing w:after="0" w:line="333" w:lineRule="exact"/>
        <w:rPr>
          <w:sz w:val="20"/>
          <w:szCs w:val="20"/>
          <w:color w:val="auto"/>
        </w:rPr>
      </w:pPr>
    </w:p>
    <w:p>
      <w:pPr>
        <w:ind w:left="917"/>
        <w:spacing w:after="0"/>
        <w:rPr>
          <w:sz w:val="20"/>
          <w:szCs w:val="20"/>
          <w:color w:val="auto"/>
        </w:rPr>
      </w:pPr>
      <w:r>
        <w:rPr>
          <w:rFonts w:ascii="Arial" w:cs="Arial" w:eastAsia="Arial" w:hAnsi="Arial"/>
          <w:sz w:val="17"/>
          <w:szCs w:val="17"/>
          <w:i w:val="1"/>
          <w:iCs w:val="1"/>
          <w:color w:val="auto"/>
        </w:rPr>
        <w:t>Section 16. Miscellaneous</w:t>
      </w:r>
      <w:r>
        <w:rPr>
          <w:rFonts w:ascii="Arial" w:cs="Arial" w:eastAsia="Arial" w:hAnsi="Arial"/>
          <w:sz w:val="17"/>
          <w:szCs w:val="17"/>
          <w:color w:val="auto"/>
        </w:rPr>
        <w:t>.</w:t>
      </w:r>
    </w:p>
    <w:p>
      <w:pPr>
        <w:spacing w:after="0" w:line="176" w:lineRule="exact"/>
        <w:rPr>
          <w:sz w:val="20"/>
          <w:szCs w:val="20"/>
          <w:color w:val="auto"/>
        </w:rPr>
      </w:pPr>
    </w:p>
    <w:p>
      <w:pPr>
        <w:ind w:left="-3" w:right="240" w:firstLine="916"/>
        <w:spacing w:after="0" w:line="289" w:lineRule="auto"/>
        <w:tabs>
          <w:tab w:leader="none" w:pos="1134" w:val="left"/>
        </w:tabs>
        <w:numPr>
          <w:ilvl w:val="1"/>
          <w:numId w:val="90"/>
        </w:numPr>
        <w:rPr>
          <w:rFonts w:ascii="Arial" w:cs="Arial" w:eastAsia="Arial" w:hAnsi="Arial"/>
          <w:sz w:val="15"/>
          <w:szCs w:val="15"/>
          <w:color w:val="auto"/>
        </w:rPr>
      </w:pPr>
      <w:r>
        <w:rPr>
          <w:rFonts w:ascii="Arial" w:cs="Arial" w:eastAsia="Arial" w:hAnsi="Arial"/>
          <w:sz w:val="15"/>
          <w:szCs w:val="15"/>
          <w:color w:val="auto"/>
        </w:rPr>
        <w:t>All notices referred to herein shall be in writing, and, unless otherwise specified herein, all notices hereunder shall be deemed to have been given upon the earlier of receipt thereof or three Business Days after the mailing thereof if sent by registered or certified mail (unless first-class mail shall be specifically permitted for such notice under the terms of this Certificate of Designations) with postage prepaid, addressed: (i) if to the Corporation, to its office at 125 Highway 515 East, Blairsville, Georgia 30512 or (ii) if to any Holder, to such Holder at the address of such Holder as listed in the stock record books of the Corporation, or</w:t>
      </w:r>
    </w:p>
    <w:p>
      <w:pPr>
        <w:ind w:left="297" w:hanging="297"/>
        <w:spacing w:after="0"/>
        <w:tabs>
          <w:tab w:leader="none" w:pos="297" w:val="left"/>
        </w:tabs>
        <w:numPr>
          <w:ilvl w:val="0"/>
          <w:numId w:val="91"/>
        </w:numPr>
        <w:rPr>
          <w:rFonts w:ascii="Arial" w:cs="Arial" w:eastAsia="Arial" w:hAnsi="Arial"/>
          <w:sz w:val="17"/>
          <w:szCs w:val="17"/>
          <w:color w:val="auto"/>
        </w:rPr>
      </w:pPr>
      <w:r>
        <w:rPr>
          <w:rFonts w:ascii="Arial" w:cs="Arial" w:eastAsia="Arial" w:hAnsi="Arial"/>
          <w:sz w:val="17"/>
          <w:szCs w:val="17"/>
          <w:color w:val="auto"/>
        </w:rPr>
        <w:t>to such other address as the Corporation or any such Holder, as the case may be, shall have designated by notice similarly given.</w:t>
      </w:r>
    </w:p>
    <w:p>
      <w:pPr>
        <w:spacing w:after="0" w:line="177" w:lineRule="exact"/>
        <w:rPr>
          <w:rFonts w:ascii="Arial" w:cs="Arial" w:eastAsia="Arial" w:hAnsi="Arial"/>
          <w:sz w:val="17"/>
          <w:szCs w:val="17"/>
          <w:color w:val="auto"/>
        </w:rPr>
      </w:pPr>
    </w:p>
    <w:p>
      <w:pPr>
        <w:ind w:left="-3" w:right="40" w:firstLine="916"/>
        <w:spacing w:after="0" w:line="255" w:lineRule="auto"/>
        <w:tabs>
          <w:tab w:leader="none" w:pos="1150" w:val="left"/>
        </w:tabs>
        <w:numPr>
          <w:ilvl w:val="1"/>
          <w:numId w:val="91"/>
        </w:numPr>
        <w:rPr>
          <w:rFonts w:ascii="Arial" w:cs="Arial" w:eastAsia="Arial" w:hAnsi="Arial"/>
          <w:sz w:val="17"/>
          <w:szCs w:val="17"/>
          <w:color w:val="auto"/>
        </w:rPr>
      </w:pPr>
      <w:r>
        <w:rPr>
          <w:rFonts w:ascii="Arial" w:cs="Arial" w:eastAsia="Arial" w:hAnsi="Arial"/>
          <w:sz w:val="17"/>
          <w:szCs w:val="17"/>
          <w:color w:val="auto"/>
        </w:rPr>
        <w:t>The Corporation shall pay any and all stock transfer and documentary stamp taxes that may be payable in respect of any issuance or delivery of shares of Series F Preferred Stock or shares of Common Stock or other securities issued on account of Series F Preferred Stock pursuant hereto or certificates representing such shares or securities. The Corporation shall not, however, be required to pay any such tax that may be payable in respect of any transfer involved in the issuance or delivery of shares of Series F Preferred Stock or Common Stock or other securities in a name other than that in which the shares of Series F Preferred Stock with respect to which such shares or other securities are issued or delivered were registered, or in respect of any payment to any Person other than a payment to the registered holder thereof, and shall not be required to make any such issuance, delivery or payment unless and until the Person otherwise entitled to such issuance, delivery or payment has paid to the Corporation the amount of any such tax or has established, to the satisfaction of the Corporation, that such tax has been paid or is not payable.</w:t>
      </w:r>
    </w:p>
    <w:p>
      <w:pPr>
        <w:spacing w:after="0" w:line="146" w:lineRule="exact"/>
        <w:rPr>
          <w:rFonts w:ascii="Arial" w:cs="Arial" w:eastAsia="Arial" w:hAnsi="Arial"/>
          <w:sz w:val="17"/>
          <w:szCs w:val="17"/>
          <w:color w:val="auto"/>
        </w:rPr>
      </w:pPr>
    </w:p>
    <w:p>
      <w:pPr>
        <w:ind w:left="-3" w:right="540" w:firstLine="916"/>
        <w:spacing w:after="0" w:line="309" w:lineRule="auto"/>
        <w:tabs>
          <w:tab w:leader="none" w:pos="1134" w:val="left"/>
        </w:tabs>
        <w:numPr>
          <w:ilvl w:val="1"/>
          <w:numId w:val="91"/>
        </w:numPr>
        <w:rPr>
          <w:rFonts w:ascii="Arial" w:cs="Arial" w:eastAsia="Arial" w:hAnsi="Arial"/>
          <w:sz w:val="16"/>
          <w:szCs w:val="16"/>
          <w:color w:val="auto"/>
        </w:rPr>
      </w:pPr>
      <w:r>
        <w:rPr>
          <w:rFonts w:ascii="Arial" w:cs="Arial" w:eastAsia="Arial" w:hAnsi="Arial"/>
          <w:sz w:val="16"/>
          <w:szCs w:val="16"/>
          <w:color w:val="auto"/>
        </w:rPr>
        <w:t>All payments on the shares of Series F Preferred Stock shall be subject to withholding and backup withholding of tax to the extent required by applicable law, subject to applicable exemptions, and amounts withheld, if any, shall be treated as received by the holders thereof.</w:t>
      </w:r>
    </w:p>
    <w:p>
      <w:pPr>
        <w:spacing w:after="0" w:line="103" w:lineRule="exact"/>
        <w:rPr>
          <w:rFonts w:ascii="Arial" w:cs="Arial" w:eastAsia="Arial" w:hAnsi="Arial"/>
          <w:sz w:val="16"/>
          <w:szCs w:val="16"/>
          <w:color w:val="auto"/>
        </w:rPr>
      </w:pPr>
    </w:p>
    <w:p>
      <w:pPr>
        <w:ind w:left="-3" w:right="80" w:firstLine="916"/>
        <w:spacing w:after="0" w:line="264" w:lineRule="auto"/>
        <w:tabs>
          <w:tab w:leader="none" w:pos="1153" w:val="left"/>
        </w:tabs>
        <w:numPr>
          <w:ilvl w:val="1"/>
          <w:numId w:val="91"/>
        </w:numPr>
        <w:rPr>
          <w:rFonts w:ascii="Arial" w:cs="Arial" w:eastAsia="Arial" w:hAnsi="Arial"/>
          <w:sz w:val="17"/>
          <w:szCs w:val="17"/>
          <w:color w:val="auto"/>
        </w:rPr>
      </w:pPr>
      <w:r>
        <w:rPr>
          <w:rFonts w:ascii="Arial" w:cs="Arial" w:eastAsia="Arial" w:hAnsi="Arial"/>
          <w:sz w:val="17"/>
          <w:szCs w:val="17"/>
          <w:color w:val="auto"/>
        </w:rPr>
        <w:t>No share of Series F Preferred Stock shall have any rights of preemption whatsoever under this Certificate of Designations as to any securities of the Corporation, or any warrants, rights or options issued or granted with respect thereto, regardless of how such securities, or such warrants, rights or options, may be designated issued or granted.</w:t>
      </w:r>
    </w:p>
    <w:p>
      <w:pPr>
        <w:spacing w:after="0" w:line="149" w:lineRule="exact"/>
        <w:rPr>
          <w:rFonts w:ascii="Arial" w:cs="Arial" w:eastAsia="Arial" w:hAnsi="Arial"/>
          <w:sz w:val="17"/>
          <w:szCs w:val="17"/>
          <w:color w:val="auto"/>
        </w:rPr>
      </w:pPr>
    </w:p>
    <w:p>
      <w:pPr>
        <w:ind w:left="-3" w:right="360" w:firstLine="916"/>
        <w:spacing w:after="0" w:line="309" w:lineRule="auto"/>
        <w:tabs>
          <w:tab w:leader="none" w:pos="11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The shares of Series F Preferred Stock shall not have any voting powers, preferences or relative, participating, optional or other special rights, or qualifications, limitations or restrictions thereof, other than as set forth herein or in the Articles of Incorporation or as provided by applicable law.</w:t>
      </w:r>
    </w:p>
    <w:p>
      <w:pPr>
        <w:spacing w:after="0" w:line="103" w:lineRule="exact"/>
        <w:rPr>
          <w:rFonts w:ascii="Arial" w:cs="Arial" w:eastAsia="Arial" w:hAnsi="Arial"/>
          <w:sz w:val="16"/>
          <w:szCs w:val="16"/>
          <w:color w:val="auto"/>
        </w:rPr>
      </w:pPr>
    </w:p>
    <w:p>
      <w:pPr>
        <w:ind w:left="-3" w:firstLine="916"/>
        <w:spacing w:after="0" w:line="277" w:lineRule="auto"/>
        <w:tabs>
          <w:tab w:leader="none" w:pos="1121" w:val="left"/>
        </w:tabs>
        <w:numPr>
          <w:ilvl w:val="1"/>
          <w:numId w:val="91"/>
        </w:numPr>
        <w:rPr>
          <w:rFonts w:ascii="Arial" w:cs="Arial" w:eastAsia="Arial" w:hAnsi="Arial"/>
          <w:sz w:val="17"/>
          <w:szCs w:val="17"/>
          <w:color w:val="auto"/>
        </w:rPr>
      </w:pPr>
      <w:r>
        <w:rPr>
          <w:rFonts w:ascii="Arial" w:cs="Arial" w:eastAsia="Arial" w:hAnsi="Arial"/>
          <w:sz w:val="17"/>
          <w:szCs w:val="17"/>
          <w:color w:val="auto"/>
        </w:rPr>
        <w:t>The Corporation covenants (1) not to treat the Series F Preferred Stock as preferred stock for purposes of Section 305 of the Internal Revenue Code of 1986, as amended, except as otherwise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589915</wp:posOffset>
            </wp:positionV>
            <wp:extent cx="725805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97"/>
          </w:cols>
          <w:pgMar w:left="243" w:top="1440" w:right="259" w:bottom="1440" w:gutter="0" w:footer="0" w:header="0"/>
        </w:sectPr>
      </w:pPr>
    </w:p>
    <w:bookmarkStart w:id="112" w:name="page113"/>
    <w:bookmarkEnd w:id="112"/>
    <w:p>
      <w:pPr>
        <w:spacing w:after="0" w:line="200" w:lineRule="exact"/>
        <w:rPr>
          <w:sz w:val="20"/>
          <w:szCs w:val="20"/>
          <w:color w:val="auto"/>
        </w:rPr>
      </w:pPr>
    </w:p>
    <w:p>
      <w:pPr>
        <w:spacing w:after="0" w:line="330"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EXHIBIT B</w:t>
      </w:r>
    </w:p>
    <w:p>
      <w:pPr>
        <w:spacing w:after="0" w:line="176" w:lineRule="exact"/>
        <w:rPr>
          <w:sz w:val="20"/>
          <w:szCs w:val="20"/>
          <w:color w:val="auto"/>
        </w:rPr>
      </w:pPr>
    </w:p>
    <w:p>
      <w:pPr>
        <w:ind w:left="3960"/>
        <w:spacing w:after="0"/>
        <w:rPr>
          <w:sz w:val="20"/>
          <w:szCs w:val="20"/>
          <w:color w:val="auto"/>
        </w:rPr>
      </w:pPr>
      <w:r>
        <w:rPr>
          <w:rFonts w:ascii="Arial" w:cs="Arial" w:eastAsia="Arial" w:hAnsi="Arial"/>
          <w:sz w:val="17"/>
          <w:szCs w:val="17"/>
          <w:b w:val="1"/>
          <w:bCs w:val="1"/>
          <w:color w:val="auto"/>
        </w:rPr>
        <w:t>DESIGNATIONS, POWERS, PREFERENCES,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LIMITATIONS, RESTRICTIONS, AND RELATIVE RIGHTS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MANDATORILY CONVERTIBLE CUMULATIVE NON-VOTING PERPETUAL</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PREFERRED STOCK, SERIES G</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COMMUNITY BANKS, INC.</w:t>
      </w:r>
    </w:p>
    <w:p>
      <w:pPr>
        <w:spacing w:after="0" w:line="174" w:lineRule="exact"/>
        <w:rPr>
          <w:sz w:val="20"/>
          <w:szCs w:val="20"/>
          <w:color w:val="auto"/>
        </w:rPr>
      </w:pPr>
    </w:p>
    <w:p>
      <w:pPr>
        <w:ind w:right="160" w:firstLine="914"/>
        <w:spacing w:after="0" w:line="282" w:lineRule="auto"/>
        <w:rPr>
          <w:sz w:val="20"/>
          <w:szCs w:val="20"/>
          <w:color w:val="auto"/>
        </w:rPr>
      </w:pPr>
      <w:r>
        <w:rPr>
          <w:rFonts w:ascii="Arial" w:cs="Arial" w:eastAsia="Arial" w:hAnsi="Arial"/>
          <w:sz w:val="17"/>
          <w:szCs w:val="17"/>
          <w:b w:val="1"/>
          <w:bCs w:val="1"/>
          <w:color w:val="auto"/>
        </w:rPr>
        <w:t>F</w:t>
      </w:r>
      <w:r>
        <w:rPr>
          <w:rFonts w:ascii="Arial" w:cs="Arial" w:eastAsia="Arial" w:hAnsi="Arial"/>
          <w:sz w:val="11"/>
          <w:szCs w:val="11"/>
          <w:b w:val="1"/>
          <w:bCs w:val="1"/>
          <w:color w:val="auto"/>
        </w:rPr>
        <w:t>IRST</w:t>
      </w:r>
      <w:r>
        <w:rPr>
          <w:rFonts w:ascii="Arial" w:cs="Arial" w:eastAsia="Arial" w:hAnsi="Arial"/>
          <w:sz w:val="17"/>
          <w:szCs w:val="17"/>
          <w:b w:val="1"/>
          <w:bCs w:val="1"/>
          <w:color w:val="auto"/>
        </w:rPr>
        <w:t xml:space="preserve">: </w:t>
      </w:r>
      <w:r>
        <w:rPr>
          <w:rFonts w:ascii="Arial" w:cs="Arial" w:eastAsia="Arial" w:hAnsi="Arial"/>
          <w:sz w:val="17"/>
          <w:szCs w:val="17"/>
          <w:color w:val="auto"/>
        </w:rPr>
        <w:t>The name of the Corporation is</w:t>
      </w:r>
      <w:r>
        <w:rPr>
          <w:rFonts w:ascii="Arial" w:cs="Arial" w:eastAsia="Arial" w:hAnsi="Arial"/>
          <w:sz w:val="17"/>
          <w:szCs w:val="17"/>
          <w:b w:val="1"/>
          <w:bCs w:val="1"/>
          <w:color w:val="auto"/>
        </w:rPr>
        <w:t xml:space="preserve"> U</w:t>
      </w:r>
      <w:r>
        <w:rPr>
          <w:rFonts w:ascii="Arial" w:cs="Arial" w:eastAsia="Arial" w:hAnsi="Arial"/>
          <w:sz w:val="11"/>
          <w:szCs w:val="11"/>
          <w:b w:val="1"/>
          <w:bCs w:val="1"/>
          <w:color w:val="auto"/>
        </w:rPr>
        <w:t>NITED</w:t>
      </w:r>
      <w:r>
        <w:rPr>
          <w:rFonts w:ascii="Arial" w:cs="Arial" w:eastAsia="Arial" w:hAnsi="Arial"/>
          <w:sz w:val="17"/>
          <w:szCs w:val="17"/>
          <w:b w:val="1"/>
          <w:bCs w:val="1"/>
          <w:color w:val="auto"/>
        </w:rPr>
        <w:t xml:space="preserve"> C</w:t>
      </w:r>
      <w:r>
        <w:rPr>
          <w:rFonts w:ascii="Arial" w:cs="Arial" w:eastAsia="Arial" w:hAnsi="Arial"/>
          <w:sz w:val="11"/>
          <w:szCs w:val="11"/>
          <w:b w:val="1"/>
          <w:bCs w:val="1"/>
          <w:color w:val="auto"/>
        </w:rPr>
        <w:t>OMMUNITY</w:t>
      </w:r>
      <w:r>
        <w:rPr>
          <w:rFonts w:ascii="Arial" w:cs="Arial" w:eastAsia="Arial" w:hAnsi="Arial"/>
          <w:sz w:val="17"/>
          <w:szCs w:val="17"/>
          <w:b w:val="1"/>
          <w:bCs w:val="1"/>
          <w:color w:val="auto"/>
        </w:rPr>
        <w:t xml:space="preserve"> B</w:t>
      </w:r>
      <w:r>
        <w:rPr>
          <w:rFonts w:ascii="Arial" w:cs="Arial" w:eastAsia="Arial" w:hAnsi="Arial"/>
          <w:sz w:val="11"/>
          <w:szCs w:val="11"/>
          <w:b w:val="1"/>
          <w:bCs w:val="1"/>
          <w:color w:val="auto"/>
        </w:rPr>
        <w:t>ANKS</w:t>
      </w:r>
      <w:r>
        <w:rPr>
          <w:rFonts w:ascii="Arial" w:cs="Arial" w:eastAsia="Arial" w:hAnsi="Arial"/>
          <w:sz w:val="17"/>
          <w:szCs w:val="17"/>
          <w:b w:val="1"/>
          <w:bCs w:val="1"/>
          <w:color w:val="auto"/>
        </w:rPr>
        <w:t>, 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 corporation organized and existing under the laws of the State of Georgia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Corporation</w:t>
      </w:r>
      <w:r>
        <w:rPr>
          <w:rFonts w:ascii="Arial" w:cs="Arial" w:eastAsia="Arial" w:hAnsi="Arial"/>
          <w:sz w:val="17"/>
          <w:szCs w:val="17"/>
          <w:color w:val="auto"/>
        </w:rPr>
        <w:t>”).</w:t>
      </w:r>
    </w:p>
    <w:p>
      <w:pPr>
        <w:spacing w:after="0" w:line="118" w:lineRule="exact"/>
        <w:rPr>
          <w:sz w:val="20"/>
          <w:szCs w:val="20"/>
          <w:color w:val="auto"/>
        </w:rPr>
      </w:pPr>
    </w:p>
    <w:p>
      <w:pPr>
        <w:ind w:right="20" w:firstLine="914"/>
        <w:spacing w:after="0" w:line="283" w:lineRule="auto"/>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ECOND</w:t>
      </w:r>
      <w:r>
        <w:rPr>
          <w:rFonts w:ascii="Arial" w:cs="Arial" w:eastAsia="Arial" w:hAnsi="Arial"/>
          <w:sz w:val="16"/>
          <w:szCs w:val="16"/>
          <w:b w:val="1"/>
          <w:bCs w:val="1"/>
          <w:color w:val="auto"/>
        </w:rPr>
        <w:t xml:space="preserve">: </w:t>
      </w:r>
      <w:r>
        <w:rPr>
          <w:rFonts w:ascii="Arial" w:cs="Arial" w:eastAsia="Arial" w:hAnsi="Arial"/>
          <w:sz w:val="16"/>
          <w:szCs w:val="16"/>
          <w:color w:val="auto"/>
        </w:rPr>
        <w:t>The Restated Articles of Incorporation of the Corporation, as amended, authorize the issuance of 10,000,000 shares of preferred stock, par value</w:t>
      </w:r>
      <w:r>
        <w:rPr>
          <w:rFonts w:ascii="Arial" w:cs="Arial" w:eastAsia="Arial" w:hAnsi="Arial"/>
          <w:sz w:val="16"/>
          <w:szCs w:val="16"/>
          <w:b w:val="1"/>
          <w:bCs w:val="1"/>
          <w:color w:val="auto"/>
        </w:rPr>
        <w:t xml:space="preserve"> </w:t>
      </w:r>
      <w:r>
        <w:rPr>
          <w:rFonts w:ascii="Arial" w:cs="Arial" w:eastAsia="Arial" w:hAnsi="Arial"/>
          <w:sz w:val="16"/>
          <w:szCs w:val="16"/>
          <w:color w:val="auto"/>
        </w:rPr>
        <w:t>$1.00 per share, of the Corporation (“</w:t>
      </w:r>
      <w:r>
        <w:rPr>
          <w:rFonts w:ascii="Arial" w:cs="Arial" w:eastAsia="Arial" w:hAnsi="Arial"/>
          <w:sz w:val="16"/>
          <w:szCs w:val="16"/>
          <w:u w:val="single" w:color="auto"/>
          <w:color w:val="auto"/>
        </w:rPr>
        <w:t>Preferred Stock</w:t>
      </w:r>
      <w:r>
        <w:rPr>
          <w:rFonts w:ascii="Arial" w:cs="Arial" w:eastAsia="Arial" w:hAnsi="Arial"/>
          <w:sz w:val="16"/>
          <w:szCs w:val="16"/>
          <w:color w:val="auto"/>
        </w:rPr>
        <w:t>”) in one or more series, and authorizes the Board of Directors of the Corporation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to fix by resolution or resolutions the designation and number of shares of such series, and the voting and other powers, preferences and relative, participating, optional or other special rights, and the qualifications, limitations and restrictions thereof, of the shares of such series.</w:t>
      </w:r>
    </w:p>
    <w:p>
      <w:pPr>
        <w:spacing w:after="0" w:line="119" w:lineRule="exact"/>
        <w:rPr>
          <w:sz w:val="20"/>
          <w:szCs w:val="20"/>
          <w:color w:val="auto"/>
        </w:rPr>
      </w:pPr>
    </w:p>
    <w:p>
      <w:pPr>
        <w:ind w:right="440" w:firstLine="914"/>
        <w:spacing w:after="0" w:line="314" w:lineRule="auto"/>
        <w:rPr>
          <w:sz w:val="20"/>
          <w:szCs w:val="20"/>
          <w:color w:val="auto"/>
        </w:rPr>
      </w:pPr>
      <w:r>
        <w:rPr>
          <w:rFonts w:ascii="Arial" w:cs="Arial" w:eastAsia="Arial" w:hAnsi="Arial"/>
          <w:sz w:val="16"/>
          <w:szCs w:val="16"/>
          <w:b w:val="1"/>
          <w:bCs w:val="1"/>
          <w:color w:val="auto"/>
        </w:rPr>
        <w:t>T</w:t>
      </w:r>
      <w:r>
        <w:rPr>
          <w:rFonts w:ascii="Arial" w:cs="Arial" w:eastAsia="Arial" w:hAnsi="Arial"/>
          <w:sz w:val="10"/>
          <w:szCs w:val="10"/>
          <w:b w:val="1"/>
          <w:bCs w:val="1"/>
          <w:color w:val="auto"/>
        </w:rPr>
        <w:t>HIRD</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following resolution was duly adopted by the Board of Directors as required by O.C.G.A. § 14-2-602 and Article V of the Restated</w:t>
      </w:r>
      <w:r>
        <w:rPr>
          <w:rFonts w:ascii="Arial" w:cs="Arial" w:eastAsia="Arial" w:hAnsi="Arial"/>
          <w:sz w:val="16"/>
          <w:szCs w:val="16"/>
          <w:b w:val="1"/>
          <w:bCs w:val="1"/>
          <w:color w:val="auto"/>
        </w:rPr>
        <w:t xml:space="preserve"> </w:t>
      </w:r>
      <w:r>
        <w:rPr>
          <w:rFonts w:ascii="Arial" w:cs="Arial" w:eastAsia="Arial" w:hAnsi="Arial"/>
          <w:sz w:val="16"/>
          <w:szCs w:val="16"/>
          <w:color w:val="auto"/>
        </w:rPr>
        <w:t>Articles of Incorporation at a meeting duly convened and held on March 14, 2011, at which a quorum was present and acting throughout.</w:t>
      </w:r>
    </w:p>
    <w:p>
      <w:pPr>
        <w:spacing w:after="0" w:line="108" w:lineRule="exact"/>
        <w:rPr>
          <w:sz w:val="20"/>
          <w:szCs w:val="20"/>
          <w:color w:val="auto"/>
        </w:rPr>
      </w:pPr>
    </w:p>
    <w:p>
      <w:pPr>
        <w:ind w:right="240" w:firstLine="914"/>
        <w:spacing w:after="0" w:line="261" w:lineRule="auto"/>
        <w:rPr>
          <w:sz w:val="20"/>
          <w:szCs w:val="20"/>
          <w:color w:val="auto"/>
        </w:rPr>
      </w:pPr>
      <w:r>
        <w:rPr>
          <w:rFonts w:ascii="Arial" w:cs="Arial" w:eastAsia="Arial" w:hAnsi="Arial"/>
          <w:sz w:val="17"/>
          <w:szCs w:val="17"/>
          <w:b w:val="1"/>
          <w:bCs w:val="1"/>
          <w:color w:val="auto"/>
        </w:rPr>
        <w:t>R</w:t>
      </w:r>
      <w:r>
        <w:rPr>
          <w:rFonts w:ascii="Arial" w:cs="Arial" w:eastAsia="Arial" w:hAnsi="Arial"/>
          <w:sz w:val="11"/>
          <w:szCs w:val="11"/>
          <w:b w:val="1"/>
          <w:bCs w:val="1"/>
          <w:color w:val="auto"/>
        </w:rPr>
        <w:t>ESOLVED</w:t>
      </w:r>
      <w:r>
        <w:rPr>
          <w:rFonts w:ascii="Arial" w:cs="Arial" w:eastAsia="Arial" w:hAnsi="Arial"/>
          <w:sz w:val="17"/>
          <w:szCs w:val="17"/>
          <w:b w:val="1"/>
          <w:bCs w:val="1"/>
          <w:color w:val="auto"/>
        </w:rPr>
        <w:t xml:space="preserve">, </w:t>
      </w:r>
      <w:r>
        <w:rPr>
          <w:rFonts w:ascii="Arial" w:cs="Arial" w:eastAsia="Arial" w:hAnsi="Arial"/>
          <w:sz w:val="17"/>
          <w:szCs w:val="17"/>
          <w:color w:val="auto"/>
        </w:rPr>
        <w:t>that pursuant to the provisions of the Restated Articles of Incorporation of the Corporation, as amended, and applicable law, a series of</w:t>
      </w:r>
      <w:r>
        <w:rPr>
          <w:rFonts w:ascii="Arial" w:cs="Arial" w:eastAsia="Arial" w:hAnsi="Arial"/>
          <w:sz w:val="17"/>
          <w:szCs w:val="17"/>
          <w:b w:val="1"/>
          <w:bCs w:val="1"/>
          <w:color w:val="auto"/>
        </w:rPr>
        <w:t xml:space="preserve"> </w:t>
      </w:r>
      <w:r>
        <w:rPr>
          <w:rFonts w:ascii="Arial" w:cs="Arial" w:eastAsia="Arial" w:hAnsi="Arial"/>
          <w:sz w:val="17"/>
          <w:szCs w:val="17"/>
          <w:color w:val="auto"/>
        </w:rPr>
        <w:t>Preferred Stock, par value $1.00 per share, of the Corporation be and hereby is created, and that the designation and number of shares of such series, and the voting and other powers, preferences and relative, participating, optional or other rights, and the qualifications, limitations and restrictions thereof, of the shares of such series, are as follows: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RIGHTS AND PREFERENCES</w:t>
      </w:r>
    </w:p>
    <w:p>
      <w:pPr>
        <w:spacing w:after="0" w:line="180" w:lineRule="exact"/>
        <w:rPr>
          <w:sz w:val="20"/>
          <w:szCs w:val="20"/>
          <w:color w:val="auto"/>
        </w:rPr>
      </w:pPr>
    </w:p>
    <w:p>
      <w:pPr>
        <w:ind w:right="40" w:firstLine="914"/>
        <w:spacing w:after="0" w:line="260" w:lineRule="auto"/>
        <w:rPr>
          <w:sz w:val="20"/>
          <w:szCs w:val="20"/>
          <w:color w:val="auto"/>
        </w:rPr>
      </w:pPr>
      <w:r>
        <w:rPr>
          <w:rFonts w:ascii="Arial" w:cs="Arial" w:eastAsia="Arial" w:hAnsi="Arial"/>
          <w:sz w:val="17"/>
          <w:szCs w:val="17"/>
          <w:i w:val="1"/>
          <w:iCs w:val="1"/>
          <w:color w:val="auto"/>
        </w:rPr>
        <w:t xml:space="preserve">Section 1. Designation. </w:t>
      </w:r>
      <w:r>
        <w:rPr>
          <w:rFonts w:ascii="Arial" w:cs="Arial" w:eastAsia="Arial" w:hAnsi="Arial"/>
          <w:sz w:val="17"/>
          <w:szCs w:val="17"/>
          <w:color w:val="auto"/>
        </w:rPr>
        <w:t>There is hereby created out of the authorized and unissued shares of preferred stock of the Corporation a series of preferred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designated as the “Mandatorily Convertible Cumulative Non-Voting Perpetual Preferred Stock, Series G” (the “</w:t>
      </w:r>
      <w:r>
        <w:rPr>
          <w:rFonts w:ascii="Arial" w:cs="Arial" w:eastAsia="Arial" w:hAnsi="Arial"/>
          <w:sz w:val="17"/>
          <w:szCs w:val="17"/>
          <w:u w:val="single" w:color="auto"/>
          <w:color w:val="auto"/>
        </w:rPr>
        <w:t>Series G Preferred Stock</w:t>
      </w:r>
      <w:r>
        <w:rPr>
          <w:rFonts w:ascii="Arial" w:cs="Arial" w:eastAsia="Arial" w:hAnsi="Arial"/>
          <w:sz w:val="17"/>
          <w:szCs w:val="17"/>
          <w:color w:val="auto"/>
        </w:rPr>
        <w:t>”). The number of shares constituting such series shall be 151,185. The par value of the Series G Preferred Stock shall be $1.00 per share, and the liquidation preference shall be $1,000 per share.</w:t>
      </w:r>
    </w:p>
    <w:p>
      <w:pPr>
        <w:spacing w:after="0" w:line="153" w:lineRule="exact"/>
        <w:rPr>
          <w:sz w:val="20"/>
          <w:szCs w:val="20"/>
          <w:color w:val="auto"/>
        </w:rPr>
      </w:pPr>
    </w:p>
    <w:p>
      <w:pPr>
        <w:ind w:firstLine="914"/>
        <w:spacing w:after="0" w:line="271" w:lineRule="auto"/>
        <w:rPr>
          <w:sz w:val="20"/>
          <w:szCs w:val="20"/>
          <w:color w:val="auto"/>
        </w:rPr>
      </w:pPr>
      <w:r>
        <w:rPr>
          <w:rFonts w:ascii="Arial" w:cs="Arial" w:eastAsia="Arial" w:hAnsi="Arial"/>
          <w:sz w:val="16"/>
          <w:szCs w:val="16"/>
          <w:i w:val="1"/>
          <w:iCs w:val="1"/>
          <w:color w:val="auto"/>
        </w:rPr>
        <w:t>Section 2. Ranking</w:t>
      </w:r>
      <w:r>
        <w:rPr>
          <w:rFonts w:ascii="Arial" w:cs="Arial" w:eastAsia="Arial" w:hAnsi="Arial"/>
          <w:sz w:val="16"/>
          <w:szCs w:val="16"/>
          <w:color w:val="auto"/>
        </w:rPr>
        <w:t>. The Series G Preferred Stock will, with respect to dividend rights and rights on liquidation, winding up and dissolution, rank (i) on a</w:t>
      </w:r>
      <w:r>
        <w:rPr>
          <w:rFonts w:ascii="Arial" w:cs="Arial" w:eastAsia="Arial" w:hAnsi="Arial"/>
          <w:sz w:val="16"/>
          <w:szCs w:val="16"/>
          <w:i w:val="1"/>
          <w:iCs w:val="1"/>
          <w:color w:val="auto"/>
        </w:rPr>
        <w:t xml:space="preserve"> </w:t>
      </w:r>
      <w:r>
        <w:rPr>
          <w:rFonts w:ascii="Arial" w:cs="Arial" w:eastAsia="Arial" w:hAnsi="Arial"/>
          <w:sz w:val="16"/>
          <w:szCs w:val="16"/>
          <w:color w:val="auto"/>
        </w:rPr>
        <w:t>parity with the Corporation’s Series A Non-Cumulative Preferred Stock, the Fixed Rate Cumulative Perpetual Preferred Stock, Series B, the Series C Fixed Rate Cumulative Perpetual Preferred Stock, the Cumulative Perpetual Preferred Stock, Series D, the Junior Participating Preferred Stock, Series E, the Series F Mandatorily Convertible Perpetual Preferred Stock and with each other class or series of equity securities of the Corporation the terms of which do not expressly provide that such class or series will rank senior or junior to the Series G Preferred Stock as to dividend rights and rights on liquidation, winding-up and dissolution of the Corporation (collectively referred to as “</w:t>
      </w:r>
      <w:r>
        <w:rPr>
          <w:rFonts w:ascii="Arial" w:cs="Arial" w:eastAsia="Arial" w:hAnsi="Arial"/>
          <w:sz w:val="16"/>
          <w:szCs w:val="16"/>
          <w:u w:val="single" w:color="auto"/>
          <w:color w:val="auto"/>
        </w:rPr>
        <w:t>Parity Securities</w:t>
      </w:r>
      <w:r>
        <w:rPr>
          <w:rFonts w:ascii="Arial" w:cs="Arial" w:eastAsia="Arial" w:hAnsi="Arial"/>
          <w:sz w:val="16"/>
          <w:szCs w:val="16"/>
          <w:color w:val="auto"/>
        </w:rPr>
        <w:t>”), and (ii) senior to the Corporation’s common stock, par value $1.00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the Corporation’s non-voting common stock, par value $1.00 per share (the “</w:t>
      </w:r>
      <w:r>
        <w:rPr>
          <w:rFonts w:ascii="Arial" w:cs="Arial" w:eastAsia="Arial" w:hAnsi="Arial"/>
          <w:sz w:val="16"/>
          <w:szCs w:val="16"/>
          <w:u w:val="single" w:color="auto"/>
          <w:color w:val="auto"/>
        </w:rPr>
        <w:t>Non-Voting Common Stock</w:t>
      </w:r>
      <w:r>
        <w:rPr>
          <w:rFonts w:ascii="Arial" w:cs="Arial" w:eastAsia="Arial" w:hAnsi="Arial"/>
          <w:sz w:val="16"/>
          <w:szCs w:val="16"/>
          <w:color w:val="auto"/>
        </w:rPr>
        <w:t>” and, together with the Common Stock, the “</w:t>
      </w:r>
      <w:r>
        <w:rPr>
          <w:rFonts w:ascii="Arial" w:cs="Arial" w:eastAsia="Arial" w:hAnsi="Arial"/>
          <w:sz w:val="16"/>
          <w:szCs w:val="16"/>
          <w:u w:val="single" w:color="auto"/>
          <w:color w:val="auto"/>
        </w:rPr>
        <w:t>Company Common Stock</w:t>
      </w:r>
      <w:r>
        <w:rPr>
          <w:rFonts w:ascii="Arial" w:cs="Arial" w:eastAsia="Arial" w:hAnsi="Arial"/>
          <w:sz w:val="16"/>
          <w:szCs w:val="16"/>
          <w:color w:val="auto"/>
        </w:rPr>
        <w:t>”), and each other class or series of capital stock of the Corporation outstanding or established after the Effective Date by the Corporation the terms of which do not expressly provide that it ranks on a parity with or senior to the Series G Preferred Stock as to dividend rights and rights on liquidation, winding-up and dissolution of the Corporation (collectively referred to as “</w:t>
      </w:r>
      <w:r>
        <w:rPr>
          <w:rFonts w:ascii="Arial" w:cs="Arial" w:eastAsia="Arial" w:hAnsi="Arial"/>
          <w:sz w:val="16"/>
          <w:szCs w:val="16"/>
          <w:u w:val="single" w:color="auto"/>
          <w:color w:val="auto"/>
        </w:rPr>
        <w:t>Junior Securities</w:t>
      </w:r>
      <w:r>
        <w:rPr>
          <w:rFonts w:ascii="Arial" w:cs="Arial" w:eastAsia="Arial" w:hAnsi="Arial"/>
          <w:sz w:val="16"/>
          <w:szCs w:val="16"/>
          <w:color w:val="auto"/>
        </w:rPr>
        <w:t>”). The Corporation has the power to authorize and/or issue additional shares or classes or series of Junior Securities without the consent of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589915</wp:posOffset>
            </wp:positionV>
            <wp:extent cx="725805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3" w:name="page114"/>
    <w:bookmarkEnd w:id="113"/>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Section 3. Definitions</w:t>
      </w:r>
      <w:r>
        <w:rPr>
          <w:rFonts w:ascii="Arial" w:cs="Arial" w:eastAsia="Arial" w:hAnsi="Arial"/>
          <w:sz w:val="17"/>
          <w:szCs w:val="17"/>
          <w:color w:val="auto"/>
        </w:rPr>
        <w:t>. The following initially capitalized terms shall have the following meanings, whether used in the singular or the plural:</w:t>
      </w:r>
    </w:p>
    <w:p>
      <w:pPr>
        <w:spacing w:after="0" w:line="176" w:lineRule="exact"/>
        <w:rPr>
          <w:sz w:val="20"/>
          <w:szCs w:val="20"/>
          <w:color w:val="auto"/>
        </w:rPr>
      </w:pPr>
    </w:p>
    <w:p>
      <w:pPr>
        <w:ind w:left="-80" w:right="40" w:firstLine="916"/>
        <w:spacing w:after="0" w:line="260" w:lineRule="auto"/>
        <w:tabs>
          <w:tab w:leader="none" w:pos="1066" w:val="left"/>
        </w:tabs>
        <w:numPr>
          <w:ilvl w:val="0"/>
          <w:numId w:val="9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of any specified Person means any other Person directly or indirectly controlling or controlled by or under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52" w:lineRule="exact"/>
        <w:rPr>
          <w:rFonts w:ascii="Arial" w:cs="Arial" w:eastAsia="Arial" w:hAnsi="Arial"/>
          <w:sz w:val="17"/>
          <w:szCs w:val="17"/>
          <w:color w:val="auto"/>
        </w:rPr>
      </w:pPr>
    </w:p>
    <w:p>
      <w:pPr>
        <w:ind w:left="1080" w:hanging="244"/>
        <w:spacing w:after="0"/>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Conversion Price</w:t>
      </w:r>
      <w:r>
        <w:rPr>
          <w:rFonts w:ascii="Arial" w:cs="Arial" w:eastAsia="Arial" w:hAnsi="Arial"/>
          <w:sz w:val="17"/>
          <w:szCs w:val="17"/>
          <w:color w:val="auto"/>
        </w:rPr>
        <w:t>” means the Conversion Price in effect at any given time.</w:t>
      </w:r>
    </w:p>
    <w:p>
      <w:pPr>
        <w:spacing w:after="0" w:line="176" w:lineRule="exact"/>
        <w:rPr>
          <w:rFonts w:ascii="Arial" w:cs="Arial" w:eastAsia="Arial" w:hAnsi="Arial"/>
          <w:sz w:val="17"/>
          <w:szCs w:val="17"/>
          <w:color w:val="auto"/>
        </w:rPr>
      </w:pPr>
    </w:p>
    <w:p>
      <w:pPr>
        <w:ind w:left="1060" w:hanging="224"/>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Articles of Incorporation</w:t>
      </w:r>
      <w:r>
        <w:rPr>
          <w:rFonts w:ascii="Arial" w:cs="Arial" w:eastAsia="Arial" w:hAnsi="Arial"/>
          <w:sz w:val="17"/>
          <w:szCs w:val="17"/>
          <w:color w:val="auto"/>
        </w:rPr>
        <w:t>” means the Restated Articles of Incorporation of the Corporation, as amended.</w:t>
      </w:r>
    </w:p>
    <w:p>
      <w:pPr>
        <w:spacing w:after="0" w:line="176" w:lineRule="exact"/>
        <w:rPr>
          <w:rFonts w:ascii="Arial" w:cs="Arial" w:eastAsia="Arial" w:hAnsi="Arial"/>
          <w:sz w:val="17"/>
          <w:szCs w:val="17"/>
          <w:color w:val="auto"/>
        </w:rPr>
      </w:pPr>
    </w:p>
    <w:p>
      <w:pPr>
        <w:ind w:left="-80" w:right="60" w:firstLine="916"/>
        <w:spacing w:after="0" w:line="258" w:lineRule="auto"/>
        <w:tabs>
          <w:tab w:leader="none" w:pos="1076" w:val="left"/>
        </w:tabs>
        <w:numPr>
          <w:ilvl w:val="0"/>
          <w:numId w:val="9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As-Converted Dividend</w:t>
      </w:r>
      <w:r>
        <w:rPr>
          <w:rFonts w:ascii="Arial" w:cs="Arial" w:eastAsia="Arial" w:hAnsi="Arial"/>
          <w:sz w:val="17"/>
          <w:szCs w:val="17"/>
          <w:color w:val="auto"/>
        </w:rPr>
        <w:t xml:space="preserve">” means, with respect to any Dividend Period, the product of (i) the pro forma per share semi-annual Common Stock dividend derived by (A) annualizing the last dividend declared during such Dividend Period on the Common Stock and (B) dividing such annualized dividend by two and (ii) the number of shares of Non-Voting Common Stock into which a share of Series G Preferred Stock would then be convertible (assuming receipt of the Stockholder Approval and, if applicable, the Regulatory Approval);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any Dividend Period with respect to which no dividend on the Common Stock has been declared, the As-Converted Dividend shall be $0.00.</w:t>
      </w:r>
    </w:p>
    <w:p>
      <w:pPr>
        <w:spacing w:after="0" w:line="154" w:lineRule="exact"/>
        <w:rPr>
          <w:rFonts w:ascii="Arial" w:cs="Arial" w:eastAsia="Arial" w:hAnsi="Arial"/>
          <w:sz w:val="17"/>
          <w:szCs w:val="17"/>
          <w:color w:val="auto"/>
        </w:rPr>
      </w:pPr>
    </w:p>
    <w:p>
      <w:pPr>
        <w:ind w:left="1060" w:hanging="224"/>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BHC Act</w:t>
      </w:r>
      <w:r>
        <w:rPr>
          <w:rFonts w:ascii="Arial" w:cs="Arial" w:eastAsia="Arial" w:hAnsi="Arial"/>
          <w:sz w:val="17"/>
          <w:szCs w:val="17"/>
          <w:color w:val="auto"/>
        </w:rPr>
        <w:t>” means the Bank Holding Company Act of 1956, as amended.</w:t>
      </w:r>
    </w:p>
    <w:p>
      <w:pPr>
        <w:spacing w:after="0" w:line="176" w:lineRule="exact"/>
        <w:rPr>
          <w:rFonts w:ascii="Arial" w:cs="Arial" w:eastAsia="Arial" w:hAnsi="Arial"/>
          <w:sz w:val="17"/>
          <w:szCs w:val="17"/>
          <w:color w:val="auto"/>
        </w:rPr>
      </w:pPr>
    </w:p>
    <w:p>
      <w:pPr>
        <w:ind w:left="-80" w:firstLine="916"/>
        <w:spacing w:after="0" w:line="277" w:lineRule="auto"/>
        <w:tabs>
          <w:tab w:leader="none" w:pos="1047" w:val="left"/>
        </w:tabs>
        <w:numPr>
          <w:ilvl w:val="0"/>
          <w:numId w:val="9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BHC Affiliated Person</w:t>
      </w:r>
      <w:r>
        <w:rPr>
          <w:rFonts w:ascii="Arial" w:cs="Arial" w:eastAsia="Arial" w:hAnsi="Arial"/>
          <w:sz w:val="17"/>
          <w:szCs w:val="17"/>
          <w:color w:val="auto"/>
        </w:rPr>
        <w:t>” means, with respect to any Person, its Affiliates which for purposes of this definition include all “affiliates” as defined in the BHC Act or Regulation Y of the Board of Governors of the Federal Reserve.</w:t>
      </w:r>
    </w:p>
    <w:p>
      <w:pPr>
        <w:spacing w:after="0" w:line="125" w:lineRule="exact"/>
        <w:rPr>
          <w:rFonts w:ascii="Arial" w:cs="Arial" w:eastAsia="Arial" w:hAnsi="Arial"/>
          <w:sz w:val="17"/>
          <w:szCs w:val="17"/>
          <w:color w:val="auto"/>
        </w:rPr>
      </w:pPr>
    </w:p>
    <w:p>
      <w:pPr>
        <w:ind w:left="-80" w:right="240" w:firstLine="916"/>
        <w:spacing w:after="0" w:line="277" w:lineRule="auto"/>
        <w:tabs>
          <w:tab w:leader="none" w:pos="1076" w:val="left"/>
        </w:tabs>
        <w:numPr>
          <w:ilvl w:val="0"/>
          <w:numId w:val="9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that is not Saturday or Sunday and that, in New York City, is not a day on which banking institutions generally are authorized or obligated by law or executive order to be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589915</wp:posOffset>
            </wp:positionV>
            <wp:extent cx="725805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20"/>
          </w:cols>
          <w:pgMar w:left="320" w:top="1440" w:right="259" w:bottom="1440" w:gutter="0" w:footer="0" w:header="0"/>
        </w:sectPr>
      </w:pPr>
    </w:p>
    <w:bookmarkStart w:id="114" w:name="page115"/>
    <w:bookmarkEnd w:id="114"/>
    <w:p>
      <w:pPr>
        <w:spacing w:after="0" w:line="200" w:lineRule="exact"/>
        <w:rPr>
          <w:sz w:val="20"/>
          <w:szCs w:val="20"/>
          <w:color w:val="auto"/>
        </w:rPr>
      </w:pPr>
    </w:p>
    <w:p>
      <w:pPr>
        <w:spacing w:after="0" w:line="333" w:lineRule="exact"/>
        <w:rPr>
          <w:sz w:val="20"/>
          <w:szCs w:val="20"/>
          <w:color w:val="auto"/>
        </w:rPr>
      </w:pPr>
    </w:p>
    <w:p>
      <w:pPr>
        <w:ind w:left="1160" w:hanging="244"/>
        <w:spacing w:after="0"/>
        <w:tabs>
          <w:tab w:leader="none" w:pos="11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Certificate of Designations</w:t>
      </w:r>
      <w:r>
        <w:rPr>
          <w:rFonts w:ascii="Arial" w:cs="Arial" w:eastAsia="Arial" w:hAnsi="Arial"/>
          <w:sz w:val="17"/>
          <w:szCs w:val="17"/>
          <w:color w:val="auto"/>
        </w:rPr>
        <w:t>” means the Articles of Amendment to the Articles of Incorporation, dated March 29, 2011.</w:t>
      </w:r>
    </w:p>
    <w:p>
      <w:pPr>
        <w:spacing w:after="0" w:line="176" w:lineRule="exact"/>
        <w:rPr>
          <w:rFonts w:ascii="Arial" w:cs="Arial" w:eastAsia="Arial" w:hAnsi="Arial"/>
          <w:sz w:val="17"/>
          <w:szCs w:val="17"/>
          <w:color w:val="auto"/>
        </w:rPr>
      </w:pPr>
    </w:p>
    <w:p>
      <w:pPr>
        <w:ind w:left="1120" w:hanging="204"/>
        <w:spacing w:after="0"/>
        <w:tabs>
          <w:tab w:leader="none" w:pos="11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CIBC Act</w:t>
      </w:r>
      <w:r>
        <w:rPr>
          <w:rFonts w:ascii="Arial" w:cs="Arial" w:eastAsia="Arial" w:hAnsi="Arial"/>
          <w:sz w:val="17"/>
          <w:szCs w:val="17"/>
          <w:color w:val="auto"/>
        </w:rPr>
        <w:t>” means the Change in Bank Control Act of 1978, as amended.</w:t>
      </w:r>
    </w:p>
    <w:p>
      <w:pPr>
        <w:spacing w:after="0" w:line="189" w:lineRule="exact"/>
        <w:rPr>
          <w:rFonts w:ascii="Arial" w:cs="Arial" w:eastAsia="Arial" w:hAnsi="Arial"/>
          <w:sz w:val="17"/>
          <w:szCs w:val="17"/>
          <w:color w:val="auto"/>
        </w:rPr>
      </w:pPr>
    </w:p>
    <w:p>
      <w:pPr>
        <w:ind w:right="100" w:firstLine="916"/>
        <w:spacing w:after="0" w:line="271" w:lineRule="auto"/>
        <w:tabs>
          <w:tab w:leader="none" w:pos="1118" w:val="left"/>
        </w:tabs>
        <w:numPr>
          <w:ilvl w:val="0"/>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Price</w:t>
      </w:r>
      <w:r>
        <w:rPr>
          <w:rFonts w:ascii="Arial" w:cs="Arial" w:eastAsia="Arial" w:hAnsi="Arial"/>
          <w:sz w:val="16"/>
          <w:szCs w:val="16"/>
          <w:color w:val="auto"/>
        </w:rPr>
        <w:t>” of the Common Stock (or other relevant capital stock or equity interest) on any date of determination means the closing sale price or, if no closing sale price is reported, the last reported sale price of the shares of the Common Stock (or other relevant capital stock or equity interest) on The NASDAQ Global Select Market on such date. If the Common Stock (or other relevant capital stock or equity interest) is not traded on The NASDAQ Global Select Market on any date of determination, the Closing Price of the Common Stock (or other relevant capital stock or equity interest) on such date of determination means the closing sale price as reported in the composite transactions for the principal U.S. national or regional securities exchange on which the Common Stock (or other relevant capital stock or equity interest) is so listed or quoted, or, if no closing sale price is reported, the last reported sale price on the principal U.S. national or regional securities exchange on which the Common Stock (or other relevant capital stock or equity interest) is so listed or quoted, or if the Common Stock (or other relevant capital stock or equity interest) is not so listed or quoted on a U.S. national or regional securities exchange, the last quoted bid price for the Common Stock (or other relevant capital stock or equity interest) in the over-the-counter market as reported by Pink OTC Markets Inc. or similar organization, or, if that bid price is not available, the market price of the Common Stock (or other relevant capital stock or equity interest) on that date as determined by a nationally recognized independent investment banking firm retained by the Corporation for this purpose.</w:t>
      </w:r>
    </w:p>
    <w:p>
      <w:pPr>
        <w:spacing w:after="0" w:line="13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For purposes of this Certificate of Designation, all references herein to the “</w:t>
      </w:r>
      <w:r>
        <w:rPr>
          <w:rFonts w:ascii="Arial" w:cs="Arial" w:eastAsia="Arial" w:hAnsi="Arial"/>
          <w:sz w:val="16"/>
          <w:szCs w:val="16"/>
          <w:u w:val="single" w:color="auto"/>
          <w:color w:val="auto"/>
        </w:rPr>
        <w:t>Closing Price</w:t>
      </w:r>
      <w:r>
        <w:rPr>
          <w:rFonts w:ascii="Arial" w:cs="Arial" w:eastAsia="Arial" w:hAnsi="Arial"/>
          <w:sz w:val="16"/>
          <w:szCs w:val="16"/>
          <w:color w:val="auto"/>
        </w:rPr>
        <w:t>” and “</w:t>
      </w:r>
      <w:r>
        <w:rPr>
          <w:rFonts w:ascii="Arial" w:cs="Arial" w:eastAsia="Arial" w:hAnsi="Arial"/>
          <w:sz w:val="16"/>
          <w:szCs w:val="16"/>
          <w:u w:val="single" w:color="auto"/>
          <w:color w:val="auto"/>
        </w:rPr>
        <w:t>last reported sale price</w:t>
      </w:r>
      <w:r>
        <w:rPr>
          <w:rFonts w:ascii="Arial" w:cs="Arial" w:eastAsia="Arial" w:hAnsi="Arial"/>
          <w:sz w:val="16"/>
          <w:szCs w:val="16"/>
          <w:color w:val="auto"/>
        </w:rPr>
        <w:t xml:space="preserve">” of the Common Stock (or other relevant capital stock or equity interest) on The NASDAQ Global Select Market shall be such closing sale price and last reported sale price as reflected on the website of The NASDAQ Global Select Market (http://www.nasdaq.com) and as reported by Bloomberg Professional Service;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there is a discrepancy between the closing sale price or last reported sale price as reflected on the website of The NASDAQ Global Select Market and as reported by Bloomberg Professional Service, the closing sale price and last reported sale price on the website of The NASDAQ Global Select Market shall govern.</w:t>
      </w:r>
    </w:p>
    <w:p>
      <w:pPr>
        <w:spacing w:after="0" w:line="127" w:lineRule="exact"/>
        <w:rPr>
          <w:sz w:val="20"/>
          <w:szCs w:val="20"/>
          <w:color w:val="auto"/>
        </w:rPr>
      </w:pPr>
    </w:p>
    <w:p>
      <w:pPr>
        <w:ind w:left="1160" w:hanging="244"/>
        <w:spacing w:after="0"/>
        <w:tabs>
          <w:tab w:leader="none" w:pos="11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has the meaning set forth in Section 2.</w:t>
      </w:r>
    </w:p>
    <w:p>
      <w:pPr>
        <w:spacing w:after="0" w:line="189" w:lineRule="exact"/>
        <w:rPr>
          <w:rFonts w:ascii="Arial" w:cs="Arial" w:eastAsia="Arial" w:hAnsi="Arial"/>
          <w:sz w:val="17"/>
          <w:szCs w:val="17"/>
          <w:color w:val="auto"/>
        </w:rPr>
      </w:pPr>
    </w:p>
    <w:p>
      <w:pPr>
        <w:ind w:left="1120" w:hanging="204"/>
        <w:spacing w:after="0"/>
        <w:tabs>
          <w:tab w:leader="none" w:pos="11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has the meaning set forth in Section 2.</w:t>
      </w:r>
    </w:p>
    <w:p>
      <w:pPr>
        <w:spacing w:after="0" w:line="176" w:lineRule="exact"/>
        <w:rPr>
          <w:rFonts w:ascii="Arial" w:cs="Arial" w:eastAsia="Arial" w:hAnsi="Arial"/>
          <w:sz w:val="17"/>
          <w:szCs w:val="17"/>
          <w:color w:val="auto"/>
        </w:rPr>
      </w:pPr>
    </w:p>
    <w:p>
      <w:pPr>
        <w:ind w:left="1200" w:hanging="284"/>
        <w:spacing w:after="0"/>
        <w:tabs>
          <w:tab w:leader="none" w:pos="12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Price</w:t>
      </w:r>
      <w:r>
        <w:rPr>
          <w:rFonts w:ascii="Arial" w:cs="Arial" w:eastAsia="Arial" w:hAnsi="Arial"/>
          <w:sz w:val="17"/>
          <w:szCs w:val="17"/>
          <w:color w:val="auto"/>
        </w:rPr>
        <w:t>” means $1.90, subject to adjustment as set forth herein.</w:t>
      </w:r>
    </w:p>
    <w:p>
      <w:pPr>
        <w:spacing w:after="0" w:line="176" w:lineRule="exact"/>
        <w:rPr>
          <w:rFonts w:ascii="Arial" w:cs="Arial" w:eastAsia="Arial" w:hAnsi="Arial"/>
          <w:sz w:val="17"/>
          <w:szCs w:val="17"/>
          <w:color w:val="auto"/>
        </w:rPr>
      </w:pPr>
    </w:p>
    <w:p>
      <w:pPr>
        <w:jc w:val="both"/>
        <w:ind w:right="160" w:firstLine="916"/>
        <w:spacing w:after="0" w:line="264" w:lineRule="auto"/>
        <w:tabs>
          <w:tab w:leader="none" w:pos="1156" w:val="left"/>
        </w:tabs>
        <w:numPr>
          <w:ilvl w:val="0"/>
          <w:numId w:val="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Current Market Price</w:t>
      </w:r>
      <w:r>
        <w:rPr>
          <w:rFonts w:ascii="Arial" w:cs="Arial" w:eastAsia="Arial" w:hAnsi="Arial"/>
          <w:sz w:val="17"/>
          <w:szCs w:val="17"/>
          <w:color w:val="auto"/>
        </w:rPr>
        <w:t>” means, on any date, the average of the daily Closing Price per share of the Common Stock or other securities on each of the five consecutive Trading Days preceding the earlier of the day before the date in question and the day before the Ex-Date with respect to the issuance or distribution giving rise to an adjustment to the Conversion Price pursuant to Section 10.</w:t>
      </w:r>
    </w:p>
    <w:p>
      <w:pPr>
        <w:spacing w:after="0" w:line="149" w:lineRule="exact"/>
        <w:rPr>
          <w:rFonts w:ascii="Arial" w:cs="Arial" w:eastAsia="Arial" w:hAnsi="Arial"/>
          <w:sz w:val="17"/>
          <w:szCs w:val="17"/>
          <w:color w:val="auto"/>
        </w:rPr>
      </w:pPr>
    </w:p>
    <w:p>
      <w:pPr>
        <w:ind w:left="1160" w:hanging="244"/>
        <w:spacing w:after="0"/>
        <w:tabs>
          <w:tab w:leader="none" w:pos="11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Distributed Property</w:t>
      </w:r>
      <w:r>
        <w:rPr>
          <w:rFonts w:ascii="Arial" w:cs="Arial" w:eastAsia="Arial" w:hAnsi="Arial"/>
          <w:sz w:val="17"/>
          <w:szCs w:val="17"/>
          <w:color w:val="auto"/>
        </w:rPr>
        <w:t>” has the meaning set forth in Section 10(a)(iv).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614045</wp:posOffset>
            </wp:positionV>
            <wp:extent cx="725805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5" w:name="page116"/>
    <w:bookmarkEnd w:id="115"/>
    <w:p>
      <w:pPr>
        <w:spacing w:after="0" w:line="200" w:lineRule="exact"/>
        <w:rPr>
          <w:sz w:val="20"/>
          <w:szCs w:val="20"/>
          <w:color w:val="auto"/>
        </w:rPr>
      </w:pPr>
    </w:p>
    <w:p>
      <w:pPr>
        <w:spacing w:after="0" w:line="334" w:lineRule="exact"/>
        <w:rPr>
          <w:sz w:val="20"/>
          <w:szCs w:val="20"/>
          <w:color w:val="auto"/>
        </w:rPr>
      </w:pPr>
    </w:p>
    <w:p>
      <w:pPr>
        <w:ind w:left="244" w:hanging="244"/>
        <w:spacing w:after="0"/>
        <w:tabs>
          <w:tab w:leader="none" w:pos="244" w:val="left"/>
        </w:tabs>
        <w:numPr>
          <w:ilvl w:val="0"/>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Dividend</w:t>
      </w:r>
      <w:r>
        <w:rPr>
          <w:rFonts w:ascii="Arial" w:cs="Arial" w:eastAsia="Arial" w:hAnsi="Arial"/>
          <w:sz w:val="17"/>
          <w:szCs w:val="17"/>
          <w:color w:val="auto"/>
        </w:rPr>
        <w:t>” has the meaning set forth in Section 4(b).</w:t>
      </w:r>
    </w:p>
    <w:p>
      <w:pPr>
        <w:spacing w:after="0" w:line="176" w:lineRule="exact"/>
        <w:rPr>
          <w:rFonts w:ascii="Arial" w:cs="Arial" w:eastAsia="Arial" w:hAnsi="Arial"/>
          <w:sz w:val="17"/>
          <w:szCs w:val="17"/>
          <w:color w:val="auto"/>
        </w:rPr>
      </w:pPr>
    </w:p>
    <w:p>
      <w:pPr>
        <w:ind w:left="244" w:hanging="244"/>
        <w:spacing w:after="0"/>
        <w:tabs>
          <w:tab w:leader="none" w:pos="244" w:val="left"/>
        </w:tabs>
        <w:numPr>
          <w:ilvl w:val="0"/>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Dividend Payment Date</w:t>
      </w:r>
      <w:r>
        <w:rPr>
          <w:rFonts w:ascii="Arial" w:cs="Arial" w:eastAsia="Arial" w:hAnsi="Arial"/>
          <w:sz w:val="17"/>
          <w:szCs w:val="17"/>
          <w:color w:val="auto"/>
        </w:rPr>
        <w:t>” has the meaning set forth in Section 4(b).</w:t>
      </w:r>
    </w:p>
    <w:p>
      <w:pPr>
        <w:spacing w:after="0" w:line="189" w:lineRule="exact"/>
        <w:rPr>
          <w:rFonts w:ascii="Arial" w:cs="Arial" w:eastAsia="Arial" w:hAnsi="Arial"/>
          <w:sz w:val="17"/>
          <w:szCs w:val="17"/>
          <w:color w:val="auto"/>
        </w:rPr>
      </w:pPr>
    </w:p>
    <w:p>
      <w:pPr>
        <w:ind w:left="204" w:hanging="204"/>
        <w:spacing w:after="0"/>
        <w:tabs>
          <w:tab w:leader="none" w:pos="204" w:val="left"/>
        </w:tabs>
        <w:numPr>
          <w:ilvl w:val="0"/>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Dividend Period</w:t>
      </w:r>
      <w:r>
        <w:rPr>
          <w:rFonts w:ascii="Arial" w:cs="Arial" w:eastAsia="Arial" w:hAnsi="Arial"/>
          <w:sz w:val="17"/>
          <w:szCs w:val="17"/>
          <w:color w:val="auto"/>
        </w:rPr>
        <w:t>” has the meaning set forth in Section 4(c).</w:t>
      </w:r>
    </w:p>
    <w:p>
      <w:pPr>
        <w:spacing w:after="0" w:line="176" w:lineRule="exact"/>
        <w:rPr>
          <w:rFonts w:ascii="Arial" w:cs="Arial" w:eastAsia="Arial" w:hAnsi="Arial"/>
          <w:sz w:val="17"/>
          <w:szCs w:val="17"/>
          <w:color w:val="auto"/>
        </w:rPr>
      </w:pPr>
    </w:p>
    <w:p>
      <w:pPr>
        <w:ind w:left="-916" w:firstLine="916"/>
        <w:spacing w:after="0" w:line="277" w:lineRule="auto"/>
        <w:tabs>
          <w:tab w:leader="none" w:pos="2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Dividend Rate</w:t>
      </w:r>
      <w:r>
        <w:rPr>
          <w:rFonts w:ascii="Arial" w:cs="Arial" w:eastAsia="Arial" w:hAnsi="Arial"/>
          <w:sz w:val="17"/>
          <w:szCs w:val="17"/>
          <w:color w:val="auto"/>
        </w:rPr>
        <w:t xml:space="preserve">” means, with respect to any Dividend Period, the sum of (a) the greater of (i) LIBOR and (ii) 2.0% plus (b) 15.0%;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if such amount is greater than 18.0%, the Dividend Rate shall be 18.0%.</w:t>
      </w:r>
    </w:p>
    <w:p>
      <w:pPr>
        <w:spacing w:after="0" w:line="125" w:lineRule="exact"/>
        <w:rPr>
          <w:rFonts w:ascii="Arial" w:cs="Arial" w:eastAsia="Arial" w:hAnsi="Arial"/>
          <w:sz w:val="17"/>
          <w:szCs w:val="17"/>
          <w:color w:val="auto"/>
        </w:rPr>
      </w:pPr>
    </w:p>
    <w:p>
      <w:pPr>
        <w:ind w:left="204" w:hanging="204"/>
        <w:spacing w:after="0"/>
        <w:tabs>
          <w:tab w:leader="none" w:pos="204" w:val="left"/>
        </w:tabs>
        <w:numPr>
          <w:ilvl w:val="0"/>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means the date on which shares of the Series G Preferred Stock are first issued.</w:t>
      </w:r>
    </w:p>
    <w:p>
      <w:pPr>
        <w:spacing w:after="0" w:line="189" w:lineRule="exact"/>
        <w:rPr>
          <w:rFonts w:ascii="Arial" w:cs="Arial" w:eastAsia="Arial" w:hAnsi="Arial"/>
          <w:sz w:val="17"/>
          <w:szCs w:val="17"/>
          <w:color w:val="auto"/>
        </w:rPr>
      </w:pPr>
    </w:p>
    <w:p>
      <w:pPr>
        <w:ind w:left="244" w:hanging="244"/>
        <w:spacing w:after="0"/>
        <w:tabs>
          <w:tab w:leader="none" w:pos="244" w:val="left"/>
        </w:tabs>
        <w:numPr>
          <w:ilvl w:val="0"/>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Property</w:t>
      </w:r>
      <w:r>
        <w:rPr>
          <w:rFonts w:ascii="Arial" w:cs="Arial" w:eastAsia="Arial" w:hAnsi="Arial"/>
          <w:sz w:val="17"/>
          <w:szCs w:val="17"/>
          <w:color w:val="auto"/>
        </w:rPr>
        <w:t>” has the meaning set forth in Section 11(a).</w:t>
      </w:r>
    </w:p>
    <w:p>
      <w:pPr>
        <w:spacing w:after="0" w:line="176" w:lineRule="exact"/>
        <w:rPr>
          <w:rFonts w:ascii="Arial" w:cs="Arial" w:eastAsia="Arial" w:hAnsi="Arial"/>
          <w:sz w:val="17"/>
          <w:szCs w:val="17"/>
          <w:color w:val="auto"/>
        </w:rPr>
      </w:pPr>
    </w:p>
    <w:p>
      <w:pPr>
        <w:ind w:left="-916" w:right="20" w:firstLine="916"/>
        <w:spacing w:after="0" w:line="277" w:lineRule="auto"/>
        <w:tabs>
          <w:tab w:leader="none" w:pos="239" w:val="left"/>
        </w:tabs>
        <w:numPr>
          <w:ilvl w:val="0"/>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Ex-Date</w:t>
      </w:r>
      <w:r>
        <w:rPr>
          <w:rFonts w:ascii="Arial" w:cs="Arial" w:eastAsia="Arial" w:hAnsi="Arial"/>
          <w:sz w:val="17"/>
          <w:szCs w:val="17"/>
          <w:color w:val="auto"/>
        </w:rPr>
        <w:t>”, when used with respect to any issuance or distribution, means the first date on which the Common Stock or other securities trade without the right to receive the issuance or distribution giving rise to an adjustment to the Conversion Price pursuant to Section 10.</w:t>
      </w:r>
    </w:p>
    <w:p>
      <w:pPr>
        <w:spacing w:after="0" w:line="125" w:lineRule="exact"/>
        <w:rPr>
          <w:rFonts w:ascii="Arial" w:cs="Arial" w:eastAsia="Arial" w:hAnsi="Arial"/>
          <w:sz w:val="17"/>
          <w:szCs w:val="17"/>
          <w:color w:val="auto"/>
        </w:rPr>
      </w:pPr>
    </w:p>
    <w:p>
      <w:pPr>
        <w:ind w:left="-916" w:right="40" w:firstLine="916"/>
        <w:spacing w:after="0" w:line="346" w:lineRule="auto"/>
        <w:tabs>
          <w:tab w:leader="none" w:pos="277" w:val="left"/>
        </w:tabs>
        <w:numPr>
          <w:ilvl w:val="0"/>
          <w:numId w:val="9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Holder</w:t>
      </w:r>
      <w:r>
        <w:rPr>
          <w:rFonts w:ascii="Arial" w:cs="Arial" w:eastAsia="Arial" w:hAnsi="Arial"/>
          <w:sz w:val="15"/>
          <w:szCs w:val="15"/>
          <w:color w:val="auto"/>
        </w:rPr>
        <w:t>” means the Person in whose name the shares of the Series G Preferred Stock are registered, which may be treated by the Corporation as the absolute owner of the shares of Series G Preferred Stock for the purpose of making payment and settling the related conversions and for all other purposes.</w:t>
      </w:r>
    </w:p>
    <w:p>
      <w:pPr>
        <w:spacing w:after="0" w:line="92" w:lineRule="exact"/>
        <w:rPr>
          <w:rFonts w:ascii="Arial" w:cs="Arial" w:eastAsia="Arial" w:hAnsi="Arial"/>
          <w:sz w:val="15"/>
          <w:szCs w:val="15"/>
          <w:color w:val="auto"/>
        </w:rPr>
      </w:pPr>
    </w:p>
    <w:p>
      <w:pPr>
        <w:ind w:left="244" w:hanging="244"/>
        <w:spacing w:after="0"/>
        <w:tabs>
          <w:tab w:leader="none" w:pos="244" w:val="left"/>
        </w:tabs>
        <w:numPr>
          <w:ilvl w:val="0"/>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Securities</w:t>
      </w:r>
      <w:r>
        <w:rPr>
          <w:rFonts w:ascii="Arial" w:cs="Arial" w:eastAsia="Arial" w:hAnsi="Arial"/>
          <w:sz w:val="17"/>
          <w:szCs w:val="17"/>
          <w:color w:val="auto"/>
        </w:rPr>
        <w:t>” has the meaning set forth in Section 2.</w:t>
      </w:r>
    </w:p>
    <w:p>
      <w:pPr>
        <w:spacing w:after="0" w:line="176" w:lineRule="exact"/>
        <w:rPr>
          <w:rFonts w:ascii="Arial" w:cs="Arial" w:eastAsia="Arial" w:hAnsi="Arial"/>
          <w:sz w:val="17"/>
          <w:szCs w:val="17"/>
          <w:color w:val="auto"/>
        </w:rPr>
      </w:pPr>
    </w:p>
    <w:p>
      <w:pPr>
        <w:ind w:left="-916" w:firstLine="916"/>
        <w:spacing w:after="0" w:line="270" w:lineRule="auto"/>
        <w:tabs>
          <w:tab w:leader="none" w:pos="239" w:val="left"/>
        </w:tabs>
        <w:numPr>
          <w:ilvl w:val="0"/>
          <w:numId w:val="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w:t>
      </w:r>
      <w:r>
        <w:rPr>
          <w:rFonts w:ascii="Arial" w:cs="Arial" w:eastAsia="Arial" w:hAnsi="Arial"/>
          <w:sz w:val="16"/>
          <w:szCs w:val="16"/>
          <w:color w:val="auto"/>
        </w:rPr>
        <w:t>” means, with respect to any Dividend Period, the rate for deposits in U.S. dollars for a three-month period that appears on Bloomberg Screen US0003M Index &lt;GO&gt; page (or other applicable page) as of 11:00 a.m. (London time) on the second London Banking Day preceding the first day of that Dividend Period. If the rate described above does not appear on such Bloomberg Screen page, LIBOR will be determined on the basis of the rates at which deposits in U.S. dollars for a three-month period and in a principal amount of not less than $1,000,000 are offered to prime banks in the London interbank market by four major banks in the London interbank market selected by the Corporation, at approximately 11:00 a.m., London time on the second London Banking Day preceding the first day of that Dividend Period. The Corporation will request the principal London office of each of such banks to provide a quotation of its rate. If at least two such quotations are provided, LIBOR with respect to that Dividend Period will be the arithmetic mean (rounded upward if necessary to the nearest .00001 of 1%) of such quotations. If fewer than two quotations are provided, LIBOR with respect to that Dividend Period will be the arithmetic mean (rounded upward if necessary to the nearest .00001 of 1%) of the rates quoted by three major banks in New York, New York, selected by the Corporation, at approximately 11:00 a.m., New York City time, on the first day of that Dividend Period for loans in U.S. dollars to leading European banks for a three-month period and in a principal amount of not less than $1,000,000. However, if the banks selected by the Corporation to provide quotations are not quoting as described above, LIBOR for that Dividend Period will be the same as LIBOR as determined for the previous Dividend Period, or in the case of the first Dividend Period, the most recent rate that could have been determined in accordance with the first sentence of this paragraph had the Series G Preferred Stock been outstanding. The establishment of LIBOR will be final and binding in the absence of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599440</wp:posOffset>
            </wp:positionV>
            <wp:extent cx="7258050"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444"/>
          </w:cols>
          <w:pgMar w:left="1156" w:top="1440" w:right="299" w:bottom="1440" w:gutter="0" w:footer="0" w:header="0"/>
        </w:sectPr>
      </w:pPr>
    </w:p>
    <w:bookmarkStart w:id="116" w:name="page117"/>
    <w:bookmarkEnd w:id="116"/>
    <w:p>
      <w:pPr>
        <w:spacing w:after="0" w:line="200" w:lineRule="exact"/>
        <w:rPr>
          <w:sz w:val="20"/>
          <w:szCs w:val="20"/>
          <w:color w:val="auto"/>
        </w:rPr>
      </w:pPr>
    </w:p>
    <w:p>
      <w:pPr>
        <w:spacing w:after="0" w:line="334" w:lineRule="exact"/>
        <w:rPr>
          <w:sz w:val="20"/>
          <w:szCs w:val="20"/>
          <w:color w:val="auto"/>
        </w:rPr>
      </w:pPr>
    </w:p>
    <w:p>
      <w:pPr>
        <w:ind w:right="880" w:firstLine="916"/>
        <w:spacing w:after="0" w:line="277" w:lineRule="auto"/>
        <w:tabs>
          <w:tab w:leader="none" w:pos="1146" w:val="left"/>
        </w:tabs>
        <w:numPr>
          <w:ilvl w:val="0"/>
          <w:numId w:val="9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Liquidation Preference</w:t>
      </w:r>
      <w:r>
        <w:rPr>
          <w:rFonts w:ascii="Arial" w:cs="Arial" w:eastAsia="Arial" w:hAnsi="Arial"/>
          <w:sz w:val="17"/>
          <w:szCs w:val="17"/>
          <w:color w:val="auto"/>
        </w:rPr>
        <w:t>” means, as to the Series G Preferred Stock, $1,000 per share (as adjusted for any split, subdivision, combination, consolidation, recapitalization or similar event with respect to the Series G Preferred Stock).</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5"/>
          <w:szCs w:val="15"/>
          <w:color w:val="auto"/>
        </w:rPr>
        <w:t>(aa) “</w:t>
      </w:r>
      <w:r>
        <w:rPr>
          <w:rFonts w:ascii="Arial" w:cs="Arial" w:eastAsia="Arial" w:hAnsi="Arial"/>
          <w:sz w:val="15"/>
          <w:szCs w:val="15"/>
          <w:u w:val="single" w:color="auto"/>
          <w:color w:val="auto"/>
        </w:rPr>
        <w:t>London Banking Day</w:t>
      </w:r>
      <w:r>
        <w:rPr>
          <w:rFonts w:ascii="Arial" w:cs="Arial" w:eastAsia="Arial" w:hAnsi="Arial"/>
          <w:sz w:val="15"/>
          <w:szCs w:val="15"/>
          <w:color w:val="auto"/>
        </w:rPr>
        <w:t>” means any day on which commercial banks are open for general business (including dealings in deposits in U.S. dollars) in</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London.</w:t>
      </w:r>
    </w:p>
    <w:p>
      <w:pPr>
        <w:spacing w:after="0" w:line="178" w:lineRule="exact"/>
        <w:rPr>
          <w:sz w:val="20"/>
          <w:szCs w:val="20"/>
          <w:color w:val="auto"/>
        </w:rPr>
      </w:pPr>
    </w:p>
    <w:p>
      <w:pPr>
        <w:ind w:firstLine="916"/>
        <w:spacing w:after="0" w:line="292" w:lineRule="auto"/>
        <w:tabs>
          <w:tab w:leader="none" w:pos="1241" w:val="left"/>
        </w:tabs>
        <w:numPr>
          <w:ilvl w:val="0"/>
          <w:numId w:val="9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Mandatory Conversion Date</w:t>
      </w:r>
      <w:r>
        <w:rPr>
          <w:rFonts w:ascii="Arial" w:cs="Arial" w:eastAsia="Arial" w:hAnsi="Arial"/>
          <w:sz w:val="15"/>
          <w:szCs w:val="15"/>
          <w:color w:val="auto"/>
        </w:rPr>
        <w:t xml:space="preserve">” means, with respect to the shares of Series G Preferred Stock of any Holder, the second Business Day after which the Corporation and/or such Holder, as applicable as to a Holder, has received the Stockholder Approvals (or if a Reorganization Event has theretofore been consummated, the date of consummation of such Reorganization Event) and, if applicable, the Regulatory Approval necessary to permit such Holder to convert such shares of Series G Preferred Stock into authorized Non-Voting Common Stock without such conversion resulting in a Violation or, in the case of the Regulatory Approval, a violation of the Hart-Scott-Rodino Antitrust Improvements Act of 1976, as amended, and the rules and regulations thereunder,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if a Mandatory Conversion Date would otherwise occur on or after an Ex-Date for an issuance or distribution that results in an adjustment of the Conversion Price pursuant to Section 10 and on or before the Record Date for such issuance or distribution, such Mandatory Conversion Date shall instead occur on the first calendar day after the Record Date for such issuance or distribution, and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that if a Mandatory Conversion Date would otherwise occur but such Holder has not received all accrued and unpaid dividends, whether or not declared, with respect to any Dividend Period completed prior to such Mandatory Conversion Date, such Mandatory Conversion Date shall instead occur on the first calendar day after such Holder has received all such accrued and unpaid dividends.</w:t>
      </w:r>
    </w:p>
    <w:p>
      <w:pPr>
        <w:spacing w:after="0" w:line="119" w:lineRule="exact"/>
        <w:rPr>
          <w:rFonts w:ascii="Arial" w:cs="Arial" w:eastAsia="Arial" w:hAnsi="Arial"/>
          <w:sz w:val="15"/>
          <w:szCs w:val="15"/>
          <w:color w:val="auto"/>
        </w:rPr>
      </w:pPr>
    </w:p>
    <w:p>
      <w:pPr>
        <w:ind w:left="1220" w:hanging="304"/>
        <w:spacing w:after="0"/>
        <w:tabs>
          <w:tab w:leader="none" w:pos="12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Non-Voting Common Stock</w:t>
      </w:r>
      <w:r>
        <w:rPr>
          <w:rFonts w:ascii="Arial" w:cs="Arial" w:eastAsia="Arial" w:hAnsi="Arial"/>
          <w:sz w:val="17"/>
          <w:szCs w:val="17"/>
          <w:color w:val="auto"/>
        </w:rPr>
        <w:t>” has the meaning set forth in Section 2.</w:t>
      </w:r>
    </w:p>
    <w:p>
      <w:pPr>
        <w:spacing w:after="0" w:line="176" w:lineRule="exact"/>
        <w:rPr>
          <w:rFonts w:ascii="Arial" w:cs="Arial" w:eastAsia="Arial" w:hAnsi="Arial"/>
          <w:sz w:val="17"/>
          <w:szCs w:val="17"/>
          <w:color w:val="auto"/>
        </w:rPr>
      </w:pPr>
    </w:p>
    <w:p>
      <w:pPr>
        <w:ind w:left="1240" w:hanging="324"/>
        <w:spacing w:after="0"/>
        <w:tabs>
          <w:tab w:leader="none" w:pos="12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 of Mandatory Conversion”</w:t>
      </w:r>
      <w:r>
        <w:rPr>
          <w:rFonts w:ascii="Arial" w:cs="Arial" w:eastAsia="Arial" w:hAnsi="Arial"/>
          <w:sz w:val="17"/>
          <w:szCs w:val="17"/>
          <w:color w:val="auto"/>
        </w:rPr>
        <w:t xml:space="preserve"> has the meaning set forth in Section 9(a).</w:t>
      </w:r>
    </w:p>
    <w:p>
      <w:pPr>
        <w:spacing w:after="0" w:line="189" w:lineRule="exact"/>
        <w:rPr>
          <w:rFonts w:ascii="Arial" w:cs="Arial" w:eastAsia="Arial" w:hAnsi="Arial"/>
          <w:sz w:val="17"/>
          <w:szCs w:val="17"/>
          <w:color w:val="auto"/>
        </w:rPr>
      </w:pPr>
    </w:p>
    <w:p>
      <w:pPr>
        <w:ind w:left="1220" w:hanging="304"/>
        <w:spacing w:after="0"/>
        <w:tabs>
          <w:tab w:leader="none" w:pos="12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Parity Securities</w:t>
      </w:r>
      <w:r>
        <w:rPr>
          <w:rFonts w:ascii="Arial" w:cs="Arial" w:eastAsia="Arial" w:hAnsi="Arial"/>
          <w:sz w:val="17"/>
          <w:szCs w:val="17"/>
          <w:color w:val="auto"/>
        </w:rPr>
        <w:t>” has the meaning set forth in Section 2.</w:t>
      </w:r>
    </w:p>
    <w:p>
      <w:pPr>
        <w:spacing w:after="0" w:line="176" w:lineRule="exact"/>
        <w:rPr>
          <w:rFonts w:ascii="Arial" w:cs="Arial" w:eastAsia="Arial" w:hAnsi="Arial"/>
          <w:sz w:val="17"/>
          <w:szCs w:val="17"/>
          <w:color w:val="auto"/>
        </w:rPr>
      </w:pPr>
    </w:p>
    <w:p>
      <w:pPr>
        <w:ind w:right="340" w:firstLine="916"/>
        <w:spacing w:after="0" w:line="277" w:lineRule="auto"/>
        <w:tabs>
          <w:tab w:leader="none" w:pos="1181" w:val="left"/>
        </w:tabs>
        <w:numPr>
          <w:ilvl w:val="0"/>
          <w:numId w:val="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 legal person, including any individual, corporation, estate, partnership, joint venture, association, joint-stock company, limited liability company or trust.</w:t>
      </w:r>
    </w:p>
    <w:p>
      <w:pPr>
        <w:spacing w:after="0" w:line="125" w:lineRule="exact"/>
        <w:rPr>
          <w:rFonts w:ascii="Arial" w:cs="Arial" w:eastAsia="Arial" w:hAnsi="Arial"/>
          <w:sz w:val="17"/>
          <w:szCs w:val="17"/>
          <w:color w:val="auto"/>
        </w:rPr>
      </w:pPr>
    </w:p>
    <w:p>
      <w:pPr>
        <w:ind w:left="1240" w:hanging="324"/>
        <w:spacing w:after="0"/>
        <w:tabs>
          <w:tab w:leader="none" w:pos="12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Record Date</w:t>
      </w:r>
      <w:r>
        <w:rPr>
          <w:rFonts w:ascii="Arial" w:cs="Arial" w:eastAsia="Arial" w:hAnsi="Arial"/>
          <w:sz w:val="17"/>
          <w:szCs w:val="17"/>
          <w:color w:val="auto"/>
        </w:rPr>
        <w:t>” has the meaning set forth in Section 4(d).</w:t>
      </w:r>
    </w:p>
    <w:p>
      <w:pPr>
        <w:spacing w:after="0" w:line="189" w:lineRule="exact"/>
        <w:rPr>
          <w:rFonts w:ascii="Arial" w:cs="Arial" w:eastAsia="Arial" w:hAnsi="Arial"/>
          <w:sz w:val="17"/>
          <w:szCs w:val="17"/>
          <w:color w:val="auto"/>
        </w:rPr>
      </w:pPr>
    </w:p>
    <w:p>
      <w:pPr>
        <w:ind w:right="100" w:firstLine="916"/>
        <w:spacing w:after="0" w:line="305" w:lineRule="auto"/>
        <w:tabs>
          <w:tab w:leader="none" w:pos="1241" w:val="left"/>
        </w:tabs>
        <w:numPr>
          <w:ilvl w:val="0"/>
          <w:numId w:val="9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Regulatory Approval</w:t>
      </w:r>
      <w:r>
        <w:rPr>
          <w:rFonts w:ascii="Arial" w:cs="Arial" w:eastAsia="Arial" w:hAnsi="Arial"/>
          <w:sz w:val="15"/>
          <w:szCs w:val="15"/>
          <w:color w:val="auto"/>
        </w:rPr>
        <w:t>” means, as to any Holder, to the extent applicable and required to permit such Holder to convert such Holder’s shares of Series G Preferred Stock into Non-Voting Common Stock and to own such Non-Voting Common Stock without such Holder being in violation of applicable law, rule or regulation, the receipt of approvals and authorizations of, filings and registrations with or notifications to any governmental authority, or expiration or termination of any applicable waiting period under, the Hart-Scott-Rodino Antitrust Improvements Act of 1976, as amended, and the rules and regulations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572135</wp:posOffset>
            </wp:positionV>
            <wp:extent cx="725805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7" w:name="page118"/>
    <w:bookmarkEnd w:id="117"/>
    <w:p>
      <w:pPr>
        <w:spacing w:after="0" w:line="200" w:lineRule="exact"/>
        <w:rPr>
          <w:sz w:val="20"/>
          <w:szCs w:val="20"/>
          <w:color w:val="auto"/>
        </w:rPr>
      </w:pPr>
    </w:p>
    <w:p>
      <w:pPr>
        <w:spacing w:after="0" w:line="334" w:lineRule="exact"/>
        <w:rPr>
          <w:sz w:val="20"/>
          <w:szCs w:val="20"/>
          <w:color w:val="auto"/>
        </w:rPr>
      </w:pPr>
    </w:p>
    <w:p>
      <w:pPr>
        <w:ind w:left="1160" w:hanging="244"/>
        <w:spacing w:after="0"/>
        <w:tabs>
          <w:tab w:leader="none" w:pos="1160" w:val="left"/>
        </w:tabs>
        <w:numPr>
          <w:ilvl w:val="1"/>
          <w:numId w:val="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Reorganization Event</w:t>
      </w:r>
      <w:r>
        <w:rPr>
          <w:rFonts w:ascii="Arial" w:cs="Arial" w:eastAsia="Arial" w:hAnsi="Arial"/>
          <w:sz w:val="17"/>
          <w:szCs w:val="17"/>
          <w:color w:val="auto"/>
        </w:rPr>
        <w:t>” has the meaning set forth in Section 11(a).</w:t>
      </w:r>
    </w:p>
    <w:p>
      <w:pPr>
        <w:spacing w:after="0" w:line="176" w:lineRule="exact"/>
        <w:rPr>
          <w:rFonts w:ascii="Arial" w:cs="Arial" w:eastAsia="Arial" w:hAnsi="Arial"/>
          <w:sz w:val="17"/>
          <w:szCs w:val="17"/>
          <w:color w:val="auto"/>
        </w:rPr>
      </w:pPr>
    </w:p>
    <w:p>
      <w:pPr>
        <w:ind w:left="1160" w:hanging="244"/>
        <w:spacing w:after="0"/>
        <w:tabs>
          <w:tab w:leader="none" w:pos="1160" w:val="left"/>
        </w:tabs>
        <w:numPr>
          <w:ilvl w:val="1"/>
          <w:numId w:val="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G Preferred Stock</w:t>
      </w:r>
      <w:r>
        <w:rPr>
          <w:rFonts w:ascii="Arial" w:cs="Arial" w:eastAsia="Arial" w:hAnsi="Arial"/>
          <w:sz w:val="17"/>
          <w:szCs w:val="17"/>
          <w:color w:val="auto"/>
        </w:rPr>
        <w:t>” has the meaning set forth in Section 1.</w:t>
      </w:r>
    </w:p>
    <w:p>
      <w:pPr>
        <w:spacing w:after="0" w:line="189" w:lineRule="exact"/>
        <w:rPr>
          <w:rFonts w:ascii="Arial" w:cs="Arial" w:eastAsia="Arial" w:hAnsi="Arial"/>
          <w:sz w:val="17"/>
          <w:szCs w:val="17"/>
          <w:color w:val="auto"/>
        </w:rPr>
      </w:pPr>
    </w:p>
    <w:p>
      <w:pPr>
        <w:ind w:right="20" w:firstLine="916"/>
        <w:spacing w:after="0" w:line="258" w:lineRule="auto"/>
        <w:tabs>
          <w:tab w:leader="none" w:pos="1241" w:val="left"/>
        </w:tabs>
        <w:numPr>
          <w:ilvl w:val="1"/>
          <w:numId w:val="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Stockholder Approvals</w:t>
      </w:r>
      <w:r>
        <w:rPr>
          <w:rFonts w:ascii="Arial" w:cs="Arial" w:eastAsia="Arial" w:hAnsi="Arial"/>
          <w:sz w:val="17"/>
          <w:szCs w:val="17"/>
          <w:color w:val="auto"/>
        </w:rPr>
        <w:t>” means all stockholder approvals necessary to (1) approve the conversion of the Non-Voting Common Stock into Common Stock for purposes of Rule 5635 of the Nasdaq Stock Market Rules, and (2) approve the amendment to the Articles of Incorporation to (i) authorize a number of shares of Non-Voting Common Stock sufficient to permit the full conversion of the Series G Preferred Stock into Non-Voting Common Stock and the issuance of certain additional shares of Non-Voting Common Stock and (ii) increase the number of authorized shares of Common Stock to at least such number as shall be sufficient to permit the full conversion of the Non-Voting Common Stock.</w:t>
      </w:r>
    </w:p>
    <w:p>
      <w:pPr>
        <w:spacing w:after="0" w:line="141" w:lineRule="exact"/>
        <w:rPr>
          <w:rFonts w:ascii="Arial" w:cs="Arial" w:eastAsia="Arial" w:hAnsi="Arial"/>
          <w:sz w:val="17"/>
          <w:szCs w:val="17"/>
          <w:color w:val="auto"/>
        </w:rPr>
      </w:pPr>
    </w:p>
    <w:p>
      <w:pPr>
        <w:ind w:left="1160" w:hanging="244"/>
        <w:spacing w:after="0"/>
        <w:tabs>
          <w:tab w:leader="none" w:pos="1160" w:val="left"/>
        </w:tabs>
        <w:numPr>
          <w:ilvl w:val="1"/>
          <w:numId w:val="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Day</w:t>
      </w:r>
      <w:r>
        <w:rPr>
          <w:rFonts w:ascii="Arial" w:cs="Arial" w:eastAsia="Arial" w:hAnsi="Arial"/>
          <w:sz w:val="17"/>
          <w:szCs w:val="17"/>
          <w:color w:val="auto"/>
        </w:rPr>
        <w:t>” means a day on which the shares of Common Stock:</w:t>
      </w:r>
    </w:p>
    <w:p>
      <w:pPr>
        <w:spacing w:after="0" w:line="176" w:lineRule="exact"/>
        <w:rPr>
          <w:rFonts w:ascii="Arial" w:cs="Arial" w:eastAsia="Arial" w:hAnsi="Arial"/>
          <w:sz w:val="17"/>
          <w:szCs w:val="17"/>
          <w:color w:val="auto"/>
        </w:rPr>
      </w:pPr>
    </w:p>
    <w:p>
      <w:pPr>
        <w:ind w:left="660" w:hanging="201"/>
        <w:spacing w:after="0"/>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are not suspended from trading on any national or regional securities exchange or association or over-the-counter market at the close of business; and</w:t>
      </w:r>
    </w:p>
    <w:p>
      <w:pPr>
        <w:spacing w:after="0" w:line="200" w:lineRule="exact"/>
        <w:rPr>
          <w:rFonts w:ascii="Arial" w:cs="Arial" w:eastAsia="Arial" w:hAnsi="Arial"/>
          <w:sz w:val="16"/>
          <w:szCs w:val="16"/>
          <w:color w:val="auto"/>
        </w:rPr>
      </w:pPr>
    </w:p>
    <w:p>
      <w:pPr>
        <w:ind w:right="80" w:firstLine="459"/>
        <w:spacing w:after="0" w:line="277" w:lineRule="auto"/>
        <w:tabs>
          <w:tab w:leader="none" w:pos="708" w:val="left"/>
        </w:tabs>
        <w:numPr>
          <w:ilvl w:val="0"/>
          <w:numId w:val="99"/>
        </w:numPr>
        <w:rPr>
          <w:rFonts w:ascii="Arial" w:cs="Arial" w:eastAsia="Arial" w:hAnsi="Arial"/>
          <w:sz w:val="17"/>
          <w:szCs w:val="17"/>
          <w:color w:val="auto"/>
        </w:rPr>
      </w:pPr>
      <w:r>
        <w:rPr>
          <w:rFonts w:ascii="Arial" w:cs="Arial" w:eastAsia="Arial" w:hAnsi="Arial"/>
          <w:sz w:val="17"/>
          <w:szCs w:val="17"/>
          <w:color w:val="auto"/>
        </w:rPr>
        <w:t>have traded at least once on the national or regional securities exchange or association or over-the-counter market that is the primary market for the trading of the Common Stock.</w:t>
      </w:r>
    </w:p>
    <w:p>
      <w:pPr>
        <w:spacing w:after="0" w:line="125" w:lineRule="exact"/>
        <w:rPr>
          <w:rFonts w:ascii="Arial" w:cs="Arial" w:eastAsia="Arial" w:hAnsi="Arial"/>
          <w:sz w:val="17"/>
          <w:szCs w:val="17"/>
          <w:color w:val="auto"/>
        </w:rPr>
      </w:pPr>
    </w:p>
    <w:p>
      <w:pPr>
        <w:ind w:left="1340" w:hanging="424"/>
        <w:spacing w:after="0"/>
        <w:tabs>
          <w:tab w:leader="none" w:pos="1340" w:val="left"/>
        </w:tabs>
        <w:numPr>
          <w:ilvl w:val="1"/>
          <w:numId w:val="9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Violation</w:t>
      </w:r>
      <w:r>
        <w:rPr>
          <w:rFonts w:ascii="Arial" w:cs="Arial" w:eastAsia="Arial" w:hAnsi="Arial"/>
          <w:sz w:val="17"/>
          <w:szCs w:val="17"/>
          <w:color w:val="auto"/>
        </w:rPr>
        <w:t>” means a violation of the stockholder approval requirements of Rule 5635 of the Nasdaq Stock Market Rules.</w:t>
      </w:r>
    </w:p>
    <w:p>
      <w:pPr>
        <w:spacing w:after="0" w:line="176" w:lineRule="exact"/>
        <w:rPr>
          <w:rFonts w:ascii="Arial" w:cs="Arial" w:eastAsia="Arial" w:hAnsi="Arial"/>
          <w:sz w:val="17"/>
          <w:szCs w:val="17"/>
          <w:color w:val="auto"/>
        </w:rPr>
      </w:pPr>
    </w:p>
    <w:p>
      <w:pPr>
        <w:ind w:left="1240" w:hanging="324"/>
        <w:spacing w:after="0"/>
        <w:tabs>
          <w:tab w:leader="none" w:pos="1240" w:val="left"/>
        </w:tabs>
        <w:numPr>
          <w:ilvl w:val="1"/>
          <w:numId w:val="9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Securities</w:t>
      </w:r>
      <w:r>
        <w:rPr>
          <w:rFonts w:ascii="Arial" w:cs="Arial" w:eastAsia="Arial" w:hAnsi="Arial"/>
          <w:sz w:val="17"/>
          <w:szCs w:val="17"/>
          <w:color w:val="auto"/>
        </w:rPr>
        <w:t>” has the meaning set forth in the BHC Act and any rules or regulations promulgated thereunder.</w:t>
      </w:r>
    </w:p>
    <w:p>
      <w:pPr>
        <w:spacing w:after="0" w:line="189" w:lineRule="exact"/>
        <w:rPr>
          <w:sz w:val="20"/>
          <w:szCs w:val="20"/>
          <w:color w:val="auto"/>
        </w:rPr>
      </w:pPr>
    </w:p>
    <w:p>
      <w:pPr>
        <w:ind w:firstLine="914"/>
        <w:spacing w:after="0" w:line="264" w:lineRule="auto"/>
        <w:rPr>
          <w:sz w:val="20"/>
          <w:szCs w:val="20"/>
          <w:color w:val="auto"/>
        </w:rPr>
      </w:pPr>
      <w:r>
        <w:rPr>
          <w:rFonts w:ascii="Arial" w:cs="Arial" w:eastAsia="Arial" w:hAnsi="Arial"/>
          <w:sz w:val="17"/>
          <w:szCs w:val="17"/>
          <w:i w:val="1"/>
          <w:iCs w:val="1"/>
          <w:color w:val="auto"/>
        </w:rPr>
        <w:t xml:space="preserve">Section 4. Dividends. </w:t>
      </w:r>
      <w:r>
        <w:rPr>
          <w:rFonts w:ascii="Arial" w:cs="Arial" w:eastAsia="Arial" w:hAnsi="Arial"/>
          <w:sz w:val="17"/>
          <w:szCs w:val="17"/>
          <w:color w:val="auto"/>
        </w:rPr>
        <w:t>(a) From and after the Effective Date, the Holders shall be entitled to receive, when, as and if declared by the Board of Directors or</w:t>
      </w:r>
      <w:r>
        <w:rPr>
          <w:rFonts w:ascii="Arial" w:cs="Arial" w:eastAsia="Arial" w:hAnsi="Arial"/>
          <w:sz w:val="17"/>
          <w:szCs w:val="17"/>
          <w:i w:val="1"/>
          <w:iCs w:val="1"/>
          <w:color w:val="auto"/>
        </w:rPr>
        <w:t xml:space="preserve"> </w:t>
      </w:r>
      <w:r>
        <w:rPr>
          <w:rFonts w:ascii="Arial" w:cs="Arial" w:eastAsia="Arial" w:hAnsi="Arial"/>
          <w:sz w:val="17"/>
          <w:szCs w:val="17"/>
          <w:color w:val="auto"/>
        </w:rPr>
        <w:t>a duly authorized committee of the Board of Directors, out of funds legally available therefor, cumulative dividends of the type and in the amounts determined as set forth in this Section 4, and no more.</w:t>
      </w:r>
    </w:p>
    <w:p>
      <w:pPr>
        <w:spacing w:after="0" w:line="137" w:lineRule="exact"/>
        <w:rPr>
          <w:sz w:val="20"/>
          <w:szCs w:val="20"/>
          <w:color w:val="auto"/>
        </w:rPr>
      </w:pPr>
    </w:p>
    <w:p>
      <w:pPr>
        <w:ind w:right="60" w:firstLine="916"/>
        <w:spacing w:after="0" w:line="274" w:lineRule="auto"/>
        <w:tabs>
          <w:tab w:leader="none" w:pos="1156"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Commencing on the Effective Date, dividends shall accrue and shall be payable semi-annually in arrears on March 30th and September 30th of each year (each, a “</w:t>
      </w:r>
      <w:r>
        <w:rPr>
          <w:rFonts w:ascii="Arial" w:cs="Arial" w:eastAsia="Arial" w:hAnsi="Arial"/>
          <w:sz w:val="16"/>
          <w:szCs w:val="16"/>
          <w:u w:val="single" w:color="auto"/>
          <w:color w:val="auto"/>
        </w:rPr>
        <w:t>Dividend Payment Date</w:t>
      </w:r>
      <w:r>
        <w:rPr>
          <w:rFonts w:ascii="Arial" w:cs="Arial" w:eastAsia="Arial" w:hAnsi="Arial"/>
          <w:sz w:val="16"/>
          <w:szCs w:val="16"/>
          <w:color w:val="auto"/>
        </w:rPr>
        <w:t>”) or, if any such day is not a Business Day, the next Business Day. Dividends payable pursuant to this Section 4, if, when and as declared by the Board of Directors or a duly authorized committee of the Board of Directors, will be, for each outstanding share of Series G Preferred Stock, payable in cash at an annual rate equal to the Dividend Rate multiplied by the sum of (i) the Liquidation Preference plus (ii) all accrued and unpaid dividends for any prior Dividend Period that are payable on such share of Series G Preferred Stock, payable in cash (such dividend, the “</w:t>
      </w:r>
      <w:r>
        <w:rPr>
          <w:rFonts w:ascii="Arial" w:cs="Arial" w:eastAsia="Arial" w:hAnsi="Arial"/>
          <w:sz w:val="16"/>
          <w:szCs w:val="16"/>
          <w:u w:val="single" w:color="auto"/>
          <w:color w:val="auto"/>
        </w:rPr>
        <w:t>Dividend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As-Converted Dividend for such Dividend Period is greater than the Dividend, each outstanding share of Series G Preferred Stock shall be entitled to receive, when and as declared by the Board of Directors, the As-Converted Dividend rather than the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594360</wp:posOffset>
            </wp:positionV>
            <wp:extent cx="725805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18" w:name="page119"/>
    <w:bookmarkEnd w:id="118"/>
    <w:p>
      <w:pPr>
        <w:spacing w:after="0" w:line="200" w:lineRule="exact"/>
        <w:rPr>
          <w:sz w:val="20"/>
          <w:szCs w:val="20"/>
          <w:color w:val="auto"/>
        </w:rPr>
      </w:pPr>
    </w:p>
    <w:p>
      <w:pPr>
        <w:spacing w:after="0" w:line="333" w:lineRule="exact"/>
        <w:rPr>
          <w:sz w:val="20"/>
          <w:szCs w:val="20"/>
          <w:color w:val="auto"/>
        </w:rPr>
      </w:pPr>
    </w:p>
    <w:p>
      <w:pPr>
        <w:jc w:val="both"/>
        <w:ind w:left="-916" w:right="160" w:firstLine="916"/>
        <w:spacing w:after="0" w:line="260" w:lineRule="auto"/>
        <w:tabs>
          <w:tab w:leader="none" w:pos="23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Dividends payable pursuant to Section 4 will be computed on the basis of a 360-day year of twelve 30-day months and, for any Dividend Period greater or less than a full Dividend Period, will be computed on the basis of the actual number of days elapsed in the period divided by 360. The period from the Effective Date to but excluding September 30, 2011 and each period from and including a Dividend Payment Date to but excluding the following Dividend Payment Date is herein referred to as a “</w:t>
      </w:r>
      <w:r>
        <w:rPr>
          <w:rFonts w:ascii="Arial" w:cs="Arial" w:eastAsia="Arial" w:hAnsi="Arial"/>
          <w:sz w:val="17"/>
          <w:szCs w:val="17"/>
          <w:u w:val="single" w:color="auto"/>
          <w:color w:val="auto"/>
        </w:rPr>
        <w:t>Dividend Period</w:t>
      </w:r>
      <w:r>
        <w:rPr>
          <w:rFonts w:ascii="Arial" w:cs="Arial" w:eastAsia="Arial" w:hAnsi="Arial"/>
          <w:sz w:val="17"/>
          <w:szCs w:val="17"/>
          <w:color w:val="auto"/>
        </w:rPr>
        <w:t>”.</w:t>
      </w:r>
    </w:p>
    <w:p>
      <w:pPr>
        <w:spacing w:after="0" w:line="140" w:lineRule="exact"/>
        <w:rPr>
          <w:rFonts w:ascii="Arial" w:cs="Arial" w:eastAsia="Arial" w:hAnsi="Arial"/>
          <w:sz w:val="17"/>
          <w:szCs w:val="17"/>
          <w:color w:val="auto"/>
        </w:rPr>
      </w:pPr>
    </w:p>
    <w:p>
      <w:pPr>
        <w:ind w:left="-916" w:right="280" w:firstLine="916"/>
        <w:spacing w:after="0" w:line="264" w:lineRule="auto"/>
        <w:tabs>
          <w:tab w:leader="none" w:pos="239" w:val="left"/>
        </w:tabs>
        <w:numPr>
          <w:ilvl w:val="0"/>
          <w:numId w:val="101"/>
        </w:numPr>
        <w:rPr>
          <w:rFonts w:ascii="Arial" w:cs="Arial" w:eastAsia="Arial" w:hAnsi="Arial"/>
          <w:sz w:val="17"/>
          <w:szCs w:val="17"/>
          <w:color w:val="auto"/>
        </w:rPr>
      </w:pPr>
      <w:r>
        <w:rPr>
          <w:rFonts w:ascii="Arial" w:cs="Arial" w:eastAsia="Arial" w:hAnsi="Arial"/>
          <w:sz w:val="17"/>
          <w:szCs w:val="17"/>
          <w:color w:val="auto"/>
        </w:rPr>
        <w:t>Each dividend will be payable to Holders of record as they appear in the records of the Corporation on the applicable record date (each, a “</w:t>
      </w:r>
      <w:r>
        <w:rPr>
          <w:rFonts w:ascii="Arial" w:cs="Arial" w:eastAsia="Arial" w:hAnsi="Arial"/>
          <w:sz w:val="17"/>
          <w:szCs w:val="17"/>
          <w:u w:val="single" w:color="auto"/>
          <w:color w:val="auto"/>
        </w:rPr>
        <w:t>Record</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which with respect to dividends payable pursuant to this Section 4, shall be on the fifteenth day of the month immediately prior to the month in which the relevant Dividend Payment Date occurs.</w:t>
      </w:r>
    </w:p>
    <w:p>
      <w:pPr>
        <w:spacing w:after="0" w:line="149" w:lineRule="exact"/>
        <w:rPr>
          <w:rFonts w:ascii="Arial" w:cs="Arial" w:eastAsia="Arial" w:hAnsi="Arial"/>
          <w:sz w:val="17"/>
          <w:szCs w:val="17"/>
          <w:color w:val="auto"/>
        </w:rPr>
      </w:pPr>
    </w:p>
    <w:p>
      <w:pPr>
        <w:ind w:left="-916" w:right="120" w:firstLine="916"/>
        <w:spacing w:after="0" w:line="305" w:lineRule="auto"/>
        <w:tabs>
          <w:tab w:leader="none" w:pos="23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Dividends on the Series G Preferred Stock are cumulative. Such dividends shall begin to accrue and be cumulative from the Effective Date (in the case of the shares of Series G Preferred Stock issued on the Effective Date), shall compound at the relevant rate on each subsequent Dividend Payment Date (</w:t>
      </w:r>
      <w:r>
        <w:rPr>
          <w:rFonts w:ascii="Arial" w:cs="Arial" w:eastAsia="Arial" w:hAnsi="Arial"/>
          <w:sz w:val="15"/>
          <w:szCs w:val="15"/>
          <w:i w:val="1"/>
          <w:iCs w:val="1"/>
          <w:color w:val="auto"/>
        </w:rPr>
        <w:t>i.e.</w:t>
      </w:r>
      <w:r>
        <w:rPr>
          <w:rFonts w:ascii="Arial" w:cs="Arial" w:eastAsia="Arial" w:hAnsi="Arial"/>
          <w:sz w:val="15"/>
          <w:szCs w:val="15"/>
          <w:color w:val="auto"/>
        </w:rPr>
        <w:t>, no dividends shall accrue on another dividend unless and until the first Dividend Payment Date for such other dividends has passed without such other dividends having been paid on such date) and shall be payable semi-annually in arrears on each Dividend Payment Date, commencing with the first such Dividend Payment Date.</w:t>
      </w:r>
    </w:p>
    <w:p>
      <w:pPr>
        <w:spacing w:after="0" w:line="110" w:lineRule="exact"/>
        <w:rPr>
          <w:rFonts w:ascii="Arial" w:cs="Arial" w:eastAsia="Arial" w:hAnsi="Arial"/>
          <w:sz w:val="15"/>
          <w:szCs w:val="15"/>
          <w:color w:val="auto"/>
        </w:rPr>
      </w:pPr>
    </w:p>
    <w:p>
      <w:pPr>
        <w:ind w:left="-916" w:firstLine="916"/>
        <w:spacing w:after="0" w:line="269" w:lineRule="auto"/>
        <w:tabs>
          <w:tab w:leader="none" w:pos="211"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So long as any shares of Series G Preferred Stock remain outstanding, if all dividends payable pursuant to Section 4 on all outstanding shares of the Series G Preferred Stock for any Dividend Period have not been declared and paid, or declared and funds set aside therefor, the Corporation shall not, directly or indirectly, (x) declare or pay dividends with respect to, or make any distributions on, or, directly or indirectly, redeem, purchase or acquire any of its Junior Securities or (y) directly or indirectly, redeem, purchase or acquire any of its Parity Securities, other than, in each case, (i) redemptions, purchases or other acquisitions of Junior Securities or Parity Securities in connection with any employment contract, benefit plan or other similar arrangement with or for the benefit of any one or more employees, officers, directors or consultants or in connection with a dividend reinvestment plan, (ii) any declaration of a dividend in connection with any stockholders’ rights plan, or the issuance of rights, stock or other property under any stockholders’ rights plan, or the redemption or repurchase of rights pursuant thereto, (iii) conversions or exchanges of Junior Securities or Parity Securities for Junior Securities or Parity Securities, respectively, and (iv) any purchase of fractional interests in shares of the Corporation’s capital stock pursuant to the conversion or exchange provisions of such capital stock or the securities being converted or exchanged. If dividends payable pursuant to Section 4 for any Dividend Payment Date are not paid in full, or declared and funds set aside therefor on the shares of the Series G Preferred Stock and there are issued and outstanding shares of Parity Securities with the same Dividend Payment Date (or, in the case of Parity Securities having dividend payment dates different from the Dividend Payment Dates, on a dividend payment date falling within a Dividend Period applicable to such Dividend Payment Date), then all dividends declared on shares of the Series G Preferred Stock and such Parity Securities on such date or dates, as the case may be, shall be declared pro rata so that the respective amounts of such dividends shall bear the same ratio to each other as full semi-annual dividends per share payable on the shares of the Series G Preferred Stock pursuant to Section 4 and all such Parity Securities otherwise payable on such Dividend Payment Date (or, in the case of Parity Securities having dividend payment dates different from the Dividend Payment Dates, on a dividend payment date falling within a Dividend Period applicable to such Dividend Payment Date) (subject to such dividends on such Parity Securities having been declared by the Board of Directors out of legally available funds and including, in the case of any such Parity Securities that bear cumulative dividends, all accrued but unpaid dividends) bear to each other. However, the foregoing provisions shall not restrict the ability of any Affiliate of the Corporation to engage in any market making transactions in Junior Securities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602615</wp:posOffset>
            </wp:positionV>
            <wp:extent cx="7258050"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504"/>
          </w:cols>
          <w:pgMar w:left="1156" w:top="1440" w:right="239" w:bottom="1440" w:gutter="0" w:footer="0" w:header="0"/>
        </w:sectPr>
      </w:pPr>
    </w:p>
    <w:bookmarkStart w:id="119" w:name="page120"/>
    <w:bookmarkEnd w:id="119"/>
    <w:p>
      <w:pPr>
        <w:spacing w:after="0" w:line="200" w:lineRule="exact"/>
        <w:rPr>
          <w:sz w:val="20"/>
          <w:szCs w:val="20"/>
          <w:color w:val="auto"/>
        </w:rPr>
      </w:pPr>
    </w:p>
    <w:p>
      <w:pPr>
        <w:spacing w:after="0" w:line="333" w:lineRule="exact"/>
        <w:rPr>
          <w:sz w:val="20"/>
          <w:szCs w:val="20"/>
          <w:color w:val="auto"/>
        </w:rPr>
      </w:pPr>
    </w:p>
    <w:p>
      <w:pPr>
        <w:ind w:right="100" w:firstLine="916"/>
        <w:spacing w:after="0" w:line="260" w:lineRule="auto"/>
        <w:tabs>
          <w:tab w:leader="none" w:pos="1156"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If the Mandatory Conversion Date with respect to any share of Series G Preferred Stock is prior to the Dividend Payment Date applicable to any Dividend Period, the Holder of such share of Series G Preferred Stock will not have the right to receive any dividends on the Series G Preferred Stock with respect to such Dividend Period, provided that this provision shall not affect any rights to receive any accrued but unpaid dividends on the Series G Preferred Stock attributable to any Dividend Period completed prior to the Mandatory Conversion Date.</w:t>
      </w:r>
    </w:p>
    <w:p>
      <w:pPr>
        <w:spacing w:after="0" w:line="140" w:lineRule="exact"/>
        <w:rPr>
          <w:rFonts w:ascii="Arial" w:cs="Arial" w:eastAsia="Arial" w:hAnsi="Arial"/>
          <w:sz w:val="17"/>
          <w:szCs w:val="17"/>
          <w:color w:val="auto"/>
        </w:rPr>
      </w:pPr>
    </w:p>
    <w:p>
      <w:pPr>
        <w:ind w:firstLine="916"/>
        <w:spacing w:after="0" w:line="288" w:lineRule="auto"/>
        <w:tabs>
          <w:tab w:leader="none" w:pos="115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Corporation, in satisfaction of its obligation to issue preferred stock under any provision of this Certificate of Designations to any Holder, may, in order to minimize the number of its authorized and unissued shares of preferred stock used for such purpose, issue depositary shares for such preferred stock, with such depositary shares and underlying preferred stock being in such denominations as the Corporation and such Holder shall mutually agree.</w:t>
      </w:r>
    </w:p>
    <w:p>
      <w:pPr>
        <w:spacing w:after="0" w:line="133" w:lineRule="exact"/>
        <w:rPr>
          <w:sz w:val="20"/>
          <w:szCs w:val="20"/>
          <w:color w:val="auto"/>
        </w:rPr>
      </w:pPr>
    </w:p>
    <w:p>
      <w:pPr>
        <w:ind w:right="100" w:firstLine="914"/>
        <w:spacing w:after="0" w:line="295" w:lineRule="auto"/>
        <w:rPr>
          <w:sz w:val="20"/>
          <w:szCs w:val="20"/>
          <w:color w:val="auto"/>
        </w:rPr>
      </w:pPr>
      <w:r>
        <w:rPr>
          <w:rFonts w:ascii="Arial" w:cs="Arial" w:eastAsia="Arial" w:hAnsi="Arial"/>
          <w:sz w:val="15"/>
          <w:szCs w:val="15"/>
          <w:i w:val="1"/>
          <w:iCs w:val="1"/>
          <w:color w:val="auto"/>
        </w:rPr>
        <w:t xml:space="preserve">Section 5. Liquidation. </w:t>
      </w:r>
      <w:r>
        <w:rPr>
          <w:rFonts w:ascii="Arial" w:cs="Arial" w:eastAsia="Arial" w:hAnsi="Arial"/>
          <w:sz w:val="15"/>
          <w:szCs w:val="15"/>
          <w:color w:val="auto"/>
        </w:rPr>
        <w:t>(a) In the event the Corporation voluntarily or involuntarily liquidates, dissolves or winds up, the Holders at the time shall be</w:t>
      </w:r>
      <w:r>
        <w:rPr>
          <w:rFonts w:ascii="Arial" w:cs="Arial" w:eastAsia="Arial" w:hAnsi="Arial"/>
          <w:sz w:val="15"/>
          <w:szCs w:val="15"/>
          <w:i w:val="1"/>
          <w:iCs w:val="1"/>
          <w:color w:val="auto"/>
        </w:rPr>
        <w:t xml:space="preserve"> </w:t>
      </w:r>
      <w:r>
        <w:rPr>
          <w:rFonts w:ascii="Arial" w:cs="Arial" w:eastAsia="Arial" w:hAnsi="Arial"/>
          <w:sz w:val="15"/>
          <w:szCs w:val="15"/>
          <w:color w:val="auto"/>
        </w:rPr>
        <w:t>entitled to receive liquidating distributions in an amount equal to the greater of (i) the Liquidation Preference per share of Series G Preferred Stock plus an amount equal to any accrued but unpaid dividends, whether or not declared, thereon to and including the date of such liquidation and (ii) the payment or distribution to which such Holders would have been entitled if the Series G Preferred Stock were converted into Non-Voting Common Stock (assuming receipt of the Stockholder Approvals and, if necessary, Regulatory Approval) immediately before such liquidation, dissolution or winding-up, out of assets legally available for distribution to the Corporation’s stockholders, before any distribution of assets is made to the holders of the Company Common Stock or any other Junior Securities. After payment of the full amount of such liquidation distribution, the Holders shall not be entitled to any further participation in any distribution of assets by the Corporation.</w:t>
      </w:r>
    </w:p>
    <w:p>
      <w:pPr>
        <w:spacing w:after="0" w:line="118" w:lineRule="exact"/>
        <w:rPr>
          <w:sz w:val="20"/>
          <w:szCs w:val="20"/>
          <w:color w:val="auto"/>
        </w:rPr>
      </w:pPr>
    </w:p>
    <w:p>
      <w:pPr>
        <w:ind w:right="240" w:firstLine="916"/>
        <w:spacing w:after="0" w:line="281" w:lineRule="auto"/>
        <w:tabs>
          <w:tab w:leader="none" w:pos="1156"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 the event the assets of the Corporation available for distribution to stockholders upon any liquidation, dissolution or winding-up of the affairs of the Corporation, whether voluntary or involuntary, shall be insufficient to pay in full the amounts payable with respect to all outstanding shares of the Series G Preferred Stock and the corresponding amounts payable on any Parity Securities, Holders and the holders of such Parity Securities shall share ratably in any distribution of assets of the Corporation in proportion to the full respective liquidating distributions to which they would otherwise be respectively entitled.</w:t>
      </w:r>
    </w:p>
    <w:p>
      <w:pPr>
        <w:spacing w:after="0" w:line="125" w:lineRule="exact"/>
        <w:rPr>
          <w:rFonts w:ascii="Arial" w:cs="Arial" w:eastAsia="Arial" w:hAnsi="Arial"/>
          <w:sz w:val="16"/>
          <w:szCs w:val="16"/>
          <w:color w:val="auto"/>
        </w:rPr>
      </w:pPr>
    </w:p>
    <w:p>
      <w:pPr>
        <w:ind w:right="140" w:firstLine="916"/>
        <w:spacing w:after="0" w:line="277" w:lineRule="auto"/>
        <w:tabs>
          <w:tab w:leader="none" w:pos="1143"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Corporation’s consolidation or merger with or into any other entity, the consolidation or merger of any other entity with or into the Corporation, or the sale of all or substantially all of the Corporation’s property or business will not constitute its liquidation, dissolution or winding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589915</wp:posOffset>
            </wp:positionV>
            <wp:extent cx="7258050"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0" w:name="page121"/>
    <w:bookmarkEnd w:id="120"/>
    <w:p>
      <w:pPr>
        <w:spacing w:after="0" w:line="200" w:lineRule="exact"/>
        <w:rPr>
          <w:sz w:val="20"/>
          <w:szCs w:val="20"/>
          <w:color w:val="auto"/>
        </w:rPr>
      </w:pPr>
    </w:p>
    <w:p>
      <w:pPr>
        <w:spacing w:after="0" w:line="334" w:lineRule="exact"/>
        <w:rPr>
          <w:sz w:val="20"/>
          <w:szCs w:val="20"/>
          <w:color w:val="auto"/>
        </w:rPr>
      </w:pPr>
    </w:p>
    <w:p>
      <w:pPr>
        <w:ind w:left="4"/>
        <w:spacing w:after="0"/>
        <w:rPr>
          <w:sz w:val="20"/>
          <w:szCs w:val="20"/>
          <w:color w:val="auto"/>
        </w:rPr>
      </w:pPr>
      <w:r>
        <w:rPr>
          <w:rFonts w:ascii="Arial" w:cs="Arial" w:eastAsia="Arial" w:hAnsi="Arial"/>
          <w:sz w:val="17"/>
          <w:szCs w:val="17"/>
          <w:i w:val="1"/>
          <w:iCs w:val="1"/>
          <w:color w:val="auto"/>
        </w:rPr>
        <w:t>Section 6. Maturity</w:t>
      </w:r>
      <w:r>
        <w:rPr>
          <w:rFonts w:ascii="Arial" w:cs="Arial" w:eastAsia="Arial" w:hAnsi="Arial"/>
          <w:sz w:val="17"/>
          <w:szCs w:val="17"/>
          <w:color w:val="auto"/>
        </w:rPr>
        <w:t>. The Series G Preferred Stock shall be perpetual unless converted in accordance with this Certificate of Designations.</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7"/>
          <w:szCs w:val="17"/>
          <w:i w:val="1"/>
          <w:iCs w:val="1"/>
          <w:color w:val="auto"/>
        </w:rPr>
        <w:t>Section 7. Redemptions</w:t>
      </w:r>
      <w:r>
        <w:rPr>
          <w:rFonts w:ascii="Arial" w:cs="Arial" w:eastAsia="Arial" w:hAnsi="Arial"/>
          <w:sz w:val="17"/>
          <w:szCs w:val="17"/>
          <w:color w:val="auto"/>
        </w:rPr>
        <w:t>.</w:t>
      </w:r>
    </w:p>
    <w:p>
      <w:pPr>
        <w:spacing w:after="0" w:line="189" w:lineRule="exact"/>
        <w:rPr>
          <w:sz w:val="20"/>
          <w:szCs w:val="20"/>
          <w:color w:val="auto"/>
        </w:rPr>
      </w:pPr>
    </w:p>
    <w:p>
      <w:pPr>
        <w:ind w:left="-916" w:firstLine="916"/>
        <w:spacing w:after="0" w:line="272" w:lineRule="auto"/>
        <w:tabs>
          <w:tab w:leader="none" w:pos="230" w:val="left"/>
        </w:tabs>
        <w:numPr>
          <w:ilvl w:val="0"/>
          <w:numId w:val="104"/>
        </w:numPr>
        <w:rPr>
          <w:rFonts w:ascii="Arial" w:cs="Arial" w:eastAsia="Arial" w:hAnsi="Arial"/>
          <w:sz w:val="16"/>
          <w:szCs w:val="16"/>
          <w:color w:val="auto"/>
        </w:rPr>
      </w:pPr>
      <w:r>
        <w:rPr>
          <w:rFonts w:ascii="Arial" w:cs="Arial" w:eastAsia="Arial" w:hAnsi="Arial"/>
          <w:sz w:val="16"/>
          <w:szCs w:val="16"/>
          <w:b w:val="1"/>
          <w:bCs w:val="1"/>
          <w:i w:val="1"/>
          <w:iCs w:val="1"/>
          <w:color w:val="auto"/>
        </w:rPr>
        <w:t>Optional Redemption</w:t>
      </w:r>
      <w:r>
        <w:rPr>
          <w:rFonts w:ascii="Arial" w:cs="Arial" w:eastAsia="Arial" w:hAnsi="Arial"/>
          <w:sz w:val="16"/>
          <w:szCs w:val="16"/>
          <w:color w:val="auto"/>
        </w:rPr>
        <w:t>. The Series G Preferred Stock may not be redeemed by the Corporation prior to December 31, 2015. After December 31, 2015,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Corporation, at its option, may redeem in whole at any time the shares of Series G Preferred Stock at the time outstanding, upon notice given as provided in Section 7(c) below, at a redemption price per share payable in cash equal to the greater of (i) 150.0% of the sum of (A) the Liquidation Preference, plus (B) all accrued and unpaid dividends, whether or not declared, up to, but excluding, the date fixed for redemption and (ii) 125.0% of (A) the number of shares of Non-Voting Common Stock into which a share of Series G Preferred Stock would be convertible on the Trading Day immediately prior to the date fixed for redemption (assuming receipt of Stockholder Approvals and, if applicable, the Regulatory Approval) multiplied by (B) the Closing Price of Common Stock on such Trading Day. The redemption price for any shares of Series G Preferred Stock shall be payable on the redemption date to the Holder of such shares against surrender of the certificate(s) evidencing such shares to the Corporation or its agent. Any declared but unpaid dividends payable on a redemption date that occurs subsequent to a Record Date for a Dividend Period shall not be paid to the Holder entitled to receive the redemption price on the redemption date, but rather shall be paid to the holder of record of the redeemed shares on such Record Date.</w:t>
      </w:r>
    </w:p>
    <w:p>
      <w:pPr>
        <w:spacing w:after="0" w:line="132" w:lineRule="exact"/>
        <w:rPr>
          <w:rFonts w:ascii="Arial" w:cs="Arial" w:eastAsia="Arial" w:hAnsi="Arial"/>
          <w:sz w:val="16"/>
          <w:szCs w:val="16"/>
          <w:color w:val="auto"/>
        </w:rPr>
      </w:pPr>
    </w:p>
    <w:p>
      <w:pPr>
        <w:ind w:left="-916" w:right="160" w:firstLine="916"/>
        <w:spacing w:after="0" w:line="277" w:lineRule="auto"/>
        <w:tabs>
          <w:tab w:leader="none" w:pos="239" w:val="left"/>
        </w:tabs>
        <w:numPr>
          <w:ilvl w:val="0"/>
          <w:numId w:val="104"/>
        </w:numPr>
        <w:rPr>
          <w:rFonts w:ascii="Arial" w:cs="Arial" w:eastAsia="Arial" w:hAnsi="Arial"/>
          <w:sz w:val="17"/>
          <w:szCs w:val="17"/>
          <w:color w:val="auto"/>
        </w:rPr>
      </w:pPr>
      <w:r>
        <w:rPr>
          <w:rFonts w:ascii="Arial" w:cs="Arial" w:eastAsia="Arial" w:hAnsi="Arial"/>
          <w:sz w:val="17"/>
          <w:szCs w:val="17"/>
          <w:b w:val="1"/>
          <w:bCs w:val="1"/>
          <w:i w:val="1"/>
          <w:iCs w:val="1"/>
          <w:color w:val="auto"/>
        </w:rPr>
        <w:t>No Sinking Fund</w:t>
      </w:r>
      <w:r>
        <w:rPr>
          <w:rFonts w:ascii="Arial" w:cs="Arial" w:eastAsia="Arial" w:hAnsi="Arial"/>
          <w:sz w:val="17"/>
          <w:szCs w:val="17"/>
          <w:color w:val="auto"/>
        </w:rPr>
        <w:t>. The Series G Preferred Stock will not be subject to any mandatory redemption, sinking fund or other similar provisions. Holders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Series G Preferred Stock will have no right to require redemption of any shares of Series G Preferred Stock.</w:t>
      </w:r>
    </w:p>
    <w:p>
      <w:pPr>
        <w:spacing w:after="0" w:line="125" w:lineRule="exact"/>
        <w:rPr>
          <w:rFonts w:ascii="Arial" w:cs="Arial" w:eastAsia="Arial" w:hAnsi="Arial"/>
          <w:sz w:val="17"/>
          <w:szCs w:val="17"/>
          <w:color w:val="auto"/>
        </w:rPr>
      </w:pPr>
    </w:p>
    <w:p>
      <w:pPr>
        <w:ind w:left="-916" w:right="40" w:firstLine="916"/>
        <w:spacing w:after="0" w:line="272" w:lineRule="auto"/>
        <w:tabs>
          <w:tab w:leader="none" w:pos="230" w:val="left"/>
        </w:tabs>
        <w:numPr>
          <w:ilvl w:val="0"/>
          <w:numId w:val="104"/>
        </w:numPr>
        <w:rPr>
          <w:rFonts w:ascii="Arial" w:cs="Arial" w:eastAsia="Arial" w:hAnsi="Arial"/>
          <w:sz w:val="16"/>
          <w:szCs w:val="16"/>
          <w:color w:val="auto"/>
        </w:rPr>
      </w:pPr>
      <w:r>
        <w:rPr>
          <w:rFonts w:ascii="Arial" w:cs="Arial" w:eastAsia="Arial" w:hAnsi="Arial"/>
          <w:sz w:val="16"/>
          <w:szCs w:val="16"/>
          <w:b w:val="1"/>
          <w:bCs w:val="1"/>
          <w:i w:val="1"/>
          <w:iCs w:val="1"/>
          <w:color w:val="auto"/>
        </w:rPr>
        <w:t>Notice of Redemption</w:t>
      </w:r>
      <w:r>
        <w:rPr>
          <w:rFonts w:ascii="Arial" w:cs="Arial" w:eastAsia="Arial" w:hAnsi="Arial"/>
          <w:sz w:val="16"/>
          <w:szCs w:val="16"/>
          <w:color w:val="auto"/>
        </w:rPr>
        <w:t>. Notice of every redemption of shares of Series G Preferred Stock shall be given by first class mail, postage prepaid, addressed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to the Holders of the shares to be redeemed at their respective last addresses appearing on the books of the Corporation. Such mailing shall be at least 30 days and not more than 60 days before the date fixed for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failure to give such notice by mail, or any defect in such notice or in the mailing thereof, to any Holder of shares of Series G Preferred Stock designated for redemption shall not affect the validity of the proceedings for the redemption of any other shares of Series G Preferred Stock to be so redeemed except as to the Holder to whom the Corporation has failed to give such notice or except as to the Holder to whom notice was defective. Notwithstanding the foregoing, if the Series G Preferred Stock or any depositary shares representing interests in the Series G Preferred Stock are issued in book-entry form through The Depository Trust Company or any other similar facility, notice of redemption may be given to the Holders of Series G Preferred Stock at such time and in any manner permitted by such facility. Each such notice given to a Holder shall state: (1) the redemption date; (2) the number of shares of Series G Preferred Stock to be redeemed; (3) the redemption price (or manner of determination of the redemption price); and (4) the place or places where certificates for such shares are to be surrendered for payment of the 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594360</wp:posOffset>
            </wp:positionV>
            <wp:extent cx="7258050"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504"/>
          </w:cols>
          <w:pgMar w:left="1156" w:top="1440" w:right="239" w:bottom="1440" w:gutter="0" w:footer="0" w:header="0"/>
        </w:sectPr>
      </w:pPr>
    </w:p>
    <w:bookmarkStart w:id="121" w:name="page122"/>
    <w:bookmarkEnd w:id="121"/>
    <w:p>
      <w:pPr>
        <w:spacing w:after="0" w:line="200" w:lineRule="exact"/>
        <w:rPr>
          <w:sz w:val="20"/>
          <w:szCs w:val="20"/>
          <w:color w:val="auto"/>
        </w:rPr>
      </w:pPr>
    </w:p>
    <w:p>
      <w:pPr>
        <w:spacing w:after="0" w:line="334" w:lineRule="exact"/>
        <w:rPr>
          <w:sz w:val="20"/>
          <w:szCs w:val="20"/>
          <w:color w:val="auto"/>
        </w:rPr>
      </w:pPr>
    </w:p>
    <w:p>
      <w:pPr>
        <w:ind w:firstLine="916"/>
        <w:spacing w:after="0" w:line="271" w:lineRule="auto"/>
        <w:tabs>
          <w:tab w:leader="none" w:pos="1155" w:val="left"/>
        </w:tabs>
        <w:numPr>
          <w:ilvl w:val="0"/>
          <w:numId w:val="105"/>
        </w:numPr>
        <w:rPr>
          <w:rFonts w:ascii="Arial" w:cs="Arial" w:eastAsia="Arial" w:hAnsi="Arial"/>
          <w:sz w:val="16"/>
          <w:szCs w:val="16"/>
          <w:color w:val="auto"/>
        </w:rPr>
      </w:pPr>
      <w:r>
        <w:rPr>
          <w:rFonts w:ascii="Arial" w:cs="Arial" w:eastAsia="Arial" w:hAnsi="Arial"/>
          <w:sz w:val="16"/>
          <w:szCs w:val="16"/>
          <w:b w:val="1"/>
          <w:bCs w:val="1"/>
          <w:i w:val="1"/>
          <w:iCs w:val="1"/>
          <w:color w:val="auto"/>
        </w:rPr>
        <w:t>Effectiveness of Redemption</w:t>
      </w:r>
      <w:r>
        <w:rPr>
          <w:rFonts w:ascii="Arial" w:cs="Arial" w:eastAsia="Arial" w:hAnsi="Arial"/>
          <w:sz w:val="16"/>
          <w:szCs w:val="16"/>
          <w:color w:val="auto"/>
        </w:rPr>
        <w:t>. If notice of redemption has been duly given as provided in Section 7(c) and if on or before the redemption 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specified in the notice all funds necessary for the redemption have been set aside by the Corporation, separate and apart from its other funds, in trust for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benefit of the Holders of the shares called for redemption, so as to be and continue to be available therefor, then, notwithstanding that any certificate for any share so called for redemption has not been surrendered for cancellation, on and after the redemption date unless the Corporation defaults in the payment of the redemption price, in which case such rights shall continue until the redemption price is paid,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without interest. Any funds unclaimed at the end of two years from the redemption date shall, to the extent permitted by law, be released to the Corporation, after which time the Holders of the shares so called for redemption shall look only to the Corporation for payment of the redemption price of such shares. Shares of outstanding Series G Preferred Stock that are redeemed, purchased or otherwise acquired by the Corporation, or converted into another series of Preferred Stock, shall be cancelled and shall revert to authorized but unissued shares of Preferred Stock undesignated as to series.</w:t>
      </w:r>
    </w:p>
    <w:p>
      <w:pPr>
        <w:spacing w:after="0" w:line="138" w:lineRule="exact"/>
        <w:rPr>
          <w:sz w:val="20"/>
          <w:szCs w:val="20"/>
          <w:color w:val="auto"/>
        </w:rPr>
      </w:pPr>
    </w:p>
    <w:p>
      <w:pPr>
        <w:ind w:firstLine="914"/>
        <w:spacing w:after="0" w:line="274" w:lineRule="auto"/>
        <w:rPr>
          <w:sz w:val="20"/>
          <w:szCs w:val="20"/>
          <w:color w:val="auto"/>
        </w:rPr>
      </w:pPr>
      <w:r>
        <w:rPr>
          <w:rFonts w:ascii="Arial" w:cs="Arial" w:eastAsia="Arial" w:hAnsi="Arial"/>
          <w:sz w:val="16"/>
          <w:szCs w:val="16"/>
          <w:i w:val="1"/>
          <w:iCs w:val="1"/>
          <w:color w:val="auto"/>
        </w:rPr>
        <w:t>Section 8. Mandatory Conversion</w:t>
      </w:r>
      <w:r>
        <w:rPr>
          <w:rFonts w:ascii="Arial" w:cs="Arial" w:eastAsia="Arial" w:hAnsi="Arial"/>
          <w:sz w:val="16"/>
          <w:szCs w:val="16"/>
          <w:color w:val="auto"/>
        </w:rPr>
        <w:t>. Effective as of the close of business on the Mandatory Conversion Date with respect to the shares of Series 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Preferred Stock of a Holder, all such Holder’s shares of Series G Preferred Stock shall automatically convert into shares of Non-Voting Common Stock as set forth below. The number of shares of Non-Voting Common Stock into which a share of Series G Preferred Stock shall be convertible shall be determined by dividing (i) the Liquidation Preference by (ii) the Applicable Conversion Price (subject to the conversion procedures of Section 9 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the Series G Preferred Stock shall not convert into Non-Voting Common Stock unless and until all accrued and unpaid dividends, whether or not declared, with respect to any Dividend Period completed prior to the Mandatory Conversion Date (but not with respect to the Dividend Period in which the Mandatory Conversion Date occurs) have been paid in cash to the Holders. Upon conversion, Holders shall receive cash in lieu of fractional shares in accordance with Section 13 hereof.</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Section 9. Conversion Procedures</w:t>
      </w:r>
      <w:r>
        <w:rPr>
          <w:rFonts w:ascii="Arial" w:cs="Arial" w:eastAsia="Arial" w:hAnsi="Arial"/>
          <w:sz w:val="17"/>
          <w:szCs w:val="17"/>
          <w:color w:val="auto"/>
        </w:rPr>
        <w:t>.</w:t>
      </w:r>
    </w:p>
    <w:p>
      <w:pPr>
        <w:spacing w:after="0" w:line="176" w:lineRule="exact"/>
        <w:rPr>
          <w:sz w:val="20"/>
          <w:szCs w:val="20"/>
          <w:color w:val="auto"/>
        </w:rPr>
      </w:pPr>
    </w:p>
    <w:p>
      <w:pPr>
        <w:ind w:right="40" w:firstLine="916"/>
        <w:spacing w:after="0" w:line="260" w:lineRule="auto"/>
        <w:tabs>
          <w:tab w:leader="none" w:pos="1146" w:val="left"/>
        </w:tabs>
        <w:numPr>
          <w:ilvl w:val="0"/>
          <w:numId w:val="106"/>
        </w:numPr>
        <w:rPr>
          <w:rFonts w:ascii="Arial" w:cs="Arial" w:eastAsia="Arial" w:hAnsi="Arial"/>
          <w:sz w:val="17"/>
          <w:szCs w:val="17"/>
          <w:color w:val="auto"/>
        </w:rPr>
      </w:pPr>
      <w:r>
        <w:rPr>
          <w:rFonts w:ascii="Arial" w:cs="Arial" w:eastAsia="Arial" w:hAnsi="Arial"/>
          <w:sz w:val="17"/>
          <w:szCs w:val="17"/>
          <w:color w:val="auto"/>
        </w:rPr>
        <w:t>Each Holder shall, promptly upon receipt of each Regulatory Approval applicable to such Holder, if any, provide written notice to the Corporation of such receipt. At least one Business Day prior to the Mandatory Conversion Date with respect to shares of any Holder, the Corporation shall provide notice of such conversion to such Holder (such notice a “</w:t>
      </w:r>
      <w:r>
        <w:rPr>
          <w:rFonts w:ascii="Arial" w:cs="Arial" w:eastAsia="Arial" w:hAnsi="Arial"/>
          <w:sz w:val="17"/>
          <w:szCs w:val="17"/>
          <w:u w:val="single" w:color="auto"/>
          <w:color w:val="auto"/>
        </w:rPr>
        <w:t>Notice of Mandatory Conversion</w:t>
      </w:r>
      <w:r>
        <w:rPr>
          <w:rFonts w:ascii="Arial" w:cs="Arial" w:eastAsia="Arial" w:hAnsi="Arial"/>
          <w:sz w:val="17"/>
          <w:szCs w:val="17"/>
          <w:color w:val="auto"/>
        </w:rPr>
        <w:t>”). In addition to any information required by applicable law or regulation, the Notice of Mandatory Conversion with respect to such Holder shall state, as appropriate:</w:t>
      </w:r>
    </w:p>
    <w:p>
      <w:pPr>
        <w:spacing w:after="0" w:line="140" w:lineRule="exact"/>
        <w:rPr>
          <w:sz w:val="20"/>
          <w:szCs w:val="20"/>
          <w:color w:val="auto"/>
        </w:rPr>
      </w:pPr>
    </w:p>
    <w:p>
      <w:pPr>
        <w:ind w:left="1120" w:hanging="204"/>
        <w:spacing w:after="0"/>
        <w:tabs>
          <w:tab w:leader="none" w:pos="11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Mandatory Conversion Date;</w:t>
      </w:r>
    </w:p>
    <w:p>
      <w:pPr>
        <w:spacing w:after="0" w:line="189" w:lineRule="exact"/>
        <w:rPr>
          <w:rFonts w:ascii="Arial" w:cs="Arial" w:eastAsia="Arial" w:hAnsi="Arial"/>
          <w:sz w:val="17"/>
          <w:szCs w:val="17"/>
          <w:color w:val="auto"/>
        </w:rPr>
      </w:pPr>
    </w:p>
    <w:p>
      <w:pPr>
        <w:ind w:left="1160" w:hanging="244"/>
        <w:spacing w:after="0"/>
        <w:tabs>
          <w:tab w:leader="none" w:pos="11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Applicable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614045</wp:posOffset>
            </wp:positionV>
            <wp:extent cx="7258050"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22" w:name="page123"/>
    <w:bookmarkEnd w:id="122"/>
    <w:p>
      <w:pPr>
        <w:spacing w:after="0" w:line="200" w:lineRule="exact"/>
        <w:rPr>
          <w:sz w:val="20"/>
          <w:szCs w:val="20"/>
          <w:color w:val="auto"/>
        </w:rPr>
      </w:pPr>
    </w:p>
    <w:p>
      <w:pPr>
        <w:spacing w:after="0" w:line="334" w:lineRule="exact"/>
        <w:rPr>
          <w:sz w:val="20"/>
          <w:szCs w:val="20"/>
          <w:color w:val="auto"/>
        </w:rPr>
      </w:pPr>
    </w:p>
    <w:p>
      <w:pPr>
        <w:ind w:left="-916" w:right="160" w:firstLine="916"/>
        <w:spacing w:after="0" w:line="277" w:lineRule="auto"/>
        <w:tabs>
          <w:tab w:leader="none" w:pos="29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number of shares of Non-Voting Common Stock to be issued upon conversion of each share of Series G Preferred Stock held of record by such Holder and subject to such mandatory conversion;</w:t>
      </w:r>
    </w:p>
    <w:p>
      <w:pPr>
        <w:spacing w:after="0" w:line="125" w:lineRule="exact"/>
        <w:rPr>
          <w:rFonts w:ascii="Arial" w:cs="Arial" w:eastAsia="Arial" w:hAnsi="Arial"/>
          <w:sz w:val="17"/>
          <w:szCs w:val="17"/>
          <w:color w:val="auto"/>
        </w:rPr>
      </w:pPr>
    </w:p>
    <w:p>
      <w:pPr>
        <w:ind w:left="-916" w:right="240" w:firstLine="916"/>
        <w:spacing w:after="0" w:line="277" w:lineRule="auto"/>
        <w:tabs>
          <w:tab w:leader="none" w:pos="287"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if certificates are to be issued, the place or places where certificates for shares of Series G Preferred Stock held of record by such Holder are to be surrendered for issuance of certificates representing shares of Non-Voting Common Stock; and</w:t>
      </w:r>
    </w:p>
    <w:p>
      <w:pPr>
        <w:spacing w:after="0" w:line="138" w:lineRule="exact"/>
        <w:rPr>
          <w:rFonts w:ascii="Arial" w:cs="Arial" w:eastAsia="Arial" w:hAnsi="Arial"/>
          <w:sz w:val="17"/>
          <w:szCs w:val="17"/>
          <w:color w:val="auto"/>
        </w:rPr>
      </w:pPr>
    </w:p>
    <w:p>
      <w:pPr>
        <w:ind w:left="-916" w:right="80" w:firstLine="916"/>
        <w:spacing w:after="0" w:line="277" w:lineRule="auto"/>
        <w:tabs>
          <w:tab w:leader="none" w:pos="239"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amount of accrued and unpaid dividends to be paid in cash on each share of Series G Preferred Stock held of record by such Holder prior to such mandatory conversion.</w:t>
      </w:r>
    </w:p>
    <w:p>
      <w:pPr>
        <w:spacing w:after="0" w:line="126" w:lineRule="exact"/>
        <w:rPr>
          <w:sz w:val="20"/>
          <w:szCs w:val="20"/>
          <w:color w:val="auto"/>
        </w:rPr>
      </w:pPr>
    </w:p>
    <w:p>
      <w:pPr>
        <w:ind w:left="-916" w:firstLine="916"/>
        <w:spacing w:after="0" w:line="258" w:lineRule="auto"/>
        <w:tabs>
          <w:tab w:leader="none" w:pos="239"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Effective immediately prior to the close of business on the Mandatory Conversion Date with respect to any shares of Series G Preferred Stock dividends shall no longer be declared on any such shares of Series G Preferred Stock and such shares of Series G Preferred Stock shall cease to be outstanding, in each case, subject to the right of the Holder to receive (i) shares of Non-Voting Common Stock issuable upon such mandatory conversion, (ii) any declared and unpaid dividends on such share to the extent provided in Section 4(g) and (iii) any other payments to which such Holder is otherwise entitled pursuant to Section 5, Section 7, Section 8, Section 11 or Section 13 hereof, as applicable.</w:t>
      </w:r>
    </w:p>
    <w:p>
      <w:pPr>
        <w:spacing w:after="0" w:line="141" w:lineRule="exact"/>
        <w:rPr>
          <w:rFonts w:ascii="Arial" w:cs="Arial" w:eastAsia="Arial" w:hAnsi="Arial"/>
          <w:sz w:val="17"/>
          <w:szCs w:val="17"/>
          <w:color w:val="auto"/>
        </w:rPr>
      </w:pPr>
    </w:p>
    <w:p>
      <w:pPr>
        <w:ind w:left="-916" w:right="60" w:firstLine="916"/>
        <w:spacing w:after="0" w:line="295" w:lineRule="auto"/>
        <w:tabs>
          <w:tab w:leader="none" w:pos="23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No allowance or adjustment, except pursuant to Section 4 or Section 10, shall be made in respect of dividends payable to holders of the Non-Voting Common Stock of record as of any date prior to the close of business on the Mandatory Conversion Date with respect to any share of Series G Preferred Stock. Prior to the close of business on the Mandatory Conversion Date with respect to any share of Series G Preferred Stock, shares of Non-Voting Common Stock issuable upon conversion thereof, or other securities issuable upon conversion of, such share of Series G Preferred Stock shall not be deemed outstanding for any purpose, and the Holder thereof shall have no rights with respect to the Non-Voting Common Stock or other securities issuable upon conversion (including voting rights, rights to respond to tender offers for the Non-Voting Common Stock or other securities issuable upon conversion and rights to receive any dividends or other distributions on the Non-Voting Common Stock or other securities issuable upon conversion) by virtue of holding such share of Series G Preferred Stock.</w:t>
      </w:r>
    </w:p>
    <w:p>
      <w:pPr>
        <w:spacing w:after="0" w:line="131" w:lineRule="exact"/>
        <w:rPr>
          <w:rFonts w:ascii="Arial" w:cs="Arial" w:eastAsia="Arial" w:hAnsi="Arial"/>
          <w:sz w:val="15"/>
          <w:szCs w:val="15"/>
          <w:color w:val="auto"/>
        </w:rPr>
      </w:pPr>
    </w:p>
    <w:p>
      <w:pPr>
        <w:ind w:left="-916" w:right="40" w:firstLine="916"/>
        <w:spacing w:after="0" w:line="258" w:lineRule="auto"/>
        <w:tabs>
          <w:tab w:leader="none" w:pos="239"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Shares of Series G Preferred Stock duly converted in accordance with this Certificate of Designations, or otherwise reacquired by the Corporation, will resume the status of authorized and unissued preferred stock, undesignated as to series and available for future issuance. The Corporation may from time-to-time take such appropriate action as may be necessary to reduce the authorized number of shares of Series G Preferred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Corporation shall not take any such action if such action would reduce the authorized number of shares of Series G Preferred Stock below the number of shares of Series G Preferred Stock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591820</wp:posOffset>
            </wp:positionV>
            <wp:extent cx="7258050"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484"/>
          </w:cols>
          <w:pgMar w:left="1156" w:top="1440" w:right="259" w:bottom="1440" w:gutter="0" w:footer="0" w:header="0"/>
        </w:sectPr>
      </w:pPr>
    </w:p>
    <w:bookmarkStart w:id="123" w:name="page124"/>
    <w:bookmarkEnd w:id="123"/>
    <w:p>
      <w:pPr>
        <w:spacing w:after="0" w:line="200" w:lineRule="exact"/>
        <w:rPr>
          <w:sz w:val="20"/>
          <w:szCs w:val="20"/>
          <w:color w:val="auto"/>
        </w:rPr>
      </w:pPr>
    </w:p>
    <w:p>
      <w:pPr>
        <w:spacing w:after="0" w:line="334" w:lineRule="exact"/>
        <w:rPr>
          <w:sz w:val="20"/>
          <w:szCs w:val="20"/>
          <w:color w:val="auto"/>
        </w:rPr>
      </w:pPr>
    </w:p>
    <w:p>
      <w:pPr>
        <w:ind w:right="20" w:firstLine="916"/>
        <w:spacing w:after="0" w:line="275" w:lineRule="auto"/>
        <w:tabs>
          <w:tab w:leader="none" w:pos="114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Person or Persons entitled to receive the Non-Voting Common Stock and/or cash, securities or other property issuable upon conversion of Series G Preferred Stock shall be treated for all purposes as the record holder(s) of such shares of Non-Voting Common Stock and/or securities as of the close of business on the Mandatory Conversion Date with respect thereto. In the event that a Holder shall not by written notice designate the name in which shares of Non-Voting Common Stock and/or cash, securities or other property (including payments of cash in lieu of fractional shares) to be issued or paid upon conversion of shares of Series G Preferred Stock should be registered or paid or the manner in which such shares should be delivered, the Corporation shall be entitled to register and deliver such shares, and make such payment, in the name of the Holder and in the manner shown on the records of the Corporation.</w:t>
      </w:r>
    </w:p>
    <w:p>
      <w:pPr>
        <w:spacing w:after="0" w:line="132" w:lineRule="exact"/>
        <w:rPr>
          <w:rFonts w:ascii="Arial" w:cs="Arial" w:eastAsia="Arial" w:hAnsi="Arial"/>
          <w:sz w:val="16"/>
          <w:szCs w:val="16"/>
          <w:color w:val="auto"/>
        </w:rPr>
      </w:pPr>
    </w:p>
    <w:p>
      <w:pPr>
        <w:ind w:right="40" w:firstLine="916"/>
        <w:spacing w:after="0" w:line="260" w:lineRule="auto"/>
        <w:tabs>
          <w:tab w:leader="none" w:pos="1127" w:val="left"/>
        </w:tabs>
        <w:numPr>
          <w:ilvl w:val="0"/>
          <w:numId w:val="110"/>
        </w:numPr>
        <w:rPr>
          <w:rFonts w:ascii="Arial" w:cs="Arial" w:eastAsia="Arial" w:hAnsi="Arial"/>
          <w:sz w:val="17"/>
          <w:szCs w:val="17"/>
          <w:color w:val="auto"/>
        </w:rPr>
      </w:pPr>
      <w:r>
        <w:rPr>
          <w:rFonts w:ascii="Arial" w:cs="Arial" w:eastAsia="Arial" w:hAnsi="Arial"/>
          <w:sz w:val="17"/>
          <w:szCs w:val="17"/>
          <w:color w:val="auto"/>
        </w:rPr>
        <w:t>On the Mandatory Conversion Date with respect to any share of Series G Preferred Stock, certificates representing shares of Non-Voting Common Stock shall be issued and delivered to the Holder thereof or such Holder’s designee (or, at the Corporation’s option such shares shall be registered in book-entry form) upon presentation and surrender of the certificate evidencing the Series G Preferred Stock to the Corporation and, if required, the furnishing of appropriate endorsements and transfer documents and the payment of all transfer and similar taxes.</w:t>
      </w:r>
    </w:p>
    <w:p>
      <w:pPr>
        <w:spacing w:after="0" w:line="153"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Section 10. Anti-Dilution Adjustments</w:t>
      </w:r>
      <w:r>
        <w:rPr>
          <w:rFonts w:ascii="Arial" w:cs="Arial" w:eastAsia="Arial" w:hAnsi="Arial"/>
          <w:sz w:val="17"/>
          <w:szCs w:val="17"/>
          <w:color w:val="auto"/>
        </w:rPr>
        <w:t>.</w:t>
      </w:r>
    </w:p>
    <w:p>
      <w:pPr>
        <w:spacing w:after="0" w:line="176" w:lineRule="exact"/>
        <w:rPr>
          <w:sz w:val="20"/>
          <w:szCs w:val="20"/>
          <w:color w:val="auto"/>
        </w:rPr>
      </w:pPr>
    </w:p>
    <w:p>
      <w:pPr>
        <w:ind w:left="1140" w:hanging="224"/>
        <w:spacing w:after="0"/>
        <w:tabs>
          <w:tab w:leader="none" w:pos="114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The Conversion Price shall be subject to the following adjustments:</w:t>
      </w:r>
    </w:p>
    <w:p>
      <w:pPr>
        <w:spacing w:after="0" w:line="176" w:lineRule="exact"/>
        <w:rPr>
          <w:rFonts w:ascii="Arial" w:cs="Arial" w:eastAsia="Arial" w:hAnsi="Arial"/>
          <w:sz w:val="17"/>
          <w:szCs w:val="17"/>
          <w:color w:val="auto"/>
        </w:rPr>
      </w:pPr>
    </w:p>
    <w:p>
      <w:pPr>
        <w:ind w:right="20" w:firstLine="459"/>
        <w:spacing w:after="0" w:line="309" w:lineRule="auto"/>
        <w:tabs>
          <w:tab w:leader="none" w:pos="661"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Stock Dividends and Distributions</w:t>
      </w:r>
      <w:r>
        <w:rPr>
          <w:rFonts w:ascii="Arial" w:cs="Arial" w:eastAsia="Arial" w:hAnsi="Arial"/>
          <w:sz w:val="16"/>
          <w:szCs w:val="16"/>
          <w:color w:val="auto"/>
        </w:rPr>
        <w:t>. If the Corporation pays dividends or other distributions on the Company Common Stock in shares of Company Common Stock, then the Conversion Price in effect immediately prior to the Ex-Date for such dividend or distribution will be multiplied by the following fraction:</w:t>
      </w:r>
    </w:p>
    <w:p>
      <w:pPr>
        <w:spacing w:after="0" w:line="116" w:lineRule="exact"/>
        <w:rPr>
          <w:sz w:val="20"/>
          <w:szCs w:val="20"/>
          <w:color w:val="auto"/>
        </w:rPr>
      </w:pPr>
    </w:p>
    <w:p>
      <w:pPr>
        <w:ind w:left="5560"/>
        <w:spacing w:after="0"/>
        <w:rPr>
          <w:sz w:val="20"/>
          <w:szCs w:val="20"/>
          <w:color w:val="auto"/>
        </w:rPr>
      </w:pPr>
      <w:r>
        <w:rPr>
          <w:rFonts w:ascii="Arial" w:cs="Arial" w:eastAsia="Arial" w:hAnsi="Arial"/>
          <w:sz w:val="17"/>
          <w:szCs w:val="17"/>
          <w:u w:val="single" w:color="auto"/>
          <w:color w:val="auto"/>
        </w:rPr>
        <w:t>OS0</w:t>
      </w:r>
    </w:p>
    <w:p>
      <w:pPr>
        <w:spacing w:after="0" w:line="3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OS1</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Where,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OS0 = the number of shares of Company Common Stock outstanding immediately prior to Ex-Date for such dividend or distribution.</w:t>
      </w:r>
    </w:p>
    <w:p>
      <w:pPr>
        <w:spacing w:after="0" w:line="202" w:lineRule="exact"/>
        <w:rPr>
          <w:sz w:val="20"/>
          <w:szCs w:val="20"/>
          <w:color w:val="auto"/>
        </w:rPr>
      </w:pPr>
    </w:p>
    <w:p>
      <w:pPr>
        <w:ind w:right="380"/>
        <w:spacing w:after="0" w:line="293" w:lineRule="auto"/>
        <w:rPr>
          <w:sz w:val="20"/>
          <w:szCs w:val="20"/>
          <w:color w:val="auto"/>
        </w:rPr>
      </w:pPr>
      <w:r>
        <w:rPr>
          <w:rFonts w:ascii="Arial" w:cs="Arial" w:eastAsia="Arial" w:hAnsi="Arial"/>
          <w:sz w:val="17"/>
          <w:szCs w:val="17"/>
          <w:color w:val="auto"/>
        </w:rPr>
        <w:t>OS1 = the sum of the number of shares of Company Common Stock outstanding immediately prior to the Ex-Date for such dividend or distribution plus the total number of shares of Company Common Stock constituting such dividend or distribution.</w:t>
      </w:r>
    </w:p>
    <w:p>
      <w:pPr>
        <w:spacing w:after="0" w:line="112"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For the purposes of this clause (i), the number of shares of Company Common Stock at the time outstanding shall not include shares acquired by the Corporation. If any dividend or distribution described in this clause (i) is declared but not so paid or made, the Conversion Price shall be readjusted, effective as of the date the Board of Directors publicly announces its decision not to make such dividend or distribution, to such Conversion Price that would be in effect if such dividend or distribution had not been declared (but giving effect to any intervening adjustments that may have been made with respect to the Series G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580390</wp:posOffset>
            </wp:positionV>
            <wp:extent cx="725805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24" w:name="page125"/>
    <w:bookmarkEnd w:id="124"/>
    <w:p>
      <w:pPr>
        <w:spacing w:after="0" w:line="200" w:lineRule="exact"/>
        <w:rPr>
          <w:sz w:val="20"/>
          <w:szCs w:val="20"/>
          <w:color w:val="auto"/>
        </w:rPr>
      </w:pPr>
    </w:p>
    <w:p>
      <w:pPr>
        <w:spacing w:after="0" w:line="334" w:lineRule="exact"/>
        <w:rPr>
          <w:sz w:val="20"/>
          <w:szCs w:val="20"/>
          <w:color w:val="auto"/>
        </w:rPr>
      </w:pPr>
    </w:p>
    <w:p>
      <w:pPr>
        <w:ind w:right="140" w:firstLine="459"/>
        <w:spacing w:after="0" w:line="264" w:lineRule="auto"/>
        <w:tabs>
          <w:tab w:leader="none" w:pos="708"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Subdivisions, Splits and Combination of the Company Common Stock</w:t>
      </w:r>
      <w:r>
        <w:rPr>
          <w:rFonts w:ascii="Arial" w:cs="Arial" w:eastAsia="Arial" w:hAnsi="Arial"/>
          <w:sz w:val="17"/>
          <w:szCs w:val="17"/>
          <w:color w:val="auto"/>
        </w:rPr>
        <w:t>. If the Corporation subdivides, splits or combines the shares of Company Common Stock, then the Conversion Price in effect immediately prior to the effective date of such share subdivision, split or combination will be multiplied by the following fraction:</w:t>
      </w:r>
    </w:p>
    <w:p>
      <w:pPr>
        <w:spacing w:after="0" w:line="137" w:lineRule="exact"/>
        <w:rPr>
          <w:sz w:val="20"/>
          <w:szCs w:val="20"/>
          <w:color w:val="auto"/>
        </w:rPr>
      </w:pPr>
    </w:p>
    <w:p>
      <w:pPr>
        <w:ind w:left="5560"/>
        <w:spacing w:after="0"/>
        <w:rPr>
          <w:sz w:val="20"/>
          <w:szCs w:val="20"/>
          <w:color w:val="auto"/>
        </w:rPr>
      </w:pPr>
      <w:r>
        <w:rPr>
          <w:rFonts w:ascii="Arial" w:cs="Arial" w:eastAsia="Arial" w:hAnsi="Arial"/>
          <w:sz w:val="17"/>
          <w:szCs w:val="17"/>
          <w:u w:val="single" w:color="auto"/>
          <w:color w:val="auto"/>
        </w:rPr>
        <w:t>OS0</w:t>
      </w:r>
    </w:p>
    <w:p>
      <w:pPr>
        <w:spacing w:after="0" w:line="3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OS1</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Where,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OS0 = the number of shares of Company Common Stock outstanding immediately prior to the effective date of such share subdivision, split or combination.</w:t>
      </w:r>
    </w:p>
    <w:p>
      <w:pPr>
        <w:spacing w:after="0" w:line="201" w:lineRule="exact"/>
        <w:rPr>
          <w:sz w:val="20"/>
          <w:szCs w:val="20"/>
          <w:color w:val="auto"/>
        </w:rPr>
      </w:pPr>
    </w:p>
    <w:p>
      <w:pPr>
        <w:ind w:right="160"/>
        <w:spacing w:after="0" w:line="293" w:lineRule="auto"/>
        <w:rPr>
          <w:sz w:val="20"/>
          <w:szCs w:val="20"/>
          <w:color w:val="auto"/>
        </w:rPr>
      </w:pPr>
      <w:r>
        <w:rPr>
          <w:rFonts w:ascii="Arial" w:cs="Arial" w:eastAsia="Arial" w:hAnsi="Arial"/>
          <w:sz w:val="17"/>
          <w:szCs w:val="17"/>
          <w:color w:val="auto"/>
        </w:rPr>
        <w:t>OS1 = the number of shares of Company Common Stock outstanding immediately after the opening of business on the effective date of such share subdivision, split or combination.</w:t>
      </w:r>
    </w:p>
    <w:p>
      <w:pPr>
        <w:spacing w:after="0" w:line="12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For the purposes of this clause (ii), the number of shares of Company Common Stock at the time outstanding shall not include shares acquired by the Corporation. If any subdivision, split or combination described in this clause (ii) is announced but the outstanding shares of Company Common Stock are not subdivided, split or combined, the Conversion Price shall be readjusted, effective as of the date the Board of Directors publicly announces its decision not to subdivide, split or combine the outstanding shares of Company Common Stock, to such Conversion Price that would be in effect if such subdivision, split or combination had not been announced (but giving effect to any intervening adjustments that may have been made with respect to the Series G Preferred Stock).</w:t>
      </w:r>
    </w:p>
    <w:p>
      <w:pPr>
        <w:spacing w:after="0" w:line="127" w:lineRule="exact"/>
        <w:rPr>
          <w:sz w:val="20"/>
          <w:szCs w:val="20"/>
          <w:color w:val="auto"/>
        </w:rPr>
      </w:pPr>
    </w:p>
    <w:p>
      <w:pPr>
        <w:ind w:right="100" w:firstLine="459"/>
        <w:spacing w:after="0" w:line="300" w:lineRule="auto"/>
        <w:tabs>
          <w:tab w:leader="none" w:pos="756" w:val="left"/>
        </w:tabs>
        <w:numPr>
          <w:ilvl w:val="0"/>
          <w:numId w:val="114"/>
        </w:numPr>
        <w:rPr>
          <w:rFonts w:ascii="Arial" w:cs="Arial" w:eastAsia="Arial" w:hAnsi="Arial"/>
          <w:sz w:val="15"/>
          <w:szCs w:val="15"/>
          <w:color w:val="auto"/>
        </w:rPr>
      </w:pPr>
      <w:r>
        <w:rPr>
          <w:rFonts w:ascii="Arial" w:cs="Arial" w:eastAsia="Arial" w:hAnsi="Arial"/>
          <w:sz w:val="15"/>
          <w:szCs w:val="15"/>
          <w:u w:val="single" w:color="auto"/>
          <w:color w:val="auto"/>
        </w:rPr>
        <w:t>Issuance of Stock Purchase Rights</w:t>
      </w:r>
      <w:r>
        <w:rPr>
          <w:rFonts w:ascii="Arial" w:cs="Arial" w:eastAsia="Arial" w:hAnsi="Arial"/>
          <w:sz w:val="15"/>
          <w:szCs w:val="15"/>
          <w:color w:val="auto"/>
        </w:rPr>
        <w:t>. If the Corporation issues to all or substantially all holders of the shares of Company Common Stock rights or warrants (other than rights or warrants issued pursuant to a stockholders’ rights plan, a dividend reinvestment plan or share purchase plan or other similar plans, including that certain Tax Benefits Preservation Plan, dated February 22, 2011, between the Corporation and Illinois Stock Transfer Company) entitling them to subscribe for or purchase the shares of Company Common Stock at less than the Current Market Price on the date fixed for the determination of stockholders entitled to receive such rights or warrants, then the Conversion Price in effect immediately prior to the Ex-Date for such distribution will be multiplied by the following fraction:</w:t>
      </w:r>
    </w:p>
    <w:p>
      <w:pPr>
        <w:spacing w:after="0" w:line="114" w:lineRule="exact"/>
        <w:rPr>
          <w:sz w:val="20"/>
          <w:szCs w:val="20"/>
          <w:color w:val="auto"/>
        </w:rPr>
      </w:pPr>
    </w:p>
    <w:p>
      <w:pPr>
        <w:ind w:left="5400"/>
        <w:spacing w:after="0"/>
        <w:rPr>
          <w:sz w:val="20"/>
          <w:szCs w:val="20"/>
          <w:color w:val="auto"/>
        </w:rPr>
      </w:pPr>
      <w:r>
        <w:rPr>
          <w:rFonts w:ascii="Arial" w:cs="Arial" w:eastAsia="Arial" w:hAnsi="Arial"/>
          <w:sz w:val="17"/>
          <w:szCs w:val="17"/>
          <w:u w:val="single" w:color="auto"/>
          <w:color w:val="auto"/>
        </w:rPr>
        <w:t>OS0 + Y</w:t>
      </w:r>
    </w:p>
    <w:p>
      <w:pPr>
        <w:spacing w:after="0" w:line="34"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OS0 + X</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Where,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OS0 = the number of shares of Company Common Stock outstanding immediately prior to the Ex-Date for such distribution.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X = the total number of shares of Company Common Stock issuable pursuant to such rights or warrants.</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Y = the number of shares of Company Common Stock equal to the aggregate price payable to exercise such rights or warrants divided by the Current Market Price on the date fixed for the determination of stockholders entitled to receive such rights or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582295</wp:posOffset>
            </wp:positionV>
            <wp:extent cx="7258050"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25" w:name="page126"/>
    <w:bookmarkEnd w:id="125"/>
    <w:p>
      <w:pPr>
        <w:spacing w:after="0" w:line="200" w:lineRule="exact"/>
        <w:rPr>
          <w:sz w:val="20"/>
          <w:szCs w:val="20"/>
          <w:color w:val="auto"/>
        </w:rPr>
      </w:pPr>
    </w:p>
    <w:p>
      <w:pPr>
        <w:spacing w:after="0" w:line="334"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For the purposes of this clause (iii), the number of shares of Company Common Stock at the time outstanding shall not include shares acquired by the Corporation. The Corporation shall not issue any such rights or warrants in respect of shares of the Company Common Stock acquired by the Corporation. In the event that such rights or warrants described in this clause (iii) are not so issued, the Conversion Price shall be readjusted, effective as of the date the Board of Directors publicly announces its decision not to issue such rights or warrants, to the Conversion Price that would then be in effect if such issuance had not been declared (but giving effect to any intervening adjustments that may have been made with respect to the Series G Preferred Stock). To the extent that such rights or warrants are not exercised prior to their expiration or shares of Company Common Stock are otherwise not delivered pursuant to such rights or warrants upon the exercise of such rights or warrants, the Conversion Price shall be readjusted to such Conversion Price that would then be in effect had the adjustment made upon the issuance of such rights or warrants been made on the basis of the delivery of only the number of shares of Company Common Stock actually delivered (but giving effect to any intervening adjustments that may have been made with respect to the Series F Preferred Stock). In determining the aggregate offering price payable for such shares of Company Common Stock, there shall be taken into account any consideration received for such rights or warrants and the value of such consideration (if other than cash, to be determined in a reasonable manner by the Board of Directors).</w:t>
      </w:r>
    </w:p>
    <w:p>
      <w:pPr>
        <w:spacing w:after="0" w:line="138" w:lineRule="exact"/>
        <w:rPr>
          <w:sz w:val="20"/>
          <w:szCs w:val="20"/>
          <w:color w:val="auto"/>
        </w:rPr>
      </w:pPr>
    </w:p>
    <w:p>
      <w:pPr>
        <w:ind w:firstLine="459"/>
        <w:spacing w:after="0" w:line="256" w:lineRule="auto"/>
        <w:tabs>
          <w:tab w:leader="none" w:pos="746"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Debt or Asset Distributions</w:t>
      </w:r>
      <w:r>
        <w:rPr>
          <w:rFonts w:ascii="Arial" w:cs="Arial" w:eastAsia="Arial" w:hAnsi="Arial"/>
          <w:sz w:val="17"/>
          <w:szCs w:val="17"/>
          <w:color w:val="auto"/>
        </w:rPr>
        <w:t>. If the Corporation distributes to all or substantially all holders of shares of Company Common Stock evidences of indebtedness, shares of capital stock, securities, cash or other assets (excluding any dividend or distribution referred to in clause (i) above, any rights or warrants referred to in clause (iii) above, any dividend or distribution paid exclusively in cash, any consideration payable in connection with a tender or exchange offer made by the Corporation or any of its applicable subsidiaries, and any dividend of shares of capital stock of any class or series, or similar equity interests, of or relating to a subsidiary or other business unit in the case of certain spin-off transactions as described below) (such evidences of indebtedness, shares of capital stock, securities, cash or other assets, the “</w:t>
      </w:r>
      <w:r>
        <w:rPr>
          <w:rFonts w:ascii="Arial" w:cs="Arial" w:eastAsia="Arial" w:hAnsi="Arial"/>
          <w:sz w:val="17"/>
          <w:szCs w:val="17"/>
          <w:u w:val="single" w:color="auto"/>
          <w:color w:val="auto"/>
        </w:rPr>
        <w:t>Distributed Property</w:t>
      </w:r>
      <w:r>
        <w:rPr>
          <w:rFonts w:ascii="Arial" w:cs="Arial" w:eastAsia="Arial" w:hAnsi="Arial"/>
          <w:sz w:val="17"/>
          <w:szCs w:val="17"/>
          <w:color w:val="auto"/>
        </w:rPr>
        <w:t>”), then the Conversion Price in effect immediately prior to the Ex-Date for such distribution will be multiplied by the following fraction: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SP0 – FMV</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SP0</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Where,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SP0 = the Current Market Price per share of Common Stock on such date.</w:t>
      </w:r>
    </w:p>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7"/>
          <w:szCs w:val="17"/>
          <w:color w:val="auto"/>
        </w:rPr>
        <w:t>FMV = the fair market value of the portion of the distribution applicable to one share of Common Stock on such date as determined in good faith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582295</wp:posOffset>
            </wp:positionV>
            <wp:extent cx="7258050"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6" w:name="page127"/>
    <w:bookmarkEnd w:id="126"/>
    <w:p>
      <w:pPr>
        <w:spacing w:after="0" w:line="200" w:lineRule="exact"/>
        <w:rPr>
          <w:sz w:val="20"/>
          <w:szCs w:val="20"/>
          <w:color w:val="auto"/>
        </w:rPr>
      </w:pPr>
    </w:p>
    <w:p>
      <w:pPr>
        <w:spacing w:after="0" w:line="33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 “spin-off”, where the Corporation makes a distribution to all holders of shares of Company Common Stock consisting of capital stock of any class or series, or similar equity interests of, or relating to, a subsidiary or other business unit, the Conversion Price will be adjusted on the fifteenth Trading Day after the effective date of the distribution by multiplying such Conversion Price in effect immediately prior to such fifteenth Trading Day by the following fraction:</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MP0</w:t>
      </w:r>
    </w:p>
    <w:p>
      <w:pPr>
        <w:spacing w:after="0" w:line="3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MP0+ 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-122555</wp:posOffset>
            </wp:positionV>
            <wp:extent cx="4965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96570"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Where,</w:t>
      </w:r>
    </w:p>
    <w:p>
      <w:pPr>
        <w:spacing w:after="0" w:line="176" w:lineRule="exact"/>
        <w:rPr>
          <w:sz w:val="20"/>
          <w:szCs w:val="20"/>
          <w:color w:val="auto"/>
        </w:rPr>
      </w:pPr>
    </w:p>
    <w:p>
      <w:pPr>
        <w:ind w:right="320"/>
        <w:spacing w:after="0" w:line="293" w:lineRule="auto"/>
        <w:rPr>
          <w:sz w:val="20"/>
          <w:szCs w:val="20"/>
          <w:color w:val="auto"/>
        </w:rPr>
      </w:pPr>
      <w:r>
        <w:rPr>
          <w:rFonts w:ascii="Arial" w:cs="Arial" w:eastAsia="Arial" w:hAnsi="Arial"/>
          <w:sz w:val="17"/>
          <w:szCs w:val="17"/>
          <w:color w:val="auto"/>
        </w:rPr>
        <w:t>MP0 = the average of the Closing Prices of the Common Stock over the first ten Trading Days commencing on and including the fifth Trading Day following the effective date of such distribution.</w:t>
      </w:r>
    </w:p>
    <w:p>
      <w:pPr>
        <w:spacing w:after="0" w:line="112"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MPs = the average of the Closing Prices of the capital stock or equity interests representing the portion of the distribution applicable to one share of Common Stock over the first ten Trading Days commencing on and including the fifth Trading Day following the effective date of such distribution, or, if not traded on a national or regional securities exchange or over-the-counter market, the fair market value of the capital stock or equity interests representing the portion of the distribution applicable to one share of Common Stock on such date as determined by the Board of Directors.</w:t>
      </w:r>
    </w:p>
    <w:p>
      <w:pPr>
        <w:spacing w:after="0" w:line="149" w:lineRule="exact"/>
        <w:rPr>
          <w:sz w:val="20"/>
          <w:szCs w:val="20"/>
          <w:color w:val="auto"/>
        </w:rPr>
      </w:pPr>
    </w:p>
    <w:p>
      <w:pPr>
        <w:jc w:val="both"/>
        <w:ind w:right="220"/>
        <w:spacing w:after="0" w:line="315" w:lineRule="auto"/>
        <w:rPr>
          <w:sz w:val="20"/>
          <w:szCs w:val="20"/>
          <w:color w:val="auto"/>
        </w:rPr>
      </w:pPr>
      <w:r>
        <w:rPr>
          <w:rFonts w:ascii="Arial" w:cs="Arial" w:eastAsia="Arial" w:hAnsi="Arial"/>
          <w:sz w:val="15"/>
          <w:szCs w:val="15"/>
          <w:color w:val="auto"/>
        </w:rPr>
        <w:t>In the event that such distribution described in this clause (iv) is not so paid or made, the Conversion Price shall be readjusted, effective as of the date the Board of Directors publicly announces its decision not to pay or make such dividend or distribution, to the Conversion Price that would then be in effect if such dividend or distribution had not been declared (but after giving effect to any intervening adjustments that may have been made with respect to the Series G Preferred Stock).</w:t>
      </w:r>
    </w:p>
    <w:p>
      <w:pPr>
        <w:spacing w:after="0" w:line="103" w:lineRule="exact"/>
        <w:rPr>
          <w:sz w:val="20"/>
          <w:szCs w:val="20"/>
          <w:color w:val="auto"/>
        </w:rPr>
      </w:pPr>
    </w:p>
    <w:p>
      <w:pPr>
        <w:ind w:firstLine="459"/>
        <w:spacing w:after="0" w:line="256" w:lineRule="auto"/>
        <w:tabs>
          <w:tab w:leader="none" w:pos="698"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Cash Distributions</w:t>
      </w:r>
      <w:r>
        <w:rPr>
          <w:rFonts w:ascii="Arial" w:cs="Arial" w:eastAsia="Arial" w:hAnsi="Arial"/>
          <w:sz w:val="17"/>
          <w:szCs w:val="17"/>
          <w:color w:val="auto"/>
        </w:rPr>
        <w:t>. If the Corporation makes a distribution consisting exclusively of cash to all holders of the Company Common Stock, excluding (a) any cash dividend on the Company Common Stock to the extent a corresponding cash dividend pursuant to Section 4 is paid on the Series G Preferred Stock, (b) any cash that is distributed in a Reorganization Event or as part of a “spin-off” referred to in clause (iv) above, (c) any dividend or distribution in connection with the Corporation’s liquidation, dissolution or winding up, and (d) any consideration payable in connection with a tender or exchange offer made by the Corporation or any of its subsidiaries, then in each event, the Conversion Price in effect immediately prior to the Ex-Date for such distribution will be multiplied by the following fraction:</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7"/>
          <w:szCs w:val="17"/>
          <w:u w:val="single" w:color="auto"/>
          <w:color w:val="auto"/>
        </w:rPr>
        <w:t>SP0 – DIV</w:t>
      </w:r>
    </w:p>
    <w:p>
      <w:pPr>
        <w:spacing w:after="0" w:line="3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SP0</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Where,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SP0 = the Closing Price per share of Common Stock on the Trading Day immediately preceding the Ex-Date.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DIV = the amount per share of Common Stock of the cash distribution, as determined pursuant to the introduction to this paragraph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622300</wp:posOffset>
            </wp:positionV>
            <wp:extent cx="725805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127" w:name="page128"/>
    <w:bookmarkEnd w:id="127"/>
    <w:p>
      <w:pPr>
        <w:spacing w:after="0" w:line="200" w:lineRule="exact"/>
        <w:rPr>
          <w:sz w:val="20"/>
          <w:szCs w:val="20"/>
          <w:color w:val="auto"/>
        </w:rPr>
      </w:pPr>
    </w:p>
    <w:p>
      <w:pPr>
        <w:spacing w:after="0" w:line="334"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In the event that any distribution described in this clause (v) is not so made, the Conversion Price shall be readjusted, effective as of the date the Board of Directors publicly announces its decision not to pay such distribution, to the Conversion Price which would then be in effect if such distribution had not been declared (but giving effect to any intervening adjustments that may have been made with respect to the Series G Preferred Stock).</w:t>
      </w:r>
    </w:p>
    <w:p>
      <w:pPr>
        <w:spacing w:after="0" w:line="120" w:lineRule="exact"/>
        <w:rPr>
          <w:sz w:val="20"/>
          <w:szCs w:val="20"/>
          <w:color w:val="auto"/>
        </w:rPr>
      </w:pPr>
    </w:p>
    <w:p>
      <w:pPr>
        <w:ind w:right="80" w:firstLine="459"/>
        <w:spacing w:after="0" w:line="260" w:lineRule="auto"/>
        <w:tabs>
          <w:tab w:leader="none" w:pos="746"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Self Tender Offers and Exchange Offers</w:t>
      </w:r>
      <w:r>
        <w:rPr>
          <w:rFonts w:ascii="Arial" w:cs="Arial" w:eastAsia="Arial" w:hAnsi="Arial"/>
          <w:sz w:val="17"/>
          <w:szCs w:val="17"/>
          <w:color w:val="auto"/>
        </w:rPr>
        <w:t>. If the Corporation or any of its subsidiaries successfully completes a tender or exchange offer for the Company Common Stock where the cash and the value of any other consideration included in the payment per share of the Common Stock exceeds the Closing Price per share of the Common Stock on the Trading Day immediately succeeding the expiration of the tender or exchange offer, then the Conversion Price in effect at the close of business on such immediately succeeding Trading Day will be multiplied by the following fraction:</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OS0 x SP0</w:t>
      </w:r>
    </w:p>
    <w:p>
      <w:pPr>
        <w:spacing w:after="0" w:line="3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AC + (SP0 x OS1)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-122555</wp:posOffset>
            </wp:positionV>
            <wp:extent cx="822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232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Where,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SP0 = the Closing Price per share of Common Stock on the Trading Day immediately succeeding the expiration of the tender or exchange offer.</w:t>
      </w:r>
    </w:p>
    <w:p>
      <w:pPr>
        <w:spacing w:after="0" w:line="202" w:lineRule="exact"/>
        <w:rPr>
          <w:sz w:val="20"/>
          <w:szCs w:val="20"/>
          <w:color w:val="auto"/>
        </w:rPr>
      </w:pPr>
    </w:p>
    <w:p>
      <w:pPr>
        <w:ind w:right="100"/>
        <w:spacing w:after="0" w:line="293" w:lineRule="auto"/>
        <w:rPr>
          <w:sz w:val="20"/>
          <w:szCs w:val="20"/>
          <w:color w:val="auto"/>
        </w:rPr>
      </w:pPr>
      <w:r>
        <w:rPr>
          <w:rFonts w:ascii="Arial" w:cs="Arial" w:eastAsia="Arial" w:hAnsi="Arial"/>
          <w:sz w:val="17"/>
          <w:szCs w:val="17"/>
          <w:color w:val="auto"/>
        </w:rPr>
        <w:t>OS0 = the number of shares of Common Stock outstanding immediately prior to the expiration of the tender or exchange offer, including any shares validly tendered and not withdrawn.</w:t>
      </w:r>
    </w:p>
    <w:p>
      <w:pPr>
        <w:spacing w:after="0" w:line="112" w:lineRule="exact"/>
        <w:rPr>
          <w:sz w:val="20"/>
          <w:szCs w:val="20"/>
          <w:color w:val="auto"/>
        </w:rPr>
      </w:pPr>
    </w:p>
    <w:p>
      <w:pPr>
        <w:ind w:right="360"/>
        <w:spacing w:after="0" w:line="293" w:lineRule="auto"/>
        <w:rPr>
          <w:sz w:val="20"/>
          <w:szCs w:val="20"/>
          <w:color w:val="auto"/>
        </w:rPr>
      </w:pPr>
      <w:r>
        <w:rPr>
          <w:rFonts w:ascii="Arial" w:cs="Arial" w:eastAsia="Arial" w:hAnsi="Arial"/>
          <w:sz w:val="17"/>
          <w:szCs w:val="17"/>
          <w:color w:val="auto"/>
        </w:rPr>
        <w:t>OS1= the number of shares of Common Stock outstanding immediately after the expiration of the tender or exchange offer, giving effect to consummation of the acquisition of all shares validly tendered or exchanged (and not withdrawn) in connection with such tender or exchange.</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AC = the aggregate cash and fair market value of the other consideration payable in the tender or exchange offer, as determined by the Board of Directors.</w:t>
      </w: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In the event that the Corporation, or one of its subsidiaries, is obligated to purchase shares of Company Common Stock pursuant to any such tender offer or exchange offer, but the Corporation, or such subsidiary, is permanently prevented by applicable law from effecting any such purchases, or all such purchases are rescinded, then the Conversion Price shall be readjusted to be such Conversion Price that would then be in effect if such tender offer or exchange offer had not been made (but giving effect to any intervening adjustments that may have been made with respect to the Series G Preferred Stock). Except as set forth in the preceding sentence, if the application of this clause (vi) to any tender offer or exchange offer would result in an increase in the Conversion Price, no adjustment shall be made for such tender offer or exchange offer under this clause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594995</wp:posOffset>
            </wp:positionV>
            <wp:extent cx="7258050"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28" w:name="page129"/>
    <w:bookmarkEnd w:id="128"/>
    <w:p>
      <w:pPr>
        <w:spacing w:after="0" w:line="200" w:lineRule="exact"/>
        <w:rPr>
          <w:sz w:val="20"/>
          <w:szCs w:val="20"/>
          <w:color w:val="auto"/>
        </w:rPr>
      </w:pPr>
    </w:p>
    <w:p>
      <w:pPr>
        <w:spacing w:after="0" w:line="334" w:lineRule="exact"/>
        <w:rPr>
          <w:sz w:val="20"/>
          <w:szCs w:val="20"/>
          <w:color w:val="auto"/>
        </w:rPr>
      </w:pPr>
    </w:p>
    <w:p>
      <w:pPr>
        <w:ind w:left="-3" w:firstLine="459"/>
        <w:spacing w:after="0" w:line="289" w:lineRule="auto"/>
        <w:tabs>
          <w:tab w:leader="none" w:pos="791" w:val="left"/>
        </w:tabs>
        <w:numPr>
          <w:ilvl w:val="1"/>
          <w:numId w:val="118"/>
        </w:numPr>
        <w:rPr>
          <w:rFonts w:ascii="Arial" w:cs="Arial" w:eastAsia="Arial" w:hAnsi="Arial"/>
          <w:sz w:val="15"/>
          <w:szCs w:val="15"/>
          <w:color w:val="auto"/>
        </w:rPr>
      </w:pPr>
      <w:r>
        <w:rPr>
          <w:rFonts w:ascii="Arial" w:cs="Arial" w:eastAsia="Arial" w:hAnsi="Arial"/>
          <w:sz w:val="15"/>
          <w:szCs w:val="15"/>
          <w:u w:val="single" w:color="auto"/>
          <w:color w:val="auto"/>
        </w:rPr>
        <w:t>Rights Plans</w:t>
      </w:r>
      <w:r>
        <w:rPr>
          <w:rFonts w:ascii="Arial" w:cs="Arial" w:eastAsia="Arial" w:hAnsi="Arial"/>
          <w:sz w:val="15"/>
          <w:szCs w:val="15"/>
          <w:color w:val="auto"/>
        </w:rPr>
        <w:t>. To the extent that the Corporation has a rights plan in effect with respect to the Company Common Stock on the Mandatory Conversion Date, upon conversion of any shares of the Series G Preferred Stock, Holders will receive, in addition to the shares of Non-Voting Common Stock, the rights under the rights plan, unless, prior to the Mandatory Conversion Date, the rights have separated from the shares of Non-Voting Common Stock, in which case the Conversion Price will be adjusted at the time of separation as if the Corporation had made a distribution to all holders of the Non-Voting Common Stock as described in clause</w:t>
      </w:r>
    </w:p>
    <w:p>
      <w:pPr>
        <w:ind w:left="-3" w:right="160" w:firstLine="3"/>
        <w:spacing w:after="0" w:line="263" w:lineRule="auto"/>
        <w:tabs>
          <w:tab w:leader="none" w:pos="29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above, subject to readjustment in the event of the expiration, termination or redemption of such rights (but after giving effect to any intervening adjustments that may have been made with respect to the Series G Preferred Stock).</w:t>
      </w:r>
    </w:p>
    <w:p>
      <w:pPr>
        <w:spacing w:after="0" w:line="137" w:lineRule="exact"/>
        <w:rPr>
          <w:rFonts w:ascii="Arial" w:cs="Arial" w:eastAsia="Arial" w:hAnsi="Arial"/>
          <w:sz w:val="17"/>
          <w:szCs w:val="17"/>
          <w:color w:val="auto"/>
        </w:rPr>
      </w:pPr>
    </w:p>
    <w:p>
      <w:pPr>
        <w:ind w:left="-3" w:right="100" w:firstLine="916"/>
        <w:spacing w:after="0" w:line="260" w:lineRule="auto"/>
        <w:tabs>
          <w:tab w:leader="none" w:pos="1150" w:val="left"/>
        </w:tabs>
        <w:numPr>
          <w:ilvl w:val="2"/>
          <w:numId w:val="119"/>
        </w:numPr>
        <w:rPr>
          <w:rFonts w:ascii="Arial" w:cs="Arial" w:eastAsia="Arial" w:hAnsi="Arial"/>
          <w:sz w:val="17"/>
          <w:szCs w:val="17"/>
          <w:color w:val="auto"/>
        </w:rPr>
      </w:pPr>
      <w:r>
        <w:rPr>
          <w:rFonts w:ascii="Arial" w:cs="Arial" w:eastAsia="Arial" w:hAnsi="Arial"/>
          <w:sz w:val="17"/>
          <w:szCs w:val="17"/>
          <w:color w:val="auto"/>
        </w:rPr>
        <w:t>The Corporation may make such decreases in the Conversion Price, in addition to any other decreases required by this Section 10, if the Board of Directors deems it advisable, to avoid or diminish any income tax to holders of the Company Common Stock resulting from any dividend or distribution of shares of Company Common Stock (or issuance of rights or warrants to acquire shares of Company Common Stock) or from any event treated as such for income tax purposes or for any other reason.</w:t>
      </w:r>
    </w:p>
    <w:p>
      <w:pPr>
        <w:spacing w:after="0" w:line="152" w:lineRule="exact"/>
        <w:rPr>
          <w:rFonts w:ascii="Arial" w:cs="Arial" w:eastAsia="Arial" w:hAnsi="Arial"/>
          <w:sz w:val="17"/>
          <w:szCs w:val="17"/>
          <w:color w:val="auto"/>
        </w:rPr>
      </w:pPr>
    </w:p>
    <w:p>
      <w:pPr>
        <w:ind w:left="-3" w:right="40" w:firstLine="916"/>
        <w:spacing w:after="0" w:line="281" w:lineRule="auto"/>
        <w:tabs>
          <w:tab w:leader="none" w:pos="1143" w:val="left"/>
        </w:tabs>
        <w:numPr>
          <w:ilvl w:val="2"/>
          <w:numId w:val="119"/>
        </w:numPr>
        <w:rPr>
          <w:rFonts w:ascii="Arial" w:cs="Arial" w:eastAsia="Arial" w:hAnsi="Arial"/>
          <w:sz w:val="16"/>
          <w:szCs w:val="16"/>
          <w:color w:val="auto"/>
        </w:rPr>
      </w:pPr>
      <w:r>
        <w:rPr>
          <w:rFonts w:ascii="Arial" w:cs="Arial" w:eastAsia="Arial" w:hAnsi="Arial"/>
          <w:sz w:val="16"/>
          <w:szCs w:val="16"/>
          <w:color w:val="auto"/>
        </w:rPr>
        <w:t xml:space="preserve">(i) All adjustments to the Conversion Price shall be calculated to the nearest 1/10 of a cent. No adjustment in the Conversion Price shall be required if such adjustment would be less than $0.01;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adjustments which by reason of this subparagraph are not required to be made shall be carried forward and taken into account in any subsequent adjustment;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on the Mandatory Conversion Date adjustments to the Conversion Price will be made with respect to any such adjustment carried forward and which has not been taken into account before such date.</w:t>
      </w:r>
    </w:p>
    <w:p>
      <w:pPr>
        <w:spacing w:after="0" w:line="125" w:lineRule="exact"/>
        <w:rPr>
          <w:rFonts w:ascii="Arial" w:cs="Arial" w:eastAsia="Arial" w:hAnsi="Arial"/>
          <w:sz w:val="16"/>
          <w:szCs w:val="16"/>
          <w:color w:val="auto"/>
        </w:rPr>
      </w:pPr>
    </w:p>
    <w:p>
      <w:pPr>
        <w:ind w:left="-3" w:right="40" w:firstLine="459"/>
        <w:spacing w:after="0" w:line="288" w:lineRule="auto"/>
        <w:tabs>
          <w:tab w:leader="none" w:pos="706" w:val="left"/>
        </w:tabs>
        <w:numPr>
          <w:ilvl w:val="1"/>
          <w:numId w:val="119"/>
        </w:numPr>
        <w:rPr>
          <w:rFonts w:ascii="Arial" w:cs="Arial" w:eastAsia="Arial" w:hAnsi="Arial"/>
          <w:sz w:val="16"/>
          <w:szCs w:val="16"/>
          <w:color w:val="auto"/>
        </w:rPr>
      </w:pPr>
      <w:r>
        <w:rPr>
          <w:rFonts w:ascii="Arial" w:cs="Arial" w:eastAsia="Arial" w:hAnsi="Arial"/>
          <w:sz w:val="16"/>
          <w:szCs w:val="16"/>
          <w:color w:val="auto"/>
        </w:rPr>
        <w:t>No adjustment to the Conversion Price shall be made if Holders may participate in the transaction that would otherwise give rise to an adjustment, as a result of holding the Series G Preferred Stock (including without limitation pursuant to Section 4 hereof), without having to convert the Series G Preferred Stock, as if they held the full number of shares of Non-Voting Common Stock into which a share of the Series G Preferred Stock may then be converted.</w:t>
      </w:r>
    </w:p>
    <w:p>
      <w:pPr>
        <w:spacing w:after="0" w:line="119" w:lineRule="exact"/>
        <w:rPr>
          <w:rFonts w:ascii="Arial" w:cs="Arial" w:eastAsia="Arial" w:hAnsi="Arial"/>
          <w:sz w:val="16"/>
          <w:szCs w:val="16"/>
          <w:color w:val="auto"/>
        </w:rPr>
      </w:pPr>
    </w:p>
    <w:p>
      <w:pPr>
        <w:ind w:left="757" w:hanging="301"/>
        <w:spacing w:after="0"/>
        <w:tabs>
          <w:tab w:leader="none" w:pos="757" w:val="left"/>
        </w:tabs>
        <w:numPr>
          <w:ilvl w:val="1"/>
          <w:numId w:val="119"/>
        </w:numPr>
        <w:rPr>
          <w:rFonts w:ascii="Arial" w:cs="Arial" w:eastAsia="Arial" w:hAnsi="Arial"/>
          <w:sz w:val="17"/>
          <w:szCs w:val="17"/>
          <w:color w:val="auto"/>
        </w:rPr>
      </w:pPr>
      <w:r>
        <w:rPr>
          <w:rFonts w:ascii="Arial" w:cs="Arial" w:eastAsia="Arial" w:hAnsi="Arial"/>
          <w:sz w:val="17"/>
          <w:szCs w:val="17"/>
          <w:color w:val="auto"/>
        </w:rPr>
        <w:t>The Applicable Conversion Price shall not be adjusted:</w:t>
      </w:r>
    </w:p>
    <w:p>
      <w:pPr>
        <w:spacing w:after="0" w:line="189" w:lineRule="exact"/>
        <w:rPr>
          <w:sz w:val="20"/>
          <w:szCs w:val="20"/>
          <w:color w:val="auto"/>
        </w:rPr>
      </w:pPr>
    </w:p>
    <w:p>
      <w:pPr>
        <w:ind w:left="-3" w:right="160" w:firstLine="459"/>
        <w:spacing w:after="0" w:line="309" w:lineRule="auto"/>
        <w:tabs>
          <w:tab w:leader="none" w:pos="734" w:val="left"/>
        </w:tabs>
        <w:numPr>
          <w:ilvl w:val="0"/>
          <w:numId w:val="120"/>
        </w:numPr>
        <w:rPr>
          <w:rFonts w:ascii="Arial" w:cs="Arial" w:eastAsia="Arial" w:hAnsi="Arial"/>
          <w:sz w:val="16"/>
          <w:szCs w:val="16"/>
          <w:color w:val="auto"/>
        </w:rPr>
      </w:pPr>
      <w:r>
        <w:rPr>
          <w:rFonts w:ascii="Arial" w:cs="Arial" w:eastAsia="Arial" w:hAnsi="Arial"/>
          <w:sz w:val="16"/>
          <w:szCs w:val="16"/>
          <w:color w:val="auto"/>
        </w:rPr>
        <w:t>upon the issuance of any shares of Company Common Stock pursuant to any present or future plan providing for the reinvestment of dividends or interest payable on the Corporation’s securities and the investment of additional optional amounts in shares of Company Common Stock under any such plan;</w:t>
      </w:r>
    </w:p>
    <w:p>
      <w:pPr>
        <w:spacing w:after="0" w:line="103" w:lineRule="exact"/>
        <w:rPr>
          <w:rFonts w:ascii="Arial" w:cs="Arial" w:eastAsia="Arial" w:hAnsi="Arial"/>
          <w:sz w:val="16"/>
          <w:szCs w:val="16"/>
          <w:color w:val="auto"/>
        </w:rPr>
      </w:pPr>
    </w:p>
    <w:p>
      <w:pPr>
        <w:ind w:left="-3" w:right="380" w:firstLine="459"/>
        <w:spacing w:after="0" w:line="277" w:lineRule="auto"/>
        <w:tabs>
          <w:tab w:leader="none" w:pos="72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upon the issuance of any shares of Company Common Stock or rights or warrants to purchase those shares pursuant to any present or future employee, director or consultant benefit plan or program of or assumed by the Corporation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589915</wp:posOffset>
            </wp:positionV>
            <wp:extent cx="725805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17"/>
          </w:cols>
          <w:pgMar w:left="243" w:top="1440" w:right="239" w:bottom="1440" w:gutter="0" w:footer="0" w:header="0"/>
        </w:sectPr>
      </w:pPr>
    </w:p>
    <w:bookmarkStart w:id="129" w:name="page130"/>
    <w:bookmarkEnd w:id="129"/>
    <w:p>
      <w:pPr>
        <w:spacing w:after="0" w:line="200" w:lineRule="exact"/>
        <w:rPr>
          <w:sz w:val="20"/>
          <w:szCs w:val="20"/>
          <w:color w:val="auto"/>
        </w:rPr>
      </w:pPr>
    </w:p>
    <w:p>
      <w:pPr>
        <w:spacing w:after="0" w:line="333" w:lineRule="exact"/>
        <w:rPr>
          <w:sz w:val="20"/>
          <w:szCs w:val="20"/>
          <w:color w:val="auto"/>
        </w:rPr>
      </w:pPr>
    </w:p>
    <w:p>
      <w:pPr>
        <w:ind w:right="340" w:firstLine="459"/>
        <w:spacing w:after="0" w:line="277" w:lineRule="auto"/>
        <w:tabs>
          <w:tab w:leader="none" w:pos="727" w:val="left"/>
        </w:tabs>
        <w:numPr>
          <w:ilvl w:val="0"/>
          <w:numId w:val="121"/>
        </w:numPr>
        <w:rPr>
          <w:rFonts w:ascii="Arial" w:cs="Arial" w:eastAsia="Arial" w:hAnsi="Arial"/>
          <w:sz w:val="17"/>
          <w:szCs w:val="17"/>
          <w:color w:val="auto"/>
        </w:rPr>
      </w:pPr>
      <w:r>
        <w:rPr>
          <w:rFonts w:ascii="Arial" w:cs="Arial" w:eastAsia="Arial" w:hAnsi="Arial"/>
          <w:sz w:val="17"/>
          <w:szCs w:val="17"/>
          <w:color w:val="auto"/>
        </w:rPr>
        <w:t>upon the issuance of any shares of Company Common Stock pursuant to any option, warrant, right or exercisable, exchangeable or convertible security outstanding as of the date shares of the Series G Preferred Stock were first issued and not substantially amended thereafter;</w:t>
      </w:r>
    </w:p>
    <w:p>
      <w:pPr>
        <w:spacing w:after="0" w:line="125" w:lineRule="exact"/>
        <w:rPr>
          <w:rFonts w:ascii="Arial" w:cs="Arial" w:eastAsia="Arial" w:hAnsi="Arial"/>
          <w:sz w:val="17"/>
          <w:szCs w:val="17"/>
          <w:color w:val="auto"/>
        </w:rPr>
      </w:pPr>
    </w:p>
    <w:p>
      <w:pPr>
        <w:ind w:left="740" w:hanging="281"/>
        <w:spacing w:after="0"/>
        <w:tabs>
          <w:tab w:leader="none" w:pos="7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for a change in the par value or no par value of Company Common Stock; or</w:t>
      </w:r>
    </w:p>
    <w:p>
      <w:pPr>
        <w:spacing w:after="0" w:line="189" w:lineRule="exact"/>
        <w:rPr>
          <w:rFonts w:ascii="Arial" w:cs="Arial" w:eastAsia="Arial" w:hAnsi="Arial"/>
          <w:sz w:val="17"/>
          <w:szCs w:val="17"/>
          <w:color w:val="auto"/>
        </w:rPr>
      </w:pPr>
    </w:p>
    <w:p>
      <w:pPr>
        <w:ind w:left="720" w:hanging="261"/>
        <w:spacing w:after="0"/>
        <w:tabs>
          <w:tab w:leader="none" w:pos="7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for accrued and unpaid dividends on the Series G Preferred Stock.</w:t>
      </w:r>
    </w:p>
    <w:p>
      <w:pPr>
        <w:spacing w:after="0" w:line="176" w:lineRule="exact"/>
        <w:rPr>
          <w:rFonts w:ascii="Arial" w:cs="Arial" w:eastAsia="Arial" w:hAnsi="Arial"/>
          <w:sz w:val="17"/>
          <w:szCs w:val="17"/>
          <w:color w:val="auto"/>
        </w:rPr>
      </w:pPr>
    </w:p>
    <w:p>
      <w:pPr>
        <w:ind w:firstLine="916"/>
        <w:spacing w:after="0" w:line="295" w:lineRule="auto"/>
        <w:tabs>
          <w:tab w:leader="none" w:pos="1152" w:val="left"/>
        </w:tabs>
        <w:numPr>
          <w:ilvl w:val="1"/>
          <w:numId w:val="121"/>
        </w:numPr>
        <w:rPr>
          <w:rFonts w:ascii="Arial" w:cs="Arial" w:eastAsia="Arial" w:hAnsi="Arial"/>
          <w:sz w:val="15"/>
          <w:szCs w:val="15"/>
          <w:color w:val="auto"/>
        </w:rPr>
      </w:pPr>
      <w:r>
        <w:rPr>
          <w:rFonts w:ascii="Arial" w:cs="Arial" w:eastAsia="Arial" w:hAnsi="Arial"/>
          <w:sz w:val="15"/>
          <w:szCs w:val="15"/>
          <w:color w:val="auto"/>
        </w:rPr>
        <w:t>Whenever the Conversion Price is to be adjusted in accordance with Section 10(a) or Section 10(b), the Corporation shall: (i) compute the Conversion Price in accordance with Section 10(a) or Section 10(b), taking into account the $0.01 threshold set forth in Section 10(c) hereof; (ii) as soon as practicable following the occurrence of an event that requires an adjustment to the Conversion Price pursuant to Section 10(a) or Section 10(b), taking into account the one percent threshold set forth in Section 10(c) hereof (or if the Corporation is not aware of such occurrence, as soon as practicable after becoming so aware), provide, or cause to be provided, a written notice to the Holders of the occurrence of such event; and (iii) as soon as practicable following the determination of the revised Conversion Price in accordance with Section 10(a) or Section 10(b) hereof, provide, or cause to be provided, a written notice to the Holders setting forth in reasonable detail the method by which the adjustment to the Conversion Price was determined and setting forth the revised Conversion Price.</w:t>
      </w:r>
    </w:p>
    <w:p>
      <w:pPr>
        <w:spacing w:after="0" w:line="118" w:lineRule="exact"/>
        <w:rPr>
          <w:sz w:val="20"/>
          <w:szCs w:val="20"/>
          <w:color w:val="auto"/>
        </w:rPr>
      </w:pPr>
    </w:p>
    <w:p>
      <w:pPr>
        <w:ind w:right="560" w:firstLine="914"/>
        <w:spacing w:after="0" w:line="277" w:lineRule="auto"/>
        <w:rPr>
          <w:sz w:val="20"/>
          <w:szCs w:val="20"/>
          <w:color w:val="auto"/>
        </w:rPr>
      </w:pPr>
      <w:r>
        <w:rPr>
          <w:rFonts w:ascii="Arial" w:cs="Arial" w:eastAsia="Arial" w:hAnsi="Arial"/>
          <w:sz w:val="17"/>
          <w:szCs w:val="17"/>
          <w:i w:val="1"/>
          <w:iCs w:val="1"/>
          <w:color w:val="auto"/>
        </w:rPr>
        <w:t>Section 11. Reorganization Events</w:t>
      </w:r>
      <w:r>
        <w:rPr>
          <w:rFonts w:ascii="Arial" w:cs="Arial" w:eastAsia="Arial" w:hAnsi="Arial"/>
          <w:sz w:val="17"/>
          <w:szCs w:val="17"/>
          <w:color w:val="auto"/>
        </w:rPr>
        <w:t>. (a) In the event that, for so long as any shares of Series F Preferred Stock have not been converted and remain</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there occurs:</w:t>
      </w:r>
    </w:p>
    <w:p>
      <w:pPr>
        <w:spacing w:after="0" w:line="139" w:lineRule="exact"/>
        <w:rPr>
          <w:sz w:val="20"/>
          <w:szCs w:val="20"/>
          <w:color w:val="auto"/>
        </w:rPr>
      </w:pPr>
    </w:p>
    <w:p>
      <w:pPr>
        <w:ind w:right="340" w:firstLine="459"/>
        <w:spacing w:after="0" w:line="277" w:lineRule="auto"/>
        <w:tabs>
          <w:tab w:leader="none" w:pos="66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any consolidation, merger or other similar business combination of the Corporation with or into another Person, in each case pursuant to which the Non-Voting Common Stock will be converted into cash, securities or other property of the Corporation or another Person;</w:t>
      </w:r>
    </w:p>
    <w:p>
      <w:pPr>
        <w:spacing w:after="0" w:line="125" w:lineRule="exact"/>
        <w:rPr>
          <w:rFonts w:ascii="Arial" w:cs="Arial" w:eastAsia="Arial" w:hAnsi="Arial"/>
          <w:sz w:val="17"/>
          <w:szCs w:val="17"/>
          <w:color w:val="auto"/>
        </w:rPr>
      </w:pPr>
    </w:p>
    <w:p>
      <w:pPr>
        <w:ind w:right="340" w:firstLine="459"/>
        <w:spacing w:after="0" w:line="309" w:lineRule="auto"/>
        <w:tabs>
          <w:tab w:leader="none" w:pos="708"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any sale, transfer, lease or conveyance to another Person of all or substantially all of the property and assets of the Corporation, in each case pursuant to which the Non-Voting Common Stock will be converted into cash, securities or other property of the Corporation or another Person;</w:t>
      </w:r>
    </w:p>
    <w:p>
      <w:pPr>
        <w:spacing w:after="0" w:line="103" w:lineRule="exact"/>
        <w:rPr>
          <w:rFonts w:ascii="Arial" w:cs="Arial" w:eastAsia="Arial" w:hAnsi="Arial"/>
          <w:sz w:val="16"/>
          <w:szCs w:val="16"/>
          <w:color w:val="auto"/>
        </w:rPr>
      </w:pPr>
    </w:p>
    <w:p>
      <w:pPr>
        <w:ind w:left="760" w:hanging="301"/>
        <w:spacing w:after="0"/>
        <w:tabs>
          <w:tab w:leader="none" w:pos="7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any reclassification of the Non-Voting Common Stock into securities including securities other than the Non-Voting Common Stock; or</w:t>
      </w:r>
    </w:p>
    <w:p>
      <w:pPr>
        <w:spacing w:after="0" w:line="189" w:lineRule="exact"/>
        <w:rPr>
          <w:rFonts w:ascii="Arial" w:cs="Arial" w:eastAsia="Arial" w:hAnsi="Arial"/>
          <w:sz w:val="17"/>
          <w:szCs w:val="17"/>
          <w:color w:val="auto"/>
        </w:rPr>
      </w:pPr>
    </w:p>
    <w:p>
      <w:pPr>
        <w:ind w:right="100" w:firstLine="459"/>
        <w:spacing w:after="0" w:line="277" w:lineRule="auto"/>
        <w:tabs>
          <w:tab w:leader="none" w:pos="74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any statutory exchange of the outstanding shares of Non-Voting Common Stock for securities of another Person (other than in connection with a merger or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582295</wp:posOffset>
            </wp:positionV>
            <wp:extent cx="725805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0" w:name="page131"/>
    <w:bookmarkEnd w:id="130"/>
    <w:p>
      <w:pPr>
        <w:spacing w:after="0" w:line="200" w:lineRule="exact"/>
        <w:rPr>
          <w:sz w:val="20"/>
          <w:szCs w:val="20"/>
          <w:color w:val="auto"/>
        </w:rPr>
      </w:pPr>
    </w:p>
    <w:p>
      <w:pPr>
        <w:spacing w:after="0" w:line="334"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(any such event specified in this Section 10(a), a “</w:t>
      </w:r>
      <w:r>
        <w:rPr>
          <w:rFonts w:ascii="Arial" w:cs="Arial" w:eastAsia="Arial" w:hAnsi="Arial"/>
          <w:sz w:val="15"/>
          <w:szCs w:val="15"/>
          <w:u w:val="single" w:color="auto"/>
          <w:color w:val="auto"/>
        </w:rPr>
        <w:t>Reorganization Event</w:t>
      </w:r>
      <w:r>
        <w:rPr>
          <w:rFonts w:ascii="Arial" w:cs="Arial" w:eastAsia="Arial" w:hAnsi="Arial"/>
          <w:sz w:val="15"/>
          <w:szCs w:val="15"/>
          <w:color w:val="auto"/>
        </w:rPr>
        <w:t>”); then each share of such Holder’s Series G Preferred Stock outstanding immediately prior to such Reorganization Event shall remain outstanding but shall automatically convert, effective as of the close of business on the Mandatory Conversion Date with respect to the shares of Series G Preferred Stock of such Holder (with the term “</w:t>
      </w:r>
      <w:r>
        <w:rPr>
          <w:rFonts w:ascii="Arial" w:cs="Arial" w:eastAsia="Arial" w:hAnsi="Arial"/>
          <w:sz w:val="15"/>
          <w:szCs w:val="15"/>
          <w:u w:val="single" w:color="auto"/>
          <w:color w:val="auto"/>
        </w:rPr>
        <w:t>Regulatory Approval</w:t>
      </w:r>
      <w:r>
        <w:rPr>
          <w:rFonts w:ascii="Arial" w:cs="Arial" w:eastAsia="Arial" w:hAnsi="Arial"/>
          <w:sz w:val="15"/>
          <w:szCs w:val="15"/>
          <w:color w:val="auto"/>
        </w:rPr>
        <w:t>” applied for such purpose, as applicable, to the surviving entity in such Reorganization Event and its securities included in the Exchange Property (as defined below)), into the type and amount of securities, cash and other property receivable in such Reorganization Event by the holder (excluding the counterparty to the Reorganization Event or an Affiliate of such counterparty) of the greater of</w:t>
      </w:r>
    </w:p>
    <w:p>
      <w:pPr>
        <w:spacing w:after="0" w:line="2" w:lineRule="exact"/>
        <w:rPr>
          <w:sz w:val="20"/>
          <w:szCs w:val="20"/>
          <w:color w:val="auto"/>
        </w:rPr>
      </w:pPr>
    </w:p>
    <w:p>
      <w:pPr>
        <w:ind w:right="40" w:firstLine="3"/>
        <w:spacing w:after="0" w:line="271" w:lineRule="auto"/>
        <w:tabs>
          <w:tab w:leader="none" w:pos="20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number of shares of Non-Voting Common Stock into which one share of Series G Preferred Stock would then be convertible assuming the receipt of the Stockholder Approvals and the Regulatory Approval and (ii) the number of shares of Non-Voting Common Stock that, if one share of Series G Preferred Stock were converted into such number of shares, would result in the fair market value of the securities, cash and other property receivable in such Reorganization Event by a Holder of such number of shares equaling the Liquidation Preference plus, in each case of clause (i) and (ii) above, all accrued and unpaid dividends, whether or not declared, up to, but excluding such date (such securities, cash and other property, the “</w:t>
      </w:r>
      <w:r>
        <w:rPr>
          <w:rFonts w:ascii="Arial" w:cs="Arial" w:eastAsia="Arial" w:hAnsi="Arial"/>
          <w:sz w:val="16"/>
          <w:szCs w:val="16"/>
          <w:u w:val="single" w:color="auto"/>
          <w:color w:val="auto"/>
        </w:rPr>
        <w:t>Exchange Property</w:t>
      </w:r>
      <w:r>
        <w:rPr>
          <w:rFonts w:ascii="Arial" w:cs="Arial" w:eastAsia="Arial" w:hAnsi="Arial"/>
          <w:sz w:val="16"/>
          <w:szCs w:val="16"/>
          <w:color w:val="auto"/>
        </w:rPr>
        <w:t>”). In the event that a Reorganization Event referenced in Section 11(a) involves common stock as all or part of the consideration being offered in a fixed exchange ratio transaction, the fair market value per share of such common stock shall be determined by reference to the average of the closing prices of such common stock for the ten Trading Day period ending immediately prior to the consummation of such Reorganization Event.</w:t>
      </w:r>
    </w:p>
    <w:p>
      <w:pPr>
        <w:spacing w:after="0" w:line="134" w:lineRule="exact"/>
        <w:rPr>
          <w:rFonts w:ascii="Arial" w:cs="Arial" w:eastAsia="Arial" w:hAnsi="Arial"/>
          <w:sz w:val="16"/>
          <w:szCs w:val="16"/>
          <w:color w:val="auto"/>
        </w:rPr>
      </w:pPr>
    </w:p>
    <w:p>
      <w:pPr>
        <w:ind w:right="260" w:firstLine="916"/>
        <w:spacing w:after="0" w:line="277" w:lineRule="auto"/>
        <w:tabs>
          <w:tab w:leader="none" w:pos="1156" w:val="left"/>
        </w:tabs>
        <w:numPr>
          <w:ilvl w:val="1"/>
          <w:numId w:val="123"/>
        </w:numPr>
        <w:rPr>
          <w:rFonts w:ascii="Arial" w:cs="Arial" w:eastAsia="Arial" w:hAnsi="Arial"/>
          <w:sz w:val="17"/>
          <w:szCs w:val="17"/>
          <w:color w:val="auto"/>
        </w:rPr>
      </w:pPr>
      <w:r>
        <w:rPr>
          <w:rFonts w:ascii="Arial" w:cs="Arial" w:eastAsia="Arial" w:hAnsi="Arial"/>
          <w:sz w:val="17"/>
          <w:szCs w:val="17"/>
          <w:color w:val="auto"/>
        </w:rPr>
        <w:t>In the event that holders of the shares of Non-Voting Common Stock have the opportunity to elect the form of consideration to be received in such transaction, the Holders shall likewise be allowed to make such an election.</w:t>
      </w:r>
    </w:p>
    <w:p>
      <w:pPr>
        <w:spacing w:after="0" w:line="138" w:lineRule="exact"/>
        <w:rPr>
          <w:rFonts w:ascii="Arial" w:cs="Arial" w:eastAsia="Arial" w:hAnsi="Arial"/>
          <w:sz w:val="17"/>
          <w:szCs w:val="17"/>
          <w:color w:val="auto"/>
        </w:rPr>
      </w:pPr>
    </w:p>
    <w:p>
      <w:pPr>
        <w:ind w:right="100" w:firstLine="916"/>
        <w:spacing w:after="0" w:line="309" w:lineRule="auto"/>
        <w:tabs>
          <w:tab w:leader="none" w:pos="1143"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above provisions of this Section 11 shall similarly apply to successive Reorganization Events and the provisions of Section 10 shall apply to any shares of capital stock of the Corporation (or any successor) received by the holders of the Company Common Stock in any such Reorganization Event.</w:t>
      </w:r>
    </w:p>
    <w:p>
      <w:pPr>
        <w:spacing w:after="0" w:line="103" w:lineRule="exact"/>
        <w:rPr>
          <w:rFonts w:ascii="Arial" w:cs="Arial" w:eastAsia="Arial" w:hAnsi="Arial"/>
          <w:sz w:val="16"/>
          <w:szCs w:val="16"/>
          <w:color w:val="auto"/>
        </w:rPr>
      </w:pPr>
    </w:p>
    <w:p>
      <w:pPr>
        <w:ind w:firstLine="916"/>
        <w:spacing w:after="0" w:line="264" w:lineRule="auto"/>
        <w:tabs>
          <w:tab w:leader="none" w:pos="1152" w:val="left"/>
        </w:tabs>
        <w:numPr>
          <w:ilvl w:val="1"/>
          <w:numId w:val="123"/>
        </w:numPr>
        <w:rPr>
          <w:rFonts w:ascii="Arial" w:cs="Arial" w:eastAsia="Arial" w:hAnsi="Arial"/>
          <w:sz w:val="17"/>
          <w:szCs w:val="17"/>
          <w:color w:val="auto"/>
        </w:rPr>
      </w:pPr>
      <w:r>
        <w:rPr>
          <w:rFonts w:ascii="Arial" w:cs="Arial" w:eastAsia="Arial" w:hAnsi="Arial"/>
          <w:sz w:val="17"/>
          <w:szCs w:val="17"/>
          <w:color w:val="auto"/>
        </w:rPr>
        <w:t>The Corporation (or any successor) shall, within seven days of the consummation of any Reorganization Event, provide written notice to the Holders of such consummation of such event and of the kind and amount of the cash, securities or other property that constitutes the Exchange Property. Failure to deliver such notice shall not affect the operation of this Section 11.</w:t>
      </w:r>
    </w:p>
    <w:p>
      <w:pPr>
        <w:spacing w:after="0" w:line="136" w:lineRule="exact"/>
        <w:rPr>
          <w:rFonts w:ascii="Arial" w:cs="Arial" w:eastAsia="Arial" w:hAnsi="Arial"/>
          <w:sz w:val="17"/>
          <w:szCs w:val="17"/>
          <w:color w:val="auto"/>
        </w:rPr>
      </w:pPr>
    </w:p>
    <w:p>
      <w:pPr>
        <w:ind w:right="80" w:firstLine="916"/>
        <w:spacing w:after="0" w:line="264" w:lineRule="auto"/>
        <w:tabs>
          <w:tab w:leader="none" w:pos="1143" w:val="left"/>
        </w:tabs>
        <w:numPr>
          <w:ilvl w:val="1"/>
          <w:numId w:val="123"/>
        </w:numPr>
        <w:rPr>
          <w:rFonts w:ascii="Arial" w:cs="Arial" w:eastAsia="Arial" w:hAnsi="Arial"/>
          <w:sz w:val="17"/>
          <w:szCs w:val="17"/>
          <w:color w:val="auto"/>
        </w:rPr>
      </w:pPr>
      <w:r>
        <w:rPr>
          <w:rFonts w:ascii="Arial" w:cs="Arial" w:eastAsia="Arial" w:hAnsi="Arial"/>
          <w:sz w:val="17"/>
          <w:szCs w:val="17"/>
          <w:color w:val="auto"/>
        </w:rPr>
        <w:t>The Corporation shall not enter into any agreement for a transaction constituting a Reorganization Event unless such agreement provides for or does not interfere with or prevent (as applicable) conversion of the Series G Preferred Stock into the Exchange Property in a manner that is consistent with and gives effect to this Section 11.</w:t>
      </w:r>
    </w:p>
    <w:p>
      <w:pPr>
        <w:spacing w:after="0" w:line="150" w:lineRule="exact"/>
        <w:rPr>
          <w:sz w:val="20"/>
          <w:szCs w:val="20"/>
          <w:color w:val="auto"/>
        </w:rPr>
      </w:pPr>
    </w:p>
    <w:p>
      <w:pPr>
        <w:ind w:right="200" w:firstLine="914"/>
        <w:spacing w:after="0" w:line="277" w:lineRule="auto"/>
        <w:rPr>
          <w:sz w:val="20"/>
          <w:szCs w:val="20"/>
          <w:color w:val="auto"/>
        </w:rPr>
      </w:pPr>
      <w:r>
        <w:rPr>
          <w:rFonts w:ascii="Arial" w:cs="Arial" w:eastAsia="Arial" w:hAnsi="Arial"/>
          <w:sz w:val="17"/>
          <w:szCs w:val="17"/>
          <w:i w:val="1"/>
          <w:iCs w:val="1"/>
          <w:color w:val="auto"/>
        </w:rPr>
        <w:t>Section 12. Voting Rights</w:t>
      </w:r>
      <w:r>
        <w:rPr>
          <w:rFonts w:ascii="Arial" w:cs="Arial" w:eastAsia="Arial" w:hAnsi="Arial"/>
          <w:sz w:val="17"/>
          <w:szCs w:val="17"/>
          <w:color w:val="auto"/>
        </w:rPr>
        <w:t>. (a) Holders will not have any voting rights, including the right to elect any directors, except (i) voting rights, if any, required</w:t>
      </w:r>
      <w:r>
        <w:rPr>
          <w:rFonts w:ascii="Arial" w:cs="Arial" w:eastAsia="Arial" w:hAnsi="Arial"/>
          <w:sz w:val="17"/>
          <w:szCs w:val="17"/>
          <w:i w:val="1"/>
          <w:iCs w:val="1"/>
          <w:color w:val="auto"/>
        </w:rPr>
        <w:t xml:space="preserve"> </w:t>
      </w:r>
      <w:r>
        <w:rPr>
          <w:rFonts w:ascii="Arial" w:cs="Arial" w:eastAsia="Arial" w:hAnsi="Arial"/>
          <w:sz w:val="17"/>
          <w:szCs w:val="17"/>
          <w:color w:val="auto"/>
        </w:rPr>
        <w:t>by law, and (ii) voting rights, if any, described in this Section 12.</w:t>
      </w:r>
    </w:p>
    <w:p>
      <w:pPr>
        <w:spacing w:after="0" w:line="126" w:lineRule="exact"/>
        <w:rPr>
          <w:sz w:val="20"/>
          <w:szCs w:val="20"/>
          <w:color w:val="auto"/>
        </w:rPr>
      </w:pPr>
    </w:p>
    <w:p>
      <w:pPr>
        <w:ind w:right="60" w:firstLine="916"/>
        <w:spacing w:after="0" w:line="288" w:lineRule="auto"/>
        <w:tabs>
          <w:tab w:leader="none" w:pos="115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So long as any shares of Series G Preferred Stock are outstanding, the vote or consent of the Holders of a majority of the shares of Series G Preferred Stock at the time outstanding, voting as a single class, given in person or by proxy, either in writing without a meeting or by vote at any meeting called for the purpose, will be necessary for effecting or validating any of the following actions, whether or not such approval is required by Georgia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586105</wp:posOffset>
            </wp:positionV>
            <wp:extent cx="7258050"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1" w:name="page132"/>
    <w:bookmarkEnd w:id="131"/>
    <w:p>
      <w:pPr>
        <w:spacing w:after="0" w:line="200" w:lineRule="exact"/>
        <w:rPr>
          <w:sz w:val="20"/>
          <w:szCs w:val="20"/>
          <w:color w:val="auto"/>
        </w:rPr>
      </w:pPr>
    </w:p>
    <w:p>
      <w:pPr>
        <w:spacing w:after="0" w:line="334" w:lineRule="exact"/>
        <w:rPr>
          <w:sz w:val="20"/>
          <w:szCs w:val="20"/>
          <w:color w:val="auto"/>
        </w:rPr>
      </w:pPr>
    </w:p>
    <w:p>
      <w:pPr>
        <w:ind w:firstLine="459"/>
        <w:spacing w:after="0" w:line="264" w:lineRule="auto"/>
        <w:tabs>
          <w:tab w:leader="none" w:pos="661"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any amendment, alteration or repeal (including by means of a merger, consolidation or otherwise) of any provision of the Articles of Incorporation (including this Certificate of Designations) or the Corporation’s bylaws that would alter or change the rights, preferences or privileges of the Series G Preferred Stock so as to affect them adversely; or</w:t>
      </w:r>
    </w:p>
    <w:p>
      <w:pPr>
        <w:spacing w:after="0" w:line="136" w:lineRule="exact"/>
        <w:rPr>
          <w:rFonts w:ascii="Arial" w:cs="Arial" w:eastAsia="Arial" w:hAnsi="Arial"/>
          <w:sz w:val="17"/>
          <w:szCs w:val="17"/>
          <w:color w:val="auto"/>
        </w:rPr>
      </w:pPr>
    </w:p>
    <w:p>
      <w:pPr>
        <w:jc w:val="both"/>
        <w:ind w:right="180" w:firstLine="459"/>
        <w:spacing w:after="0" w:line="260" w:lineRule="auto"/>
        <w:tabs>
          <w:tab w:leader="none" w:pos="70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any amendment or alteration (including by means of a merger, consolidation or otherwise) of the Corporation’s Articles of Incorporation to authorize, or create, or increase the authorized amount of, any shares of, or any securities convertible into shares of, any class or series of the Corporation’s capital stock ranking equally with or senior to the Series G Preferred Stock in the payment of dividends or in the distribution of assets on any liquidation, dissolution or winding up of the Corporation.</w:t>
      </w:r>
    </w:p>
    <w:p>
      <w:pPr>
        <w:spacing w:after="0" w:line="153"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 creation and issuance, or an increase in the authorized or issued amount, of any series of preferred stock or any securities convertible into</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stock ranking junior to the Series G Preferred Stock with respect to the payment of dividends (whether such dividends are cumulative or non-cumulative) and/or the distribution of assets upon the Corporation’s liquidation, dissolution or winding up will not, in and of itself, be deemed to adversely affect rights, preferences or privileges of the Series G Preferred Stock and, notwithstanding any provision of Georgia law, Holders will have no right to vote solely by reason of such an increase, creation or issuance.</w:t>
      </w:r>
    </w:p>
    <w:p>
      <w:pPr>
        <w:spacing w:after="0" w:line="142" w:lineRule="exact"/>
        <w:rPr>
          <w:sz w:val="20"/>
          <w:szCs w:val="20"/>
          <w:color w:val="auto"/>
        </w:rPr>
      </w:pPr>
    </w:p>
    <w:p>
      <w:pPr>
        <w:ind w:right="140" w:firstLine="916"/>
        <w:spacing w:after="0" w:line="309" w:lineRule="auto"/>
        <w:tabs>
          <w:tab w:leader="none" w:pos="114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Notwithstanding the foregoing, Holders shall not have any voting rights if, at or prior to the effective time of the act with respect to which such vote would otherwise be required, all outstanding shares of Series G Preferred Stock shall have been converted into shares of Non-Voting Common Stock.</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Section 13. Fractional Shares</w:t>
      </w:r>
      <w:r>
        <w:rPr>
          <w:rFonts w:ascii="Arial" w:cs="Arial" w:eastAsia="Arial" w:hAnsi="Arial"/>
          <w:sz w:val="17"/>
          <w:szCs w:val="17"/>
          <w:color w:val="auto"/>
        </w:rPr>
        <w:t>.</w:t>
      </w:r>
    </w:p>
    <w:p>
      <w:pPr>
        <w:spacing w:after="0" w:line="189" w:lineRule="exact"/>
        <w:rPr>
          <w:sz w:val="20"/>
          <w:szCs w:val="20"/>
          <w:color w:val="auto"/>
        </w:rPr>
      </w:pPr>
    </w:p>
    <w:p>
      <w:pPr>
        <w:ind w:left="1140" w:hanging="224"/>
        <w:spacing w:after="0"/>
        <w:tabs>
          <w:tab w:leader="none" w:pos="11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No fractional shares of Non-Voting Common Stock will be issued as a result of any conversion of shares of Series G Preferred Stock.</w:t>
      </w:r>
    </w:p>
    <w:p>
      <w:pPr>
        <w:spacing w:after="0" w:line="176" w:lineRule="exact"/>
        <w:rPr>
          <w:rFonts w:ascii="Arial" w:cs="Arial" w:eastAsia="Arial" w:hAnsi="Arial"/>
          <w:sz w:val="17"/>
          <w:szCs w:val="17"/>
          <w:color w:val="auto"/>
        </w:rPr>
      </w:pPr>
    </w:p>
    <w:p>
      <w:pPr>
        <w:jc w:val="both"/>
        <w:ind w:right="40" w:firstLine="916"/>
        <w:spacing w:after="0" w:line="264" w:lineRule="auto"/>
        <w:tabs>
          <w:tab w:leader="none" w:pos="1156"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In lieu of any fractional share of Non-Voting Common Stock otherwise issuable in respect of any mandatory conversion pursuant to Section 8 hereof, the Corporation shall pay an amount in cash (computed to the nearest cent) equal to the same fraction of the Closing Price of the Common Stock determined as of the second Trading Day immediately preceding the Mandatory Conversion Date.</w:t>
      </w:r>
    </w:p>
    <w:p>
      <w:pPr>
        <w:spacing w:after="0" w:line="136" w:lineRule="exact"/>
        <w:rPr>
          <w:rFonts w:ascii="Arial" w:cs="Arial" w:eastAsia="Arial" w:hAnsi="Arial"/>
          <w:sz w:val="17"/>
          <w:szCs w:val="17"/>
          <w:color w:val="auto"/>
        </w:rPr>
      </w:pPr>
    </w:p>
    <w:p>
      <w:pPr>
        <w:jc w:val="both"/>
        <w:ind w:right="120" w:firstLine="916"/>
        <w:spacing w:after="0" w:line="264" w:lineRule="auto"/>
        <w:tabs>
          <w:tab w:leader="none" w:pos="1146"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If more than one share of the Series G Preferred Stock is surrendered for conversion at one time by or for the same Holder, the number of full shares of Non-Voting Common Stock issuable upon conversion thereof shall be computed on the basis of the aggregate number of shares of the Series G Preferred Stock so surrendered.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597535</wp:posOffset>
            </wp:positionV>
            <wp:extent cx="7258050"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2" w:name="page133"/>
    <w:bookmarkEnd w:id="132"/>
    <w:p>
      <w:pPr>
        <w:spacing w:after="0" w:line="200" w:lineRule="exact"/>
        <w:rPr>
          <w:sz w:val="20"/>
          <w:szCs w:val="20"/>
          <w:color w:val="auto"/>
        </w:rPr>
      </w:pPr>
    </w:p>
    <w:p>
      <w:pPr>
        <w:spacing w:after="0" w:line="334" w:lineRule="exact"/>
        <w:rPr>
          <w:sz w:val="20"/>
          <w:szCs w:val="20"/>
          <w:color w:val="auto"/>
        </w:rPr>
      </w:pPr>
    </w:p>
    <w:p>
      <w:pPr>
        <w:ind w:left="4"/>
        <w:spacing w:after="0"/>
        <w:rPr>
          <w:sz w:val="20"/>
          <w:szCs w:val="20"/>
          <w:color w:val="auto"/>
        </w:rPr>
      </w:pPr>
      <w:r>
        <w:rPr>
          <w:rFonts w:ascii="Arial" w:cs="Arial" w:eastAsia="Arial" w:hAnsi="Arial"/>
          <w:sz w:val="17"/>
          <w:szCs w:val="17"/>
          <w:i w:val="1"/>
          <w:iCs w:val="1"/>
          <w:color w:val="auto"/>
        </w:rPr>
        <w:t>Section 14. Reservation of Non-Voting Common Stock.</w:t>
      </w:r>
    </w:p>
    <w:p>
      <w:pPr>
        <w:spacing w:after="0" w:line="176" w:lineRule="exact"/>
        <w:rPr>
          <w:sz w:val="20"/>
          <w:szCs w:val="20"/>
          <w:color w:val="auto"/>
        </w:rPr>
      </w:pPr>
    </w:p>
    <w:p>
      <w:pPr>
        <w:ind w:left="-916" w:firstLine="916"/>
        <w:spacing w:after="0" w:line="272" w:lineRule="auto"/>
        <w:tabs>
          <w:tab w:leader="none" w:pos="23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Following the receipt of the Stockholder Approvals, the Corporation shall at all times reserve and keep available out of its authorized and unissued Non-Voting Common Stock or shares acquired by the Corporation, solely for issuance upon the conversion of shares of Series G Preferred Stock as provided in this Certificate of Designations free from any preemptive or other similar rights, such number of shares of Non-Voting Common Stock as shall from time to time be issuable upon the conversion of all the shares of Series G Preferred Stock then outstanding. For purposes of this Section 14(a), the number of shares of Non-Voting Common Stock that shall be deliverable upon the conversion of all outstanding shares of Series G Preferred Stock shall be computed as if at the time of computation all such outstanding shares were held by a single Holder. Following the receipt of the Stockholder Approvals, the Corporation shall at all times reserve and keep available out of its authorized and unissued Common Stock or shares acquired by the Corporation, solely for issuance upon the conversion of shares of Non-Voting Common Stock issued upon conversion of the Series G Preferred Stock free from any preemptive or other similar rights, the same number of shares of Common Stock as the number of shares of Non-Voting Common Stock reserved pursuant to the first sentence of this Section 14(a).</w:t>
      </w:r>
    </w:p>
    <w:p>
      <w:pPr>
        <w:spacing w:after="0" w:line="148" w:lineRule="exact"/>
        <w:rPr>
          <w:rFonts w:ascii="Arial" w:cs="Arial" w:eastAsia="Arial" w:hAnsi="Arial"/>
          <w:sz w:val="16"/>
          <w:szCs w:val="16"/>
          <w:color w:val="auto"/>
        </w:rPr>
      </w:pPr>
    </w:p>
    <w:p>
      <w:pPr>
        <w:ind w:left="-916" w:right="20" w:firstLine="916"/>
        <w:spacing w:after="0" w:line="264" w:lineRule="auto"/>
        <w:tabs>
          <w:tab w:leader="none" w:pos="239" w:val="left"/>
        </w:tabs>
        <w:numPr>
          <w:ilvl w:val="0"/>
          <w:numId w:val="128"/>
        </w:numPr>
        <w:rPr>
          <w:rFonts w:ascii="Arial" w:cs="Arial" w:eastAsia="Arial" w:hAnsi="Arial"/>
          <w:sz w:val="17"/>
          <w:szCs w:val="17"/>
          <w:color w:val="auto"/>
        </w:rPr>
      </w:pPr>
      <w:r>
        <w:rPr>
          <w:rFonts w:ascii="Arial" w:cs="Arial" w:eastAsia="Arial" w:hAnsi="Arial"/>
          <w:sz w:val="17"/>
          <w:szCs w:val="17"/>
          <w:color w:val="auto"/>
        </w:rPr>
        <w:t>Notwithstanding the foregoing, the Corporation shall be entitled to deliver upon conversion of shares of Series G Preferred Stock, as herein provided, shares of Non-Voting Common Stock acquired by the Corporation (in lieu of the issuance of authorized and unissued shares of Non-Voting Common Stock), so long as any such acquired shares are free and clear of all liens, charges, security interests or encumbrances.</w:t>
      </w:r>
    </w:p>
    <w:p>
      <w:pPr>
        <w:spacing w:after="0" w:line="136" w:lineRule="exact"/>
        <w:rPr>
          <w:rFonts w:ascii="Arial" w:cs="Arial" w:eastAsia="Arial" w:hAnsi="Arial"/>
          <w:sz w:val="17"/>
          <w:szCs w:val="17"/>
          <w:color w:val="auto"/>
        </w:rPr>
      </w:pPr>
    </w:p>
    <w:p>
      <w:pPr>
        <w:ind w:left="-916" w:right="280" w:firstLine="916"/>
        <w:spacing w:after="0" w:line="277" w:lineRule="auto"/>
        <w:tabs>
          <w:tab w:leader="none" w:pos="2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All shares of Non-Voting Common Stock delivered upon conversion of the Series G Preferred Stock shall be duly authorized, validly issued, fully paid and non-assessable, free and clear of all liens, claims, security interests and other encumbrances.</w:t>
      </w:r>
    </w:p>
    <w:p>
      <w:pPr>
        <w:spacing w:after="0" w:line="125" w:lineRule="exact"/>
        <w:rPr>
          <w:rFonts w:ascii="Arial" w:cs="Arial" w:eastAsia="Arial" w:hAnsi="Arial"/>
          <w:sz w:val="17"/>
          <w:szCs w:val="17"/>
          <w:color w:val="auto"/>
        </w:rPr>
      </w:pPr>
    </w:p>
    <w:p>
      <w:pPr>
        <w:ind w:left="-916" w:right="120" w:firstLine="916"/>
        <w:spacing w:after="0" w:line="264" w:lineRule="auto"/>
        <w:tabs>
          <w:tab w:leader="none" w:pos="239" w:val="left"/>
        </w:tabs>
        <w:numPr>
          <w:ilvl w:val="0"/>
          <w:numId w:val="128"/>
        </w:numPr>
        <w:rPr>
          <w:rFonts w:ascii="Arial" w:cs="Arial" w:eastAsia="Arial" w:hAnsi="Arial"/>
          <w:sz w:val="17"/>
          <w:szCs w:val="17"/>
          <w:color w:val="auto"/>
        </w:rPr>
      </w:pPr>
      <w:r>
        <w:rPr>
          <w:rFonts w:ascii="Arial" w:cs="Arial" w:eastAsia="Arial" w:hAnsi="Arial"/>
          <w:sz w:val="17"/>
          <w:szCs w:val="17"/>
          <w:color w:val="auto"/>
        </w:rPr>
        <w:t>Prior to the delivery of any securities that the Corporation shall be obligated to deliver upon conversion of the Series G Preferred Stock, the Corporation shall use its reasonable best efforts to comply with all federal and state laws and regulations thereunder requiring the registration of such securities with, or any approval of or consent to the delivery thereof by, any governmental authority.</w:t>
      </w:r>
    </w:p>
    <w:p>
      <w:pPr>
        <w:spacing w:after="0" w:line="149" w:lineRule="exact"/>
        <w:rPr>
          <w:rFonts w:ascii="Arial" w:cs="Arial" w:eastAsia="Arial" w:hAnsi="Arial"/>
          <w:sz w:val="17"/>
          <w:szCs w:val="17"/>
          <w:color w:val="auto"/>
        </w:rPr>
      </w:pPr>
    </w:p>
    <w:p>
      <w:pPr>
        <w:ind w:left="-916" w:right="400" w:firstLine="916"/>
        <w:spacing w:after="0" w:line="260" w:lineRule="auto"/>
        <w:tabs>
          <w:tab w:leader="none" w:pos="227"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Corporation hereby covenants and agrees that, if at any time the Non-Voting Common Stock shall be listed on The NASDAQ Global Select Market or any other national securities exchange or automated quotation system, the Corporation will, if permitted by the rules of such exchange or automated quotation system, list and keep listed, so long as the Non-Voting Common Stock shall be so listed on such exchange or automated quotation system, all the Non-Voting Common Stock issuable upon conversion of the Series G Preferred Stock.</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7"/>
          <w:szCs w:val="17"/>
          <w:i w:val="1"/>
          <w:iCs w:val="1"/>
          <w:color w:val="auto"/>
        </w:rPr>
        <w:t>Section 15. Replacement Certificates</w:t>
      </w:r>
      <w:r>
        <w:rPr>
          <w:rFonts w:ascii="Arial" w:cs="Arial" w:eastAsia="Arial" w:hAnsi="Arial"/>
          <w:sz w:val="17"/>
          <w:szCs w:val="17"/>
          <w:color w:val="auto"/>
        </w:rPr>
        <w:t>.</w:t>
      </w:r>
    </w:p>
    <w:p>
      <w:pPr>
        <w:spacing w:after="0" w:line="176" w:lineRule="exact"/>
        <w:rPr>
          <w:sz w:val="20"/>
          <w:szCs w:val="20"/>
          <w:color w:val="auto"/>
        </w:rPr>
      </w:pPr>
    </w:p>
    <w:p>
      <w:pPr>
        <w:jc w:val="both"/>
        <w:ind w:left="-916" w:right="60" w:firstLine="916"/>
        <w:spacing w:after="0" w:line="264" w:lineRule="auto"/>
        <w:tabs>
          <w:tab w:leader="none" w:pos="227"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Corporation shall replace any mutilated certificate at the Holder’s expense upon surrender of that certificate to the Corporation. The Corporation shall replace certificates that become destroyed, stolen or lost at the Holder’s expense upon delivery to the Corporation of satisfactory evidence that the certificate has been destroyed, stolen or lost, together with any indemnity that may be required by the Corporation.</w:t>
      </w:r>
    </w:p>
    <w:p>
      <w:pPr>
        <w:spacing w:after="0" w:line="149" w:lineRule="exact"/>
        <w:rPr>
          <w:rFonts w:ascii="Arial" w:cs="Arial" w:eastAsia="Arial" w:hAnsi="Arial"/>
          <w:sz w:val="17"/>
          <w:szCs w:val="17"/>
          <w:color w:val="auto"/>
        </w:rPr>
      </w:pPr>
    </w:p>
    <w:p>
      <w:pPr>
        <w:ind w:left="-916" w:right="120" w:firstLine="916"/>
        <w:spacing w:after="0" w:line="260" w:lineRule="auto"/>
        <w:tabs>
          <w:tab w:leader="none" w:pos="23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Corporation shall not be required to issue any certificates representing the Series G Preferred Stock on or after the Mandatory Conversion Date. In place of the delivery of a replacement certificate following the Mandatory Conversion Date, the Corporation, upon delivery of the evidence and indemnity described in clause (a) above, shall deliver the shares of Non-Voting Common Stock pursuant to the terms of the Series G Preferred Stock formerly evidenced by the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591185</wp:posOffset>
            </wp:positionV>
            <wp:extent cx="7258050"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484"/>
          </w:cols>
          <w:pgMar w:left="1156" w:top="1440" w:right="259" w:bottom="1440" w:gutter="0" w:footer="0" w:header="0"/>
        </w:sectPr>
      </w:pPr>
    </w:p>
    <w:bookmarkStart w:id="133" w:name="page134"/>
    <w:bookmarkEnd w:id="133"/>
    <w:p>
      <w:pPr>
        <w:spacing w:after="0" w:line="200" w:lineRule="exact"/>
        <w:rPr>
          <w:sz w:val="20"/>
          <w:szCs w:val="20"/>
          <w:color w:val="auto"/>
        </w:rPr>
      </w:pPr>
    </w:p>
    <w:p>
      <w:pPr>
        <w:spacing w:after="0" w:line="333" w:lineRule="exact"/>
        <w:rPr>
          <w:sz w:val="20"/>
          <w:szCs w:val="20"/>
          <w:color w:val="auto"/>
        </w:rPr>
      </w:pPr>
    </w:p>
    <w:p>
      <w:pPr>
        <w:ind w:left="917"/>
        <w:spacing w:after="0"/>
        <w:rPr>
          <w:sz w:val="20"/>
          <w:szCs w:val="20"/>
          <w:color w:val="auto"/>
        </w:rPr>
      </w:pPr>
      <w:r>
        <w:rPr>
          <w:rFonts w:ascii="Arial" w:cs="Arial" w:eastAsia="Arial" w:hAnsi="Arial"/>
          <w:sz w:val="17"/>
          <w:szCs w:val="17"/>
          <w:i w:val="1"/>
          <w:iCs w:val="1"/>
          <w:color w:val="auto"/>
        </w:rPr>
        <w:t>Section 16. Miscellaneous</w:t>
      </w:r>
      <w:r>
        <w:rPr>
          <w:rFonts w:ascii="Arial" w:cs="Arial" w:eastAsia="Arial" w:hAnsi="Arial"/>
          <w:sz w:val="17"/>
          <w:szCs w:val="17"/>
          <w:color w:val="auto"/>
        </w:rPr>
        <w:t>.</w:t>
      </w:r>
    </w:p>
    <w:p>
      <w:pPr>
        <w:spacing w:after="0" w:line="176" w:lineRule="exact"/>
        <w:rPr>
          <w:sz w:val="20"/>
          <w:szCs w:val="20"/>
          <w:color w:val="auto"/>
        </w:rPr>
      </w:pPr>
    </w:p>
    <w:p>
      <w:pPr>
        <w:ind w:left="-3" w:right="200" w:firstLine="916"/>
        <w:spacing w:after="0" w:line="289" w:lineRule="auto"/>
        <w:tabs>
          <w:tab w:leader="none" w:pos="1134" w:val="left"/>
        </w:tabs>
        <w:numPr>
          <w:ilvl w:val="1"/>
          <w:numId w:val="130"/>
        </w:numPr>
        <w:rPr>
          <w:rFonts w:ascii="Arial" w:cs="Arial" w:eastAsia="Arial" w:hAnsi="Arial"/>
          <w:sz w:val="15"/>
          <w:szCs w:val="15"/>
          <w:color w:val="auto"/>
        </w:rPr>
      </w:pPr>
      <w:r>
        <w:rPr>
          <w:rFonts w:ascii="Arial" w:cs="Arial" w:eastAsia="Arial" w:hAnsi="Arial"/>
          <w:sz w:val="15"/>
          <w:szCs w:val="15"/>
          <w:color w:val="auto"/>
        </w:rPr>
        <w:t>All notices referred to herein shall be in writing, and, unless otherwise specified herein, all notices hereunder shall be deemed to have been given upon the earlier of receipt thereof or three Business Days after the mailing thereof if sent by registered or certified mail (unless first-class mail shall be specifically permitted for such notice under the terms of this Certificate of Designations) with postage prepaid, addressed: (i) if to the Corporation, to its office at 125 Highway 515 East, Blairsville, Georgia 30512 or (ii) if to any Holder, to such Holder at the address of such Holder as listed in the stock record books of the Corporation, or</w:t>
      </w:r>
    </w:p>
    <w:p>
      <w:pPr>
        <w:ind w:left="297" w:hanging="297"/>
        <w:spacing w:after="0"/>
        <w:tabs>
          <w:tab w:leader="none" w:pos="297"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to such other address as the Corporation or any such Holder, as the case may be, shall have designated by notice similarly given.</w:t>
      </w:r>
    </w:p>
    <w:p>
      <w:pPr>
        <w:spacing w:after="0" w:line="177" w:lineRule="exact"/>
        <w:rPr>
          <w:rFonts w:ascii="Arial" w:cs="Arial" w:eastAsia="Arial" w:hAnsi="Arial"/>
          <w:sz w:val="17"/>
          <w:szCs w:val="17"/>
          <w:color w:val="auto"/>
        </w:rPr>
      </w:pPr>
    </w:p>
    <w:p>
      <w:pPr>
        <w:ind w:left="-3" w:right="140" w:firstLine="916"/>
        <w:spacing w:after="0" w:line="273" w:lineRule="auto"/>
        <w:tabs>
          <w:tab w:leader="none" w:pos="115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The Corporation shall pay any and all stock transfer and documentary stamp taxes that may be payable in respect of any issuance or delivery of shares of Series G Preferred Stock or shares of Non-Voting Common Stock or other securities issued on account of Series G Preferred Stock pursuant hereto or certificates representing such shares or securities. The Corporation shall not, however, be required to pay any such tax that may be payable in respect of any transfer involved in the issuance or delivery of shares of Series G Preferred Stock or Non-Voting Common Stock or other securities in a name other than that in which the shares of Series G Preferred Stock with respect to which such shares or other securities are issued or delivered were registered, or in respect of any payment to any Person other than a payment to the registered holder thereof, and shall not be required to make any such issuance, delivery or payment unless and until the Person otherwise entitled to such issuance, delivery or payment has paid to the Corporation the amount of any such tax or has established, to the satisfaction of the Corporation, that such tax has been paid or is not payable.</w:t>
      </w:r>
    </w:p>
    <w:p>
      <w:pPr>
        <w:spacing w:after="0" w:line="133" w:lineRule="exact"/>
        <w:rPr>
          <w:rFonts w:ascii="Arial" w:cs="Arial" w:eastAsia="Arial" w:hAnsi="Arial"/>
          <w:sz w:val="16"/>
          <w:szCs w:val="16"/>
          <w:color w:val="auto"/>
        </w:rPr>
      </w:pPr>
    </w:p>
    <w:p>
      <w:pPr>
        <w:ind w:left="-3" w:right="460" w:firstLine="916"/>
        <w:spacing w:after="0" w:line="277" w:lineRule="auto"/>
        <w:tabs>
          <w:tab w:leader="none" w:pos="1134" w:val="left"/>
        </w:tabs>
        <w:numPr>
          <w:ilvl w:val="1"/>
          <w:numId w:val="131"/>
        </w:numPr>
        <w:rPr>
          <w:rFonts w:ascii="Arial" w:cs="Arial" w:eastAsia="Arial" w:hAnsi="Arial"/>
          <w:sz w:val="17"/>
          <w:szCs w:val="17"/>
          <w:color w:val="auto"/>
        </w:rPr>
      </w:pPr>
      <w:r>
        <w:rPr>
          <w:rFonts w:ascii="Arial" w:cs="Arial" w:eastAsia="Arial" w:hAnsi="Arial"/>
          <w:sz w:val="17"/>
          <w:szCs w:val="17"/>
          <w:color w:val="auto"/>
        </w:rPr>
        <w:t>All payments on the shares of Series G Preferred Stock shall be subject to withholding and backup withholding of tax to the extent required by applicable law, subject to applicable exemptions, and amounts withheld, if any, shall be treated as received by the holders thereof.</w:t>
      </w:r>
    </w:p>
    <w:p>
      <w:pPr>
        <w:spacing w:after="0" w:line="125" w:lineRule="exact"/>
        <w:rPr>
          <w:rFonts w:ascii="Arial" w:cs="Arial" w:eastAsia="Arial" w:hAnsi="Arial"/>
          <w:sz w:val="17"/>
          <w:szCs w:val="17"/>
          <w:color w:val="auto"/>
        </w:rPr>
      </w:pPr>
    </w:p>
    <w:p>
      <w:pPr>
        <w:ind w:left="-3" w:firstLine="916"/>
        <w:spacing w:after="0" w:line="264" w:lineRule="auto"/>
        <w:tabs>
          <w:tab w:leader="none" w:pos="1153" w:val="left"/>
        </w:tabs>
        <w:numPr>
          <w:ilvl w:val="1"/>
          <w:numId w:val="131"/>
        </w:numPr>
        <w:rPr>
          <w:rFonts w:ascii="Arial" w:cs="Arial" w:eastAsia="Arial" w:hAnsi="Arial"/>
          <w:sz w:val="17"/>
          <w:szCs w:val="17"/>
          <w:color w:val="auto"/>
        </w:rPr>
      </w:pPr>
      <w:r>
        <w:rPr>
          <w:rFonts w:ascii="Arial" w:cs="Arial" w:eastAsia="Arial" w:hAnsi="Arial"/>
          <w:sz w:val="17"/>
          <w:szCs w:val="17"/>
          <w:color w:val="auto"/>
        </w:rPr>
        <w:t>No share of Series G Preferred Stock shall have any rights of preemption whatsoever under this Certificate of Designations as to any securities of the Corporation, or any warrants, rights or options issued or granted with respect thereto, regardless of how such securities, or such warrants, rights or options, may be designated issued or granted.</w:t>
      </w:r>
    </w:p>
    <w:p>
      <w:pPr>
        <w:spacing w:after="0" w:line="149" w:lineRule="exact"/>
        <w:rPr>
          <w:rFonts w:ascii="Arial" w:cs="Arial" w:eastAsia="Arial" w:hAnsi="Arial"/>
          <w:sz w:val="17"/>
          <w:szCs w:val="17"/>
          <w:color w:val="auto"/>
        </w:rPr>
      </w:pPr>
    </w:p>
    <w:p>
      <w:pPr>
        <w:ind w:left="-3" w:right="300" w:firstLine="916"/>
        <w:spacing w:after="0" w:line="309" w:lineRule="auto"/>
        <w:tabs>
          <w:tab w:leader="none" w:pos="114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The shares of Series G Preferred Stock shall not have any voting powers, preferences or relative, participating, optional or other special rights, or qualifications, limitations or restrictions thereof, other than as set forth herein or in the Articles of Incorporation or as provided by applicable law.</w:t>
      </w:r>
    </w:p>
    <w:p>
      <w:pPr>
        <w:spacing w:after="0" w:line="103" w:lineRule="exact"/>
        <w:rPr>
          <w:rFonts w:ascii="Arial" w:cs="Arial" w:eastAsia="Arial" w:hAnsi="Arial"/>
          <w:sz w:val="16"/>
          <w:szCs w:val="16"/>
          <w:color w:val="auto"/>
        </w:rPr>
      </w:pPr>
    </w:p>
    <w:p>
      <w:pPr>
        <w:ind w:left="-3" w:right="120" w:firstLine="916"/>
        <w:spacing w:after="0" w:line="277" w:lineRule="auto"/>
        <w:tabs>
          <w:tab w:leader="none" w:pos="1121" w:val="left"/>
        </w:tabs>
        <w:numPr>
          <w:ilvl w:val="1"/>
          <w:numId w:val="131"/>
        </w:numPr>
        <w:rPr>
          <w:rFonts w:ascii="Arial" w:cs="Arial" w:eastAsia="Arial" w:hAnsi="Arial"/>
          <w:sz w:val="17"/>
          <w:szCs w:val="17"/>
          <w:color w:val="auto"/>
        </w:rPr>
      </w:pPr>
      <w:r>
        <w:rPr>
          <w:rFonts w:ascii="Arial" w:cs="Arial" w:eastAsia="Arial" w:hAnsi="Arial"/>
          <w:sz w:val="17"/>
          <w:szCs w:val="17"/>
          <w:color w:val="auto"/>
        </w:rPr>
        <w:t>The Corporation covenants (1) not to treat the Series G Preferred Stock as preferred stock for purposes of Section 305 of the Internal Revenue Code of 1986, as amended, except as otherwise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589915</wp:posOffset>
            </wp:positionV>
            <wp:extent cx="7258050"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57"/>
          </w:cols>
          <w:pgMar w:left="243" w:top="1440" w:right="299" w:bottom="1440" w:gutter="0" w:footer="0" w:header="0"/>
        </w:sectPr>
      </w:pPr>
    </w:p>
    <w:bookmarkStart w:id="134" w:name="page135"/>
    <w:bookmarkEnd w:id="134"/>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ARTICLES OF AMENDMENT</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OF</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UNITED COMMUNITY BANKS, INC.</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name of the corporation is United Community Banks, Inc.</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176"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 xml:space="preserve">The Restated Articles of Incorporation, as amended, of the corporation are amended by adding the powers, rights, and preferences, and the qualifications, limitations, and restrictions thereof, of the Junior Participating Preferred Stock, Series E as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The amendment was adopted by the board of directors of the corporation at a meeting duly convened and held on January 17, 2011. Pursuant to O.C.G.A. § 14-2-602 and Article V of the Restated Articles of Incorporation, as amended, of the corporation, shareholder consent was not required.</w:t>
      </w:r>
    </w:p>
    <w:p>
      <w:pPr>
        <w:spacing w:after="0" w:line="122" w:lineRule="exact"/>
        <w:rPr>
          <w:sz w:val="20"/>
          <w:szCs w:val="20"/>
          <w:color w:val="auto"/>
        </w:rPr>
      </w:pPr>
    </w:p>
    <w:p>
      <w:pPr>
        <w:spacing w:after="0" w:line="282"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has executed these Articles of Amendment to the Restated Articles of Incorporation, as amended, of United Community</w:t>
      </w:r>
      <w:r>
        <w:rPr>
          <w:rFonts w:ascii="Arial" w:cs="Arial" w:eastAsia="Arial" w:hAnsi="Arial"/>
          <w:sz w:val="17"/>
          <w:szCs w:val="17"/>
          <w:b w:val="1"/>
          <w:bCs w:val="1"/>
          <w:color w:val="auto"/>
        </w:rPr>
        <w:t xml:space="preserve"> </w:t>
      </w:r>
      <w:r>
        <w:rPr>
          <w:rFonts w:ascii="Arial" w:cs="Arial" w:eastAsia="Arial" w:hAnsi="Arial"/>
          <w:sz w:val="17"/>
          <w:szCs w:val="17"/>
          <w:color w:val="auto"/>
        </w:rPr>
        <w:t>Banks, Inc. this 22nd day of February, 2011.</w:t>
      </w:r>
    </w:p>
    <w:p>
      <w:pPr>
        <w:spacing w:after="0" w:line="323"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UNITED COMMUNITY BANKS, INC.</w:t>
      </w:r>
    </w:p>
    <w:p>
      <w:pPr>
        <w:spacing w:after="0" w:line="219"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By: /s/ Lois J. 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13970</wp:posOffset>
            </wp:positionV>
            <wp:extent cx="27597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759710" cy="8255"/>
                    </a:xfrm>
                    <a:prstGeom prst="rect">
                      <a:avLst/>
                    </a:prstGeom>
                    <a:noFill/>
                  </pic:spPr>
                </pic:pic>
              </a:graphicData>
            </a:graphic>
          </wp:anchor>
        </w:drawing>
      </w:r>
    </w:p>
    <w:p>
      <w:pPr>
        <w:spacing w:after="0" w:line="2"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Name: Lois J. Rich</w:t>
      </w:r>
    </w:p>
    <w:p>
      <w:pPr>
        <w:spacing w:after="0" w:line="21" w:lineRule="exact"/>
        <w:rPr>
          <w:sz w:val="20"/>
          <w:szCs w:val="20"/>
          <w:color w:val="auto"/>
        </w:rPr>
      </w:pPr>
    </w:p>
    <w:p>
      <w:pPr>
        <w:ind w:left="5460"/>
        <w:spacing w:after="0"/>
        <w:tabs>
          <w:tab w:leader="none" w:pos="6000" w:val="left"/>
        </w:tabs>
        <w:rPr>
          <w:sz w:val="20"/>
          <w:szCs w:val="20"/>
          <w:color w:val="auto"/>
        </w:rPr>
      </w:pPr>
      <w:r>
        <w:rPr>
          <w:rFonts w:ascii="Arial" w:cs="Arial" w:eastAsia="Arial" w:hAnsi="Arial"/>
          <w:sz w:val="17"/>
          <w:szCs w:val="17"/>
          <w:color w:val="auto"/>
        </w:rPr>
        <w:t>Title:</w:t>
        <w:tab/>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615315</wp:posOffset>
            </wp:positionV>
            <wp:extent cx="7258050"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35" w:name="page136"/>
    <w:bookmarkEnd w:id="1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DESIGNATIONS, POWERS, PREFERENCES,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LIMITATIONS, RESTRICTIONS, AND RELATIVE RIGHTS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JUNIOR PARTICIPATING PREFERRED STOCK, SERIES 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COMMUNITY BANKS, INC.</w:t>
      </w:r>
    </w:p>
    <w:p>
      <w:pPr>
        <w:spacing w:after="0" w:line="18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b w:val="1"/>
          <w:bCs w:val="1"/>
          <w:color w:val="auto"/>
        </w:rPr>
        <w:t xml:space="preserve">Section 1. Designation And Amount. </w:t>
      </w:r>
      <w:r>
        <w:rPr>
          <w:rFonts w:ascii="Arial" w:cs="Arial" w:eastAsia="Arial" w:hAnsi="Arial"/>
          <w:sz w:val="16"/>
          <w:szCs w:val="16"/>
          <w:color w:val="auto"/>
        </w:rPr>
        <w:t>The shares of such series shall be designated as “Junior Participating Preferred Stock, Series E,” $1.00 par value per share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Series E Preferred Stock</w:t>
      </w:r>
      <w:r>
        <w:rPr>
          <w:rFonts w:ascii="Arial" w:cs="Arial" w:eastAsia="Arial" w:hAnsi="Arial"/>
          <w:sz w:val="16"/>
          <w:szCs w:val="16"/>
          <w:color w:val="auto"/>
        </w:rPr>
        <w:t>”), and the number of shares constituting the Series E Preferred Stock shall be 1,000,000. Such number of shares may be increased or decreased by resolution of the Board of Directors; provided, that no decrease shall reduce the number of shares of Series E Preferred stock to a number less than the number of shares then outstanding plus the number of shares reserved for issuance upon the exercise of outstanding options, rights, or warrants or upon the conversion of any outstanding securities issued by the Company convertible into Series E Preferred Stock.</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2. Dividends And Distributions.</w:t>
      </w:r>
    </w:p>
    <w:p>
      <w:pPr>
        <w:spacing w:after="0" w:line="180" w:lineRule="exact"/>
        <w:rPr>
          <w:sz w:val="20"/>
          <w:szCs w:val="20"/>
          <w:color w:val="auto"/>
        </w:rPr>
      </w:pPr>
    </w:p>
    <w:p>
      <w:pPr>
        <w:ind w:right="20" w:firstLine="3"/>
        <w:spacing w:after="0" w:line="254" w:lineRule="auto"/>
        <w:tabs>
          <w:tab w:leader="none" w:pos="232" w:val="left"/>
        </w:tabs>
        <w:numPr>
          <w:ilvl w:val="0"/>
          <w:numId w:val="132"/>
        </w:numPr>
        <w:rPr>
          <w:rFonts w:ascii="Arial" w:cs="Arial" w:eastAsia="Arial" w:hAnsi="Arial"/>
          <w:sz w:val="17"/>
          <w:szCs w:val="17"/>
          <w:color w:val="auto"/>
        </w:rPr>
      </w:pPr>
      <w:r>
        <w:rPr>
          <w:rFonts w:ascii="Arial" w:cs="Arial" w:eastAsia="Arial" w:hAnsi="Arial"/>
          <w:sz w:val="17"/>
          <w:szCs w:val="17"/>
          <w:color w:val="auto"/>
        </w:rPr>
        <w:t>Subject to the rights of the holders of any shares of any series of Preferred Stock (or any similar stock) ranking prior and superior to the Series E Preferred Stock with respect to dividends, the holders of shares of Series E Preferred Stock shall be entitled to receive, when, as, and if declared by the Board of Directors out of funds legally available for the purpose, dividends in an amount per share (rounded to the nearest cent) equal to 100 times the aggregate per share amount of all cash dividends, and 100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In the event the Company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E Preferred Stock were entitled immediately prior to such event under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60" w:lineRule="exact"/>
        <w:rPr>
          <w:rFonts w:ascii="Arial" w:cs="Arial" w:eastAsia="Arial" w:hAnsi="Arial"/>
          <w:sz w:val="17"/>
          <w:szCs w:val="17"/>
          <w:color w:val="auto"/>
        </w:rPr>
      </w:pPr>
    </w:p>
    <w:p>
      <w:pPr>
        <w:jc w:val="both"/>
        <w:ind w:right="80" w:firstLine="3"/>
        <w:spacing w:after="0" w:line="260" w:lineRule="auto"/>
        <w:tabs>
          <w:tab w:leader="none" w:pos="242" w:val="left"/>
        </w:tabs>
        <w:numPr>
          <w:ilvl w:val="0"/>
          <w:numId w:val="132"/>
        </w:numPr>
        <w:rPr>
          <w:rFonts w:ascii="Arial" w:cs="Arial" w:eastAsia="Arial" w:hAnsi="Arial"/>
          <w:sz w:val="17"/>
          <w:szCs w:val="17"/>
          <w:color w:val="auto"/>
        </w:rPr>
      </w:pPr>
      <w:r>
        <w:rPr>
          <w:rFonts w:ascii="Arial" w:cs="Arial" w:eastAsia="Arial" w:hAnsi="Arial"/>
          <w:sz w:val="17"/>
          <w:szCs w:val="17"/>
          <w:color w:val="auto"/>
        </w:rPr>
        <w:t>Dividends paid on the shares of Series E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E Preferred Stock entitled to receive payment of a dividend or distribution declared thereon, which record date shall be not more than 60 days prior to the date fixed for the payment thereof.</w:t>
      </w:r>
    </w:p>
    <w:p>
      <w:pPr>
        <w:spacing w:after="0" w:line="136" w:lineRule="exact"/>
        <w:rPr>
          <w:sz w:val="20"/>
          <w:szCs w:val="20"/>
          <w:color w:val="auto"/>
        </w:rPr>
      </w:pPr>
    </w:p>
    <w:p>
      <w:pPr>
        <w:ind w:right="400"/>
        <w:spacing w:after="0" w:line="282" w:lineRule="auto"/>
        <w:rPr>
          <w:sz w:val="20"/>
          <w:szCs w:val="20"/>
          <w:color w:val="auto"/>
        </w:rPr>
      </w:pPr>
      <w:r>
        <w:rPr>
          <w:rFonts w:ascii="Arial" w:cs="Arial" w:eastAsia="Arial" w:hAnsi="Arial"/>
          <w:sz w:val="17"/>
          <w:szCs w:val="17"/>
          <w:b w:val="1"/>
          <w:bCs w:val="1"/>
          <w:color w:val="auto"/>
        </w:rPr>
        <w:t xml:space="preserve">Section 3. Voting Rights. </w:t>
      </w:r>
      <w:r>
        <w:rPr>
          <w:rFonts w:ascii="Arial" w:cs="Arial" w:eastAsia="Arial" w:hAnsi="Arial"/>
          <w:sz w:val="17"/>
          <w:szCs w:val="17"/>
          <w:color w:val="auto"/>
        </w:rPr>
        <w:t>In addition to any other voting rights required by law, the holders of shares of Series E Preferred Stock shall have the following voting</w:t>
      </w:r>
      <w:r>
        <w:rPr>
          <w:rFonts w:ascii="Arial" w:cs="Arial" w:eastAsia="Arial" w:hAnsi="Arial"/>
          <w:sz w:val="17"/>
          <w:szCs w:val="17"/>
          <w:b w:val="1"/>
          <w:bCs w:val="1"/>
          <w:color w:val="auto"/>
        </w:rPr>
        <w:t xml:space="preserve"> </w:t>
      </w:r>
      <w:r>
        <w:rPr>
          <w:rFonts w:ascii="Arial" w:cs="Arial" w:eastAsia="Arial" w:hAnsi="Arial"/>
          <w:sz w:val="17"/>
          <w:szCs w:val="17"/>
          <w:color w:val="auto"/>
        </w:rPr>
        <w:t>rights:</w:t>
      </w:r>
    </w:p>
    <w:p>
      <w:pPr>
        <w:spacing w:after="0" w:line="122" w:lineRule="exact"/>
        <w:rPr>
          <w:sz w:val="20"/>
          <w:szCs w:val="20"/>
          <w:color w:val="auto"/>
        </w:rPr>
      </w:pPr>
    </w:p>
    <w:p>
      <w:pPr>
        <w:ind w:right="20" w:firstLine="3"/>
        <w:spacing w:after="0" w:line="274" w:lineRule="auto"/>
        <w:tabs>
          <w:tab w:leader="none" w:pos="23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Subject to the provision for adjustment hereinafter set forth, each share of Series E Preferred Stock shall entitle the holder thereof to 100 votes on all matters submitted to a vote of the shareholders of the Company. In the event the Company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E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6" w:name="page137"/>
    <w:bookmarkEnd w:id="136"/>
    <w:p>
      <w:pPr>
        <w:spacing w:after="0" w:line="200" w:lineRule="exact"/>
        <w:rPr>
          <w:sz w:val="20"/>
          <w:szCs w:val="20"/>
          <w:color w:val="auto"/>
        </w:rPr>
      </w:pPr>
    </w:p>
    <w:p>
      <w:pPr>
        <w:spacing w:after="0" w:line="334" w:lineRule="exact"/>
        <w:rPr>
          <w:sz w:val="20"/>
          <w:szCs w:val="20"/>
          <w:color w:val="auto"/>
        </w:rPr>
      </w:pPr>
    </w:p>
    <w:p>
      <w:pPr>
        <w:ind w:right="300" w:firstLine="3"/>
        <w:spacing w:after="0" w:line="264" w:lineRule="auto"/>
        <w:tabs>
          <w:tab w:leader="none" w:pos="242"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Except as otherwise provided herein, in any other Certificate of Designations creating a series of Preferred Stock or any similar Stock, or by law, the holders of shares of Series E Preferred Stock and the holders of shares of Common Stock and any other capital stock of the Company having general voting rights shall vote together as one class on all matters submitted to a vote of shareholders of the Company.</w:t>
      </w:r>
    </w:p>
    <w:p>
      <w:pPr>
        <w:spacing w:after="0" w:line="136" w:lineRule="exact"/>
        <w:rPr>
          <w:rFonts w:ascii="Arial" w:cs="Arial" w:eastAsia="Arial" w:hAnsi="Arial"/>
          <w:sz w:val="17"/>
          <w:szCs w:val="17"/>
          <w:color w:val="auto"/>
        </w:rPr>
      </w:pPr>
    </w:p>
    <w:p>
      <w:pPr>
        <w:ind w:right="280" w:firstLine="3"/>
        <w:spacing w:after="0" w:line="309" w:lineRule="auto"/>
        <w:tabs>
          <w:tab w:leader="none" w:pos="23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Except as set forth herein, or as otherwise provided by law, holders of Series E Preferred Stock shall have no special voting rights and their consent shall not be required (except to the extent they are entitled to vote with holders of Common Stock as set forth herein) for taking any corporate action.</w:t>
      </w:r>
    </w:p>
    <w:p>
      <w:pPr>
        <w:spacing w:after="0" w:line="112" w:lineRule="exact"/>
        <w:rPr>
          <w:sz w:val="20"/>
          <w:szCs w:val="20"/>
          <w:color w:val="auto"/>
        </w:rPr>
      </w:pPr>
    </w:p>
    <w:p>
      <w:pPr>
        <w:spacing w:after="0" w:line="283" w:lineRule="auto"/>
        <w:rPr>
          <w:sz w:val="20"/>
          <w:szCs w:val="20"/>
          <w:color w:val="auto"/>
        </w:rPr>
      </w:pPr>
      <w:r>
        <w:rPr>
          <w:rFonts w:ascii="Arial" w:cs="Arial" w:eastAsia="Arial" w:hAnsi="Arial"/>
          <w:sz w:val="16"/>
          <w:szCs w:val="16"/>
          <w:b w:val="1"/>
          <w:bCs w:val="1"/>
          <w:color w:val="auto"/>
        </w:rPr>
        <w:t xml:space="preserve">Section 4. Reacquired Shares. </w:t>
      </w:r>
      <w:r>
        <w:rPr>
          <w:rFonts w:ascii="Arial" w:cs="Arial" w:eastAsia="Arial" w:hAnsi="Arial"/>
          <w:sz w:val="16"/>
          <w:szCs w:val="16"/>
          <w:color w:val="auto"/>
        </w:rPr>
        <w:t>Any shares of Series E Preferred Stock purchased or otherwise acquired by the Company in any manner whatsoever shall be retired</w:t>
      </w:r>
      <w:r>
        <w:rPr>
          <w:rFonts w:ascii="Arial" w:cs="Arial" w:eastAsia="Arial" w:hAnsi="Arial"/>
          <w:sz w:val="16"/>
          <w:szCs w:val="16"/>
          <w:b w:val="1"/>
          <w:bCs w:val="1"/>
          <w:color w:val="auto"/>
        </w:rPr>
        <w:t xml:space="preserve"> </w:t>
      </w:r>
      <w:r>
        <w:rPr>
          <w:rFonts w:ascii="Arial" w:cs="Arial" w:eastAsia="Arial" w:hAnsi="Arial"/>
          <w:sz w:val="16"/>
          <w:szCs w:val="16"/>
          <w:color w:val="auto"/>
        </w:rPr>
        <w:t>and canceled promptly after the acquisition thereof. All such shares shall upon their cancellation become authorized but unissued shares of Preferred Stock and may be reissued as part of a new series of the Preferred Stock subject to the conditions and restrictions on issuance set forth herein, in the Articles, or in any other Certificate of Designation creating a series of Preferred Stock or any similar stock or as otherwise required by law.</w:t>
      </w:r>
    </w:p>
    <w:p>
      <w:pPr>
        <w:spacing w:after="0" w:line="119" w:lineRule="exact"/>
        <w:rPr>
          <w:sz w:val="20"/>
          <w:szCs w:val="20"/>
          <w:color w:val="auto"/>
        </w:rPr>
      </w:pPr>
    </w:p>
    <w:p>
      <w:pPr>
        <w:spacing w:after="0" w:line="271" w:lineRule="auto"/>
        <w:rPr>
          <w:sz w:val="20"/>
          <w:szCs w:val="20"/>
          <w:color w:val="auto"/>
        </w:rPr>
      </w:pPr>
      <w:r>
        <w:rPr>
          <w:rFonts w:ascii="Arial" w:cs="Arial" w:eastAsia="Arial" w:hAnsi="Arial"/>
          <w:sz w:val="16"/>
          <w:szCs w:val="16"/>
          <w:b w:val="1"/>
          <w:bCs w:val="1"/>
          <w:color w:val="auto"/>
        </w:rPr>
        <w:t xml:space="preserve">Section 5. Liquidation, Dissolution Or Winding Up. </w:t>
      </w:r>
      <w:r>
        <w:rPr>
          <w:rFonts w:ascii="Arial" w:cs="Arial" w:eastAsia="Arial" w:hAnsi="Arial"/>
          <w:sz w:val="16"/>
          <w:szCs w:val="16"/>
          <w:color w:val="auto"/>
        </w:rPr>
        <w:t>Upon any liquidation, dissolution or winding up of the Company, no distribution shall be made (a) to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of shares of stock ranking junior (either as to dividends or upon liquidation, dissolution or winding up) to the Series E Preferred Stock unless, prior thereto, the holders of shares of Series E Preferred Stock shall have received $100 per share, and any such additional amount such that the holders of shares of Series E Preferred Stock shall be entitled to receive an aggregate amount per share, subject to the provision for adjustment hereinafter set forth, equal to 100 times the aggregate amount to be distributed per share to holders of shares of Common Stock, or (b) to the holders of shares of stock ranking on a parity (either as to dividends or upon liquidation, dissolution or winding up) with the Series E Preferred Stock, except distributions made ratable on the Series E Preferred Stock and all such parity stock in proportion to the total amounts to which the holders of all such shares are entitled upon such liquidation, dissolution or winding up. In the event the Company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E Preferred Stock were entitled immediately prior to such event under the proviso in clause (a)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7" w:name="page138"/>
    <w:bookmarkEnd w:id="137"/>
    <w:p>
      <w:pPr>
        <w:spacing w:after="0" w:line="200" w:lineRule="exact"/>
        <w:rPr>
          <w:sz w:val="20"/>
          <w:szCs w:val="20"/>
          <w:color w:val="auto"/>
        </w:rPr>
      </w:pPr>
    </w:p>
    <w:p>
      <w:pPr>
        <w:spacing w:after="0" w:line="330" w:lineRule="exact"/>
        <w:rPr>
          <w:sz w:val="20"/>
          <w:szCs w:val="20"/>
          <w:color w:val="auto"/>
        </w:rPr>
      </w:pPr>
    </w:p>
    <w:p>
      <w:pPr>
        <w:spacing w:after="0" w:line="272" w:lineRule="auto"/>
        <w:rPr>
          <w:sz w:val="20"/>
          <w:szCs w:val="20"/>
          <w:color w:val="auto"/>
        </w:rPr>
      </w:pPr>
      <w:r>
        <w:rPr>
          <w:rFonts w:ascii="Arial" w:cs="Arial" w:eastAsia="Arial" w:hAnsi="Arial"/>
          <w:sz w:val="16"/>
          <w:szCs w:val="16"/>
          <w:b w:val="1"/>
          <w:bCs w:val="1"/>
          <w:color w:val="auto"/>
        </w:rPr>
        <w:t xml:space="preserve">Section 6. Consolidation, Merger, Etc. </w:t>
      </w:r>
      <w:r>
        <w:rPr>
          <w:rFonts w:ascii="Arial" w:cs="Arial" w:eastAsia="Arial" w:hAnsi="Arial"/>
          <w:sz w:val="16"/>
          <w:szCs w:val="16"/>
          <w:color w:val="auto"/>
        </w:rPr>
        <w:t>In case the Company shall enter into any consolidation, merger, combination, or other transaction in which the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are exchanged for or changed into other stock or securities, cash, and/or any other property, then in any such case each share of Series E Preferred Stock shall at the same time be similarly exchanged or changed into an amount per share, subject to the provision for adjustment hereinafter set forth, equal to 100 times the aggregate amount of stock, securities, cash, and/or any other property (payable in kind), as the case may be, into which or for which each share of Common Stock is changed or exchanged. In the event the Company shall at any time declare or pay any dividend on the Common Stock payable in shares of Common Stock, or effect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E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7. No Redemption. </w:t>
      </w:r>
      <w:r>
        <w:rPr>
          <w:rFonts w:ascii="Arial" w:cs="Arial" w:eastAsia="Arial" w:hAnsi="Arial"/>
          <w:sz w:val="17"/>
          <w:szCs w:val="17"/>
          <w:color w:val="auto"/>
        </w:rPr>
        <w:t>The shares of Series E Preferred Stock shall not be redeemable.</w:t>
      </w:r>
    </w:p>
    <w:p>
      <w:pPr>
        <w:spacing w:after="0" w:line="189"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b w:val="1"/>
          <w:bCs w:val="1"/>
          <w:color w:val="auto"/>
        </w:rPr>
        <w:t xml:space="preserve">Section 8. Rank. </w:t>
      </w:r>
      <w:r>
        <w:rPr>
          <w:rFonts w:ascii="Arial" w:cs="Arial" w:eastAsia="Arial" w:hAnsi="Arial"/>
          <w:sz w:val="17"/>
          <w:szCs w:val="17"/>
          <w:color w:val="auto"/>
        </w:rPr>
        <w:t>The Series E Preferred Stock shall rank, with respect to the payment of dividends and the distribution of assets, junior to all series of any other class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Company’s Preferred Stock and shall rank senior to the Common Stock as to such matters.</w:t>
      </w:r>
    </w:p>
    <w:p>
      <w:pPr>
        <w:spacing w:after="0" w:line="118"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b w:val="1"/>
          <w:bCs w:val="1"/>
          <w:color w:val="auto"/>
        </w:rPr>
        <w:t xml:space="preserve">Section 9. Amendment. </w:t>
      </w:r>
      <w:r>
        <w:rPr>
          <w:rFonts w:ascii="Arial" w:cs="Arial" w:eastAsia="Arial" w:hAnsi="Arial"/>
          <w:sz w:val="17"/>
          <w:szCs w:val="17"/>
          <w:color w:val="auto"/>
        </w:rPr>
        <w:t>The Articles shall not be amended in any manner which would materially alter or change the powers, preferences, or special rights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Series E Preferred Stock so as to affect them adversely without the affirmative vote of the holders of at least a majority of the outstanding shares of Series E Preferred Stock, voting together as a single class.</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38" w:name="page139"/>
    <w:bookmarkEnd w:id="138"/>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ARTICLES OF AMENDMENT</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OF</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UNITED COMMUNITY BANKS, INC.</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name of the corporation is United Community Banks, Inc.</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176"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 xml:space="preserve">The Restated Articles of Incorporation, as amended, of the corporation are amended by adding the powers, rights, and preferences, and the qualifications, limitations, and restrictions thereof, of the Cumulative Perpetual Preferred Stock, Series D as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The amendment was adopted by the board of directors of the corporation at a meeting duly convened and held on January 17, 2011. Pursuant to O.C.G.A. § 14-2-602 and Article V of the Restated Articles of Incorporation, as amended, of the corporation, shareholder consent was not required.</w:t>
      </w:r>
    </w:p>
    <w:p>
      <w:pPr>
        <w:spacing w:after="0" w:line="122" w:lineRule="exact"/>
        <w:rPr>
          <w:sz w:val="20"/>
          <w:szCs w:val="20"/>
          <w:color w:val="auto"/>
        </w:rPr>
      </w:pPr>
    </w:p>
    <w:p>
      <w:pPr>
        <w:spacing w:after="0" w:line="282"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has executed these Articles of Amendment to the Restated Articles of Incorporation, as amended, of United Community</w:t>
      </w:r>
      <w:r>
        <w:rPr>
          <w:rFonts w:ascii="Arial" w:cs="Arial" w:eastAsia="Arial" w:hAnsi="Arial"/>
          <w:sz w:val="17"/>
          <w:szCs w:val="17"/>
          <w:b w:val="1"/>
          <w:bCs w:val="1"/>
          <w:color w:val="auto"/>
        </w:rPr>
        <w:t xml:space="preserve"> </w:t>
      </w:r>
      <w:r>
        <w:rPr>
          <w:rFonts w:ascii="Arial" w:cs="Arial" w:eastAsia="Arial" w:hAnsi="Arial"/>
          <w:sz w:val="17"/>
          <w:szCs w:val="17"/>
          <w:color w:val="auto"/>
        </w:rPr>
        <w:t>Banks, Inc. this 22nd day of February, 2011.</w:t>
      </w:r>
    </w:p>
    <w:p>
      <w:pPr>
        <w:spacing w:after="0" w:line="323"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UNITED COMMUNITY BANKS, INC.</w:t>
      </w:r>
    </w:p>
    <w:p>
      <w:pPr>
        <w:spacing w:after="0" w:line="219"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By: /s/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13970</wp:posOffset>
            </wp:positionV>
            <wp:extent cx="27597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59710" cy="8255"/>
                    </a:xfrm>
                    <a:prstGeom prst="rect">
                      <a:avLst/>
                    </a:prstGeom>
                    <a:noFill/>
                  </pic:spPr>
                </pic:pic>
              </a:graphicData>
            </a:graphic>
          </wp:anchor>
        </w:drawing>
      </w:r>
    </w:p>
    <w:p>
      <w:pPr>
        <w:spacing w:after="0" w:line="2"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Name: Rex S. Schuette</w:t>
      </w:r>
    </w:p>
    <w:p>
      <w:pPr>
        <w:spacing w:after="0" w:line="21" w:lineRule="exact"/>
        <w:rPr>
          <w:sz w:val="20"/>
          <w:szCs w:val="20"/>
          <w:color w:val="auto"/>
        </w:rPr>
      </w:pPr>
    </w:p>
    <w:p>
      <w:pPr>
        <w:ind w:left="5460"/>
        <w:spacing w:after="0"/>
        <w:tabs>
          <w:tab w:leader="none" w:pos="6000" w:val="left"/>
        </w:tabs>
        <w:rPr>
          <w:sz w:val="20"/>
          <w:szCs w:val="20"/>
          <w:color w:val="auto"/>
        </w:rPr>
      </w:pPr>
      <w:r>
        <w:rPr>
          <w:rFonts w:ascii="Arial" w:cs="Arial" w:eastAsia="Arial" w:hAnsi="Arial"/>
          <w:sz w:val="17"/>
          <w:szCs w:val="17"/>
          <w:color w:val="auto"/>
        </w:rPr>
        <w:t>Title:</w:t>
        <w:tab/>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615315</wp:posOffset>
            </wp:positionV>
            <wp:extent cx="7258050"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39" w:name="page140"/>
    <w:bookmarkEnd w:id="1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DESIGNATIONS, POWERS, PREFERENCES,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LIMITATIONS, RESTRICTIONS, AND RELATIVE RIGHTS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CUMULATIVE PERPETUAL PREFERRED STOCK, SERIES 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COMMUNITY BANKS, INC.</w:t>
      </w:r>
    </w:p>
    <w:p>
      <w:pPr>
        <w:spacing w:after="0" w:line="193"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Pursuant to the authority vested in the board of directors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by the Restated Articles of Incorporation of United Community Banks, Inc. (the “</w:t>
      </w:r>
      <w:r>
        <w:rPr>
          <w:rFonts w:ascii="Arial" w:cs="Arial" w:eastAsia="Arial" w:hAnsi="Arial"/>
          <w:sz w:val="16"/>
          <w:szCs w:val="16"/>
          <w:u w:val="single" w:color="auto"/>
          <w:color w:val="auto"/>
        </w:rPr>
        <w:t>Corporation</w:t>
      </w:r>
      <w:r>
        <w:rPr>
          <w:rFonts w:ascii="Arial" w:cs="Arial" w:eastAsia="Arial" w:hAnsi="Arial"/>
          <w:sz w:val="16"/>
          <w:szCs w:val="16"/>
          <w:color w:val="auto"/>
        </w:rPr>
        <w:t>”), as amended (the “</w:t>
      </w:r>
      <w:r>
        <w:rPr>
          <w:rFonts w:ascii="Arial" w:cs="Arial" w:eastAsia="Arial" w:hAnsi="Arial"/>
          <w:sz w:val="16"/>
          <w:szCs w:val="16"/>
          <w:u w:val="single" w:color="auto"/>
          <w:color w:val="auto"/>
        </w:rPr>
        <w:t>Articles of Incorporation</w:t>
      </w:r>
      <w:r>
        <w:rPr>
          <w:rFonts w:ascii="Arial" w:cs="Arial" w:eastAsia="Arial" w:hAnsi="Arial"/>
          <w:sz w:val="16"/>
          <w:szCs w:val="16"/>
          <w:color w:val="auto"/>
        </w:rPr>
        <w:t>”), the Board of Directors does hereby designate, create, authorize and provide for the issue of a series of preferred stock, which shall be designated as Cumulative Perpetual Preferred Stock, Series D (the “</w:t>
      </w:r>
      <w:r>
        <w:rPr>
          <w:rFonts w:ascii="Arial" w:cs="Arial" w:eastAsia="Arial" w:hAnsi="Arial"/>
          <w:sz w:val="16"/>
          <w:szCs w:val="16"/>
          <w:u w:val="single" w:color="auto"/>
          <w:color w:val="auto"/>
        </w:rPr>
        <w:t>Series D Preferred Stock</w:t>
      </w:r>
      <w:r>
        <w:rPr>
          <w:rFonts w:ascii="Arial" w:cs="Arial" w:eastAsia="Arial" w:hAnsi="Arial"/>
          <w:sz w:val="16"/>
          <w:szCs w:val="16"/>
          <w:color w:val="auto"/>
        </w:rPr>
        <w:t>”), consisting of 25,000 shares having the following powers, preferences, participation and other special rights, qualifications, limitations, restrictions and other designations:</w:t>
      </w:r>
    </w:p>
    <w:p>
      <w:pPr>
        <w:spacing w:after="0" w:line="125"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 Matters</w:t>
      </w:r>
      <w:r>
        <w:rPr>
          <w:rFonts w:ascii="Arial" w:cs="Arial" w:eastAsia="Arial" w:hAnsi="Arial"/>
          <w:sz w:val="16"/>
          <w:szCs w:val="16"/>
          <w:color w:val="auto"/>
        </w:rPr>
        <w:t>. Each share of the Series D Preferred Stock shall be identical in all respects to every other share of the Series D Preferred Stock. The Series D Preferred Stock shall be perpetual, subject to the provisions of Section 5 of this Certificate of Designation. The Series D Preferred Stock shall rank at least equally with all Parity Stock outstanding as of the date hereof (except for any senior series that may be issued following the date hereof with the requisite consent of the holders of the Series D Preferred Stock and any other class or series whose vote is required) and shall rank senior to Junior Stock with respect to the payment of dividends and the distribution of assets in the event of liquidation, dissolution or winding up of the Corporation.</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189" w:lineRule="exact"/>
        <w:rPr>
          <w:sz w:val="20"/>
          <w:szCs w:val="20"/>
          <w:color w:val="auto"/>
        </w:rPr>
      </w:pPr>
    </w:p>
    <w:p>
      <w:pPr>
        <w:ind w:right="180" w:firstLine="3"/>
        <w:spacing w:after="0" w:line="278" w:lineRule="auto"/>
        <w:tabs>
          <w:tab w:leader="none" w:pos="23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Dividend Rate</w:t>
      </w:r>
      <w:r>
        <w:rPr>
          <w:rFonts w:ascii="Arial" w:cs="Arial" w:eastAsia="Arial" w:hAnsi="Arial"/>
          <w:sz w:val="16"/>
          <w:szCs w:val="16"/>
          <w:color w:val="auto"/>
        </w:rPr>
        <w:t xml:space="preserve">” means a rate per annum equal to (i) the sum of 10.00%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three-month United States Dollar London Interbank Offered Rate, (“</w:t>
      </w:r>
      <w:r>
        <w:rPr>
          <w:rFonts w:ascii="Arial" w:cs="Arial" w:eastAsia="Arial" w:hAnsi="Arial"/>
          <w:sz w:val="16"/>
          <w:szCs w:val="16"/>
          <w:u w:val="single" w:color="auto"/>
          <w:color w:val="auto"/>
        </w:rPr>
        <w:t>LIBOR</w:t>
      </w:r>
      <w:r>
        <w:rPr>
          <w:rFonts w:ascii="Arial" w:cs="Arial" w:eastAsia="Arial" w:hAnsi="Arial"/>
          <w:sz w:val="16"/>
          <w:szCs w:val="16"/>
          <w:color w:val="auto"/>
        </w:rPr>
        <w:t xml:space="preserve">”), as announced and published on February 22, 2011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most recently published LIBOR, as announced and published from time to time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and in effect on the last day of the month preceding the applicable Dividend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initial Applicable Dividend Rate shall be 10.00% and shall continue in effect until May 15, 2011. In the event that more than one LIBOR is published in </w:t>
      </w:r>
      <w:r>
        <w:rPr>
          <w:rFonts w:ascii="Arial" w:cs="Arial" w:eastAsia="Arial" w:hAnsi="Arial"/>
          <w:sz w:val="16"/>
          <w:szCs w:val="16"/>
          <w:i w:val="1"/>
          <w:iCs w:val="1"/>
          <w:color w:val="auto"/>
        </w:rPr>
        <w:t>The Wall Street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Journal </w:t>
      </w:r>
      <w:r>
        <w:rPr>
          <w:rFonts w:ascii="Arial" w:cs="Arial" w:eastAsia="Arial" w:hAnsi="Arial"/>
          <w:sz w:val="16"/>
          <w:szCs w:val="16"/>
          <w:color w:val="auto"/>
        </w:rPr>
        <w:t>as of the last day of the month preceding any Dividend Period, the highest LIBOR published will be used.</w:t>
      </w:r>
    </w:p>
    <w:p>
      <w:pPr>
        <w:spacing w:after="0" w:line="126" w:lineRule="exact"/>
        <w:rPr>
          <w:rFonts w:ascii="Arial" w:cs="Arial" w:eastAsia="Arial" w:hAnsi="Arial"/>
          <w:sz w:val="16"/>
          <w:szCs w:val="16"/>
          <w:color w:val="auto"/>
        </w:rPr>
      </w:pPr>
    </w:p>
    <w:p>
      <w:pPr>
        <w:ind w:left="240" w:hanging="237"/>
        <w:spacing w:after="0"/>
        <w:tabs>
          <w:tab w:leader="none" w:pos="2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Articles of Incorporation</w:t>
      </w:r>
      <w:r>
        <w:rPr>
          <w:rFonts w:ascii="Arial" w:cs="Arial" w:eastAsia="Arial" w:hAnsi="Arial"/>
          <w:sz w:val="17"/>
          <w:szCs w:val="17"/>
          <w:color w:val="auto"/>
        </w:rPr>
        <w:t>” has the meaning set forth in the preamble.</w:t>
      </w:r>
    </w:p>
    <w:p>
      <w:pPr>
        <w:spacing w:after="0" w:line="176" w:lineRule="exact"/>
        <w:rPr>
          <w:rFonts w:ascii="Arial" w:cs="Arial" w:eastAsia="Arial" w:hAnsi="Arial"/>
          <w:sz w:val="17"/>
          <w:szCs w:val="17"/>
          <w:color w:val="auto"/>
        </w:rPr>
      </w:pPr>
    </w:p>
    <w:p>
      <w:pPr>
        <w:ind w:right="140" w:firstLine="3"/>
        <w:spacing w:after="0" w:line="277" w:lineRule="auto"/>
        <w:tabs>
          <w:tab w:leader="none" w:pos="232" w:val="left"/>
        </w:tabs>
        <w:numPr>
          <w:ilvl w:val="0"/>
          <w:numId w:val="1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Saturday, Sunday and any day on which banking institutions in the State of New York generally are authorized or required by law or other governmental actions to close.</w:t>
      </w:r>
    </w:p>
    <w:p>
      <w:pPr>
        <w:spacing w:after="0" w:line="138" w:lineRule="exact"/>
        <w:rPr>
          <w:rFonts w:ascii="Arial" w:cs="Arial" w:eastAsia="Arial" w:hAnsi="Arial"/>
          <w:sz w:val="17"/>
          <w:szCs w:val="17"/>
          <w:color w:val="auto"/>
        </w:rPr>
      </w:pPr>
    </w:p>
    <w:p>
      <w:pPr>
        <w:ind w:left="240" w:hanging="237"/>
        <w:spacing w:after="0"/>
        <w:tabs>
          <w:tab w:leader="none" w:pos="2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Bylaws</w:t>
      </w:r>
      <w:r>
        <w:rPr>
          <w:rFonts w:ascii="Arial" w:cs="Arial" w:eastAsia="Arial" w:hAnsi="Arial"/>
          <w:sz w:val="17"/>
          <w:szCs w:val="17"/>
          <w:color w:val="auto"/>
        </w:rPr>
        <w:t>” means the Amended and Restated Bylaws of the Corporation, as they may be further amended from time to time.</w:t>
      </w:r>
    </w:p>
    <w:p>
      <w:pPr>
        <w:spacing w:after="0" w:line="176" w:lineRule="exact"/>
        <w:rPr>
          <w:rFonts w:ascii="Arial" w:cs="Arial" w:eastAsia="Arial" w:hAnsi="Arial"/>
          <w:sz w:val="17"/>
          <w:szCs w:val="17"/>
          <w:color w:val="auto"/>
        </w:rPr>
      </w:pPr>
    </w:p>
    <w:p>
      <w:pPr>
        <w:ind w:right="200" w:firstLine="3"/>
        <w:spacing w:after="0" w:line="277" w:lineRule="auto"/>
        <w:tabs>
          <w:tab w:leader="none" w:pos="232" w:val="left"/>
        </w:tabs>
        <w:numPr>
          <w:ilvl w:val="0"/>
          <w:numId w:val="1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Certificate of Designation</w:t>
      </w:r>
      <w:r>
        <w:rPr>
          <w:rFonts w:ascii="Arial" w:cs="Arial" w:eastAsia="Arial" w:hAnsi="Arial"/>
          <w:sz w:val="17"/>
          <w:szCs w:val="17"/>
          <w:color w:val="auto"/>
        </w:rPr>
        <w:t>” means this Certificate of Designation or comparable instrument relating to the Series D Preferred Stock, as it may be amended from time to time.</w:t>
      </w:r>
    </w:p>
    <w:p>
      <w:pPr>
        <w:spacing w:after="0" w:line="125" w:lineRule="exact"/>
        <w:rPr>
          <w:rFonts w:ascii="Arial" w:cs="Arial" w:eastAsia="Arial" w:hAnsi="Arial"/>
          <w:sz w:val="17"/>
          <w:szCs w:val="17"/>
          <w:color w:val="auto"/>
        </w:rPr>
      </w:pPr>
    </w:p>
    <w:p>
      <w:pPr>
        <w:ind w:left="220" w:hanging="217"/>
        <w:spacing w:after="0"/>
        <w:tabs>
          <w:tab w:leader="none" w:pos="2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w:t>
      </w:r>
      <w:r>
        <w:rPr>
          <w:rFonts w:ascii="Arial" w:cs="Arial" w:eastAsia="Arial" w:hAnsi="Arial"/>
          <w:sz w:val="17"/>
          <w:szCs w:val="17"/>
          <w:color w:val="auto"/>
        </w:rPr>
        <w:t>” means the date on which the closing of the issuances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622300</wp:posOffset>
            </wp:positionV>
            <wp:extent cx="725805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0" w:name="page141"/>
    <w:bookmarkEnd w:id="140"/>
    <w:p>
      <w:pPr>
        <w:spacing w:after="0" w:line="200" w:lineRule="exact"/>
        <w:rPr>
          <w:sz w:val="20"/>
          <w:szCs w:val="20"/>
          <w:color w:val="auto"/>
        </w:rPr>
      </w:pPr>
    </w:p>
    <w:p>
      <w:pPr>
        <w:spacing w:after="0" w:line="334" w:lineRule="exact"/>
        <w:rPr>
          <w:sz w:val="20"/>
          <w:szCs w:val="20"/>
          <w:color w:val="auto"/>
        </w:rPr>
      </w:pPr>
    </w:p>
    <w:p>
      <w:pPr>
        <w:ind w:left="240" w:hanging="237"/>
        <w:spacing w:after="0"/>
        <w:tabs>
          <w:tab w:leader="none" w:pos="2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means the common stock, $1.00 par value per share, of the Corporation.</w:t>
      </w:r>
    </w:p>
    <w:p>
      <w:pPr>
        <w:spacing w:after="0" w:line="176" w:lineRule="exact"/>
        <w:rPr>
          <w:rFonts w:ascii="Arial" w:cs="Arial" w:eastAsia="Arial" w:hAnsi="Arial"/>
          <w:sz w:val="17"/>
          <w:szCs w:val="17"/>
          <w:color w:val="auto"/>
        </w:rPr>
      </w:pPr>
    </w:p>
    <w:p>
      <w:pPr>
        <w:ind w:left="240" w:hanging="237"/>
        <w:spacing w:after="0"/>
        <w:tabs>
          <w:tab w:leader="none" w:pos="2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Corporation</w:t>
      </w:r>
      <w:r>
        <w:rPr>
          <w:rFonts w:ascii="Arial" w:cs="Arial" w:eastAsia="Arial" w:hAnsi="Arial"/>
          <w:sz w:val="17"/>
          <w:szCs w:val="17"/>
          <w:color w:val="auto"/>
        </w:rPr>
        <w:t>” has the meaning set forth in the preamble.</w:t>
      </w:r>
    </w:p>
    <w:p>
      <w:pPr>
        <w:spacing w:after="0" w:line="189" w:lineRule="exact"/>
        <w:rPr>
          <w:rFonts w:ascii="Arial" w:cs="Arial" w:eastAsia="Arial" w:hAnsi="Arial"/>
          <w:sz w:val="17"/>
          <w:szCs w:val="17"/>
          <w:color w:val="auto"/>
        </w:rPr>
      </w:pPr>
    </w:p>
    <w:p>
      <w:pPr>
        <w:ind w:left="200" w:hanging="197"/>
        <w:spacing w:after="0"/>
        <w:tabs>
          <w:tab w:leader="none" w:pos="2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Dividend Payment Date</w:t>
      </w:r>
      <w:r>
        <w:rPr>
          <w:rFonts w:ascii="Arial" w:cs="Arial" w:eastAsia="Arial" w:hAnsi="Arial"/>
          <w:sz w:val="17"/>
          <w:szCs w:val="17"/>
          <w:color w:val="auto"/>
        </w:rPr>
        <w:t>” means February 15, May 15, August 15 and November 15 of each year.</w:t>
      </w:r>
    </w:p>
    <w:p>
      <w:pPr>
        <w:spacing w:after="0" w:line="176" w:lineRule="exact"/>
        <w:rPr>
          <w:rFonts w:ascii="Arial" w:cs="Arial" w:eastAsia="Arial" w:hAnsi="Arial"/>
          <w:sz w:val="17"/>
          <w:szCs w:val="17"/>
          <w:color w:val="auto"/>
        </w:rPr>
      </w:pPr>
    </w:p>
    <w:p>
      <w:pPr>
        <w:ind w:left="200" w:hanging="197"/>
        <w:spacing w:after="0"/>
        <w:tabs>
          <w:tab w:leader="none" w:pos="2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Dividend Period</w:t>
      </w:r>
      <w:r>
        <w:rPr>
          <w:rFonts w:ascii="Arial" w:cs="Arial" w:eastAsia="Arial" w:hAnsi="Arial"/>
          <w:sz w:val="17"/>
          <w:szCs w:val="17"/>
          <w:color w:val="auto"/>
        </w:rPr>
        <w:t>” has the meaning set forth in Section 3(a).</w:t>
      </w:r>
    </w:p>
    <w:p>
      <w:pPr>
        <w:spacing w:after="0" w:line="176" w:lineRule="exact"/>
        <w:rPr>
          <w:rFonts w:ascii="Arial" w:cs="Arial" w:eastAsia="Arial" w:hAnsi="Arial"/>
          <w:sz w:val="17"/>
          <w:szCs w:val="17"/>
          <w:color w:val="auto"/>
        </w:rPr>
      </w:pPr>
    </w:p>
    <w:p>
      <w:pPr>
        <w:ind w:left="240" w:hanging="237"/>
        <w:spacing w:after="0"/>
        <w:tabs>
          <w:tab w:leader="none" w:pos="2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Dividend Record Date</w:t>
      </w:r>
      <w:r>
        <w:rPr>
          <w:rFonts w:ascii="Arial" w:cs="Arial" w:eastAsia="Arial" w:hAnsi="Arial"/>
          <w:sz w:val="17"/>
          <w:szCs w:val="17"/>
          <w:color w:val="auto"/>
        </w:rPr>
        <w:t>” has the meaning set forth in Section 3(a).</w:t>
      </w:r>
    </w:p>
    <w:p>
      <w:pPr>
        <w:spacing w:after="0" w:line="189" w:lineRule="exact"/>
        <w:rPr>
          <w:rFonts w:ascii="Arial" w:cs="Arial" w:eastAsia="Arial" w:hAnsi="Arial"/>
          <w:sz w:val="17"/>
          <w:szCs w:val="17"/>
          <w:color w:val="auto"/>
        </w:rPr>
      </w:pPr>
    </w:p>
    <w:p>
      <w:pPr>
        <w:ind w:right="420" w:firstLine="3"/>
        <w:spacing w:after="0" w:line="277" w:lineRule="auto"/>
        <w:tabs>
          <w:tab w:leader="none" w:pos="204" w:val="left"/>
        </w:tabs>
        <w:numPr>
          <w:ilvl w:val="0"/>
          <w:numId w:val="1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Stock</w:t>
      </w:r>
      <w:r>
        <w:rPr>
          <w:rFonts w:ascii="Arial" w:cs="Arial" w:eastAsia="Arial" w:hAnsi="Arial"/>
          <w:sz w:val="17"/>
          <w:szCs w:val="17"/>
          <w:color w:val="auto"/>
        </w:rPr>
        <w:t>” means Common Stock and any other class or series of stock of the Corporation the terms of which expressly provide that it ranks junior to the Series D Preferred Stock as to dividend rights and/or as to rights on liquidation, dissolution or winding up of the Corporation.</w:t>
      </w:r>
    </w:p>
    <w:p>
      <w:pPr>
        <w:spacing w:after="0" w:line="125" w:lineRule="exact"/>
        <w:rPr>
          <w:rFonts w:ascii="Arial" w:cs="Arial" w:eastAsia="Arial" w:hAnsi="Arial"/>
          <w:sz w:val="17"/>
          <w:szCs w:val="17"/>
          <w:color w:val="auto"/>
        </w:rPr>
      </w:pPr>
    </w:p>
    <w:p>
      <w:pPr>
        <w:ind w:left="300" w:hanging="297"/>
        <w:spacing w:after="0"/>
        <w:tabs>
          <w:tab w:leader="none" w:pos="3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Liquidation Amount</w:t>
      </w:r>
      <w:r>
        <w:rPr>
          <w:rFonts w:ascii="Arial" w:cs="Arial" w:eastAsia="Arial" w:hAnsi="Arial"/>
          <w:sz w:val="17"/>
          <w:szCs w:val="17"/>
          <w:color w:val="auto"/>
        </w:rPr>
        <w:t>” means $1,000.00 per share of the Series D Preferred Stock.</w:t>
      </w:r>
    </w:p>
    <w:p>
      <w:pPr>
        <w:spacing w:after="0" w:line="176" w:lineRule="exact"/>
        <w:rPr>
          <w:rFonts w:ascii="Arial" w:cs="Arial" w:eastAsia="Arial" w:hAnsi="Arial"/>
          <w:sz w:val="17"/>
          <w:szCs w:val="17"/>
          <w:color w:val="auto"/>
        </w:rPr>
      </w:pPr>
    </w:p>
    <w:p>
      <w:pPr>
        <w:ind w:left="240" w:hanging="237"/>
        <w:spacing w:after="0"/>
        <w:tabs>
          <w:tab w:leader="none" w:pos="2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Liquidation Preference</w:t>
      </w:r>
      <w:r>
        <w:rPr>
          <w:rFonts w:ascii="Arial" w:cs="Arial" w:eastAsia="Arial" w:hAnsi="Arial"/>
          <w:sz w:val="17"/>
          <w:szCs w:val="17"/>
          <w:color w:val="auto"/>
        </w:rPr>
        <w:t>” has the meaning set forth in Section 4(a).</w:t>
      </w:r>
    </w:p>
    <w:p>
      <w:pPr>
        <w:spacing w:after="0" w:line="189" w:lineRule="exact"/>
        <w:rPr>
          <w:rFonts w:ascii="Arial" w:cs="Arial" w:eastAsia="Arial" w:hAnsi="Arial"/>
          <w:sz w:val="17"/>
          <w:szCs w:val="17"/>
          <w:color w:val="auto"/>
        </w:rPr>
      </w:pPr>
    </w:p>
    <w:p>
      <w:pPr>
        <w:ind w:firstLine="3"/>
        <w:spacing w:after="0" w:line="264" w:lineRule="auto"/>
        <w:tabs>
          <w:tab w:leader="none" w:pos="242" w:val="left"/>
        </w:tabs>
        <w:numPr>
          <w:ilvl w:val="0"/>
          <w:numId w:val="1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Parity Stock</w:t>
      </w:r>
      <w:r>
        <w:rPr>
          <w:rFonts w:ascii="Arial" w:cs="Arial" w:eastAsia="Arial" w:hAnsi="Arial"/>
          <w:sz w:val="17"/>
          <w:szCs w:val="17"/>
          <w:color w:val="auto"/>
        </w:rPr>
        <w:t>” means any class of capital stock or series of stock of the Corporation (other than the Series D Preferred Stock) the terms of which expressly provide that such class or series will rank on senior or junior to the Series D Preferred Stock as to dividend rights and/or as to rights upon the liquidation, dissolution or winding up of the Corporation (in each case without regard to whether dividends accrue cumulatively or non-cumulatively).</w:t>
      </w:r>
    </w:p>
    <w:p>
      <w:pPr>
        <w:spacing w:after="0" w:line="136" w:lineRule="exact"/>
        <w:rPr>
          <w:rFonts w:ascii="Arial" w:cs="Arial" w:eastAsia="Arial" w:hAnsi="Arial"/>
          <w:sz w:val="17"/>
          <w:szCs w:val="17"/>
          <w:color w:val="auto"/>
        </w:rPr>
      </w:pPr>
    </w:p>
    <w:p>
      <w:pPr>
        <w:ind w:left="240" w:hanging="237"/>
        <w:spacing w:after="0"/>
        <w:tabs>
          <w:tab w:leader="none" w:pos="2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Preferred Stock</w:t>
      </w:r>
      <w:r>
        <w:rPr>
          <w:rFonts w:ascii="Arial" w:cs="Arial" w:eastAsia="Arial" w:hAnsi="Arial"/>
          <w:sz w:val="17"/>
          <w:szCs w:val="17"/>
          <w:color w:val="auto"/>
        </w:rPr>
        <w:t>” means any and all series of preferred stock of the Corporation, including the Series D Preferred Stock.</w:t>
      </w:r>
    </w:p>
    <w:p>
      <w:pPr>
        <w:spacing w:after="0" w:line="176" w:lineRule="exact"/>
        <w:rPr>
          <w:rFonts w:ascii="Arial" w:cs="Arial" w:eastAsia="Arial" w:hAnsi="Arial"/>
          <w:sz w:val="17"/>
          <w:szCs w:val="17"/>
          <w:color w:val="auto"/>
        </w:rPr>
      </w:pPr>
    </w:p>
    <w:p>
      <w:pPr>
        <w:ind w:left="240" w:hanging="237"/>
        <w:spacing w:after="0"/>
        <w:tabs>
          <w:tab w:leader="none" w:pos="2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 Dilution Amount</w:t>
      </w:r>
      <w:r>
        <w:rPr>
          <w:rFonts w:ascii="Arial" w:cs="Arial" w:eastAsia="Arial" w:hAnsi="Arial"/>
          <w:sz w:val="17"/>
          <w:szCs w:val="17"/>
          <w:color w:val="auto"/>
        </w:rPr>
        <w:t>” has the meaning set forth in Section 3(b).</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Dividends</w:t>
      </w:r>
      <w:r>
        <w:rPr>
          <w:rFonts w:ascii="Arial" w:cs="Arial" w:eastAsia="Arial" w:hAnsi="Arial"/>
          <w:sz w:val="17"/>
          <w:szCs w:val="17"/>
          <w:color w:val="auto"/>
        </w:rPr>
        <w:t>.</w:t>
      </w:r>
    </w:p>
    <w:p>
      <w:pPr>
        <w:spacing w:after="0" w:line="176" w:lineRule="exact"/>
        <w:rPr>
          <w:sz w:val="20"/>
          <w:szCs w:val="20"/>
          <w:color w:val="auto"/>
        </w:rPr>
      </w:pPr>
    </w:p>
    <w:p>
      <w:pPr>
        <w:ind w:right="20" w:firstLine="3"/>
        <w:spacing w:after="0" w:line="292" w:lineRule="auto"/>
        <w:tabs>
          <w:tab w:leader="none" w:pos="232" w:val="left"/>
        </w:tabs>
        <w:numPr>
          <w:ilvl w:val="0"/>
          <w:numId w:val="137"/>
        </w:numPr>
        <w:rPr>
          <w:rFonts w:ascii="Arial" w:cs="Arial" w:eastAsia="Arial" w:hAnsi="Arial"/>
          <w:sz w:val="15"/>
          <w:szCs w:val="15"/>
          <w:color w:val="auto"/>
        </w:rPr>
      </w:pPr>
      <w:r>
        <w:rPr>
          <w:rFonts w:ascii="Arial" w:cs="Arial" w:eastAsia="Arial" w:hAnsi="Arial"/>
          <w:sz w:val="15"/>
          <w:szCs w:val="15"/>
          <w:u w:val="single" w:color="auto"/>
          <w:color w:val="auto"/>
        </w:rPr>
        <w:t>Rate</w:t>
      </w:r>
      <w:r>
        <w:rPr>
          <w:rFonts w:ascii="Arial" w:cs="Arial" w:eastAsia="Arial" w:hAnsi="Arial"/>
          <w:sz w:val="15"/>
          <w:szCs w:val="15"/>
          <w:color w:val="auto"/>
        </w:rPr>
        <w:t>. Holders of the Series D Preferred Stock shall be entitled to receive, on each share of the Series D Preferred Stock if, as and when declared by the Board of Directors or any duly authorized committee of the Board of Directors, but only out of assets legally available therefor, cumulative cash dividends with respect to each Dividend Period (as defined below) at the Applicable Dividend Rate on (i) the Liquidation Amount per share of the Series D Preferred Stock and (ii) the amount of accrued and unpaid dividends for any prior Dividend Period on such share of the Series D Preferred Stock, if any. Dividends shall begin to accrue and be cumulative from the Closing Date and shall compound on each subsequent Dividend Payment Date (</w:t>
      </w:r>
      <w:r>
        <w:rPr>
          <w:rFonts w:ascii="Arial" w:cs="Arial" w:eastAsia="Arial" w:hAnsi="Arial"/>
          <w:sz w:val="15"/>
          <w:szCs w:val="15"/>
          <w:i w:val="1"/>
          <w:iCs w:val="1"/>
          <w:color w:val="auto"/>
        </w:rPr>
        <w:t>i.e.</w:t>
      </w:r>
      <w:r>
        <w:rPr>
          <w:rFonts w:ascii="Arial" w:cs="Arial" w:eastAsia="Arial" w:hAnsi="Arial"/>
          <w:sz w:val="15"/>
          <w:szCs w:val="15"/>
          <w:color w:val="auto"/>
        </w:rPr>
        <w:t>, no dividends shall accrue on other dividends unless and until the first Dividend Payment Date for such other dividends has passed without such other dividends having been paid on such date), in each case whether or not declared, and shall be payable quarterly in arrears on each Dividend Payment Date, commencing May 15, 2011. In the event that any Dividend Payment Date would otherwise fall on a day that is not a Business Day, the dividend payment due on that date will be postponed to the next day that is a Business Day and no additional dividends will accrue as a result of that postponement. The period from and including any Dividend Payment Date to, but excluding, the next Dividend Payment Date is a “</w:t>
      </w:r>
      <w:r>
        <w:rPr>
          <w:rFonts w:ascii="Arial" w:cs="Arial" w:eastAsia="Arial" w:hAnsi="Arial"/>
          <w:sz w:val="15"/>
          <w:szCs w:val="15"/>
          <w:u w:val="single" w:color="auto"/>
          <w:color w:val="auto"/>
        </w:rPr>
        <w:t>Dividend</w:t>
      </w:r>
      <w:r>
        <w:rPr>
          <w:rFonts w:ascii="Arial" w:cs="Arial" w:eastAsia="Arial" w:hAnsi="Arial"/>
          <w:sz w:val="15"/>
          <w:szCs w:val="15"/>
          <w:color w:val="auto"/>
        </w:rPr>
        <w:t xml:space="preserve"> </w:t>
      </w:r>
      <w:r>
        <w:rPr>
          <w:rFonts w:ascii="Arial" w:cs="Arial" w:eastAsia="Arial" w:hAnsi="Arial"/>
          <w:sz w:val="15"/>
          <w:szCs w:val="15"/>
          <w:u w:val="single" w:color="auto"/>
          <w:color w:val="auto"/>
        </w:rPr>
        <w:t>Period</w:t>
      </w:r>
      <w:r>
        <w:rPr>
          <w:rFonts w:ascii="Arial" w:cs="Arial" w:eastAsia="Arial" w:hAnsi="Arial"/>
          <w:sz w:val="15"/>
          <w:szCs w:val="15"/>
          <w:color w:val="auto"/>
        </w:rPr>
        <w:t>,” provided that the initial Dividend Period shall be the period from and including the Closing Date to, but excluding, May 15,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586105</wp:posOffset>
            </wp:positionV>
            <wp:extent cx="725805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41" w:name="page142"/>
    <w:bookmarkEnd w:id="141"/>
    <w:p>
      <w:pPr>
        <w:spacing w:after="0" w:line="200" w:lineRule="exact"/>
        <w:rPr>
          <w:sz w:val="20"/>
          <w:szCs w:val="20"/>
          <w:color w:val="auto"/>
        </w:rPr>
      </w:pPr>
    </w:p>
    <w:p>
      <w:pPr>
        <w:spacing w:after="0" w:line="333"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Dividends that are payable on the Series D Preferred Stock in respect of any Dividend Period shall be computed on the basis of a 360-day year consisting of twelve 30-day months. The amount of dividends payable on the Series D Preferred Stock on any date prior to the end of a Dividend Period, and for the initial Dividend Period, shall be computed on the basis of a 360-day year consisting of twelve 30-day months, and actual days elapsed over a 30-day month.</w:t>
      </w:r>
    </w:p>
    <w:p>
      <w:pPr>
        <w:spacing w:after="0" w:line="120" w:lineRule="exact"/>
        <w:rPr>
          <w:sz w:val="20"/>
          <w:szCs w:val="20"/>
          <w:color w:val="auto"/>
        </w:rPr>
      </w:pPr>
    </w:p>
    <w:p>
      <w:pPr>
        <w:ind w:right="20"/>
        <w:spacing w:after="0" w:line="315" w:lineRule="auto"/>
        <w:rPr>
          <w:sz w:val="20"/>
          <w:szCs w:val="20"/>
          <w:color w:val="auto"/>
        </w:rPr>
      </w:pPr>
      <w:r>
        <w:rPr>
          <w:rFonts w:ascii="Arial" w:cs="Arial" w:eastAsia="Arial" w:hAnsi="Arial"/>
          <w:sz w:val="15"/>
          <w:szCs w:val="15"/>
          <w:color w:val="auto"/>
        </w:rPr>
        <w:t>Dividends that are payable on the Series D Preferred Stock on any Dividend Payment Date will be payable to holders of record of the Series D Preferred Stock as they appear on the stock register of the Corporation on the applicable record date, which shall be the 15th calendar day immediately preceding such Dividend Payment Date (each, a “</w:t>
      </w:r>
      <w:r>
        <w:rPr>
          <w:rFonts w:ascii="Arial" w:cs="Arial" w:eastAsia="Arial" w:hAnsi="Arial"/>
          <w:sz w:val="15"/>
          <w:szCs w:val="15"/>
          <w:u w:val="single" w:color="auto"/>
          <w:color w:val="auto"/>
        </w:rPr>
        <w:t>Dividend Record Date</w:t>
      </w:r>
      <w:r>
        <w:rPr>
          <w:rFonts w:ascii="Arial" w:cs="Arial" w:eastAsia="Arial" w:hAnsi="Arial"/>
          <w:sz w:val="15"/>
          <w:szCs w:val="15"/>
          <w:color w:val="auto"/>
        </w:rPr>
        <w:t>”). Any such day that is a Dividend Record Date shall be a Dividend Record Date whether or not such day is a Business Day.</w:t>
      </w:r>
    </w:p>
    <w:p>
      <w:pPr>
        <w:spacing w:after="0" w:line="116" w:lineRule="exact"/>
        <w:rPr>
          <w:sz w:val="20"/>
          <w:szCs w:val="20"/>
          <w:color w:val="auto"/>
        </w:rPr>
      </w:pPr>
    </w:p>
    <w:p>
      <w:pPr>
        <w:ind w:right="440"/>
        <w:spacing w:after="0" w:line="309" w:lineRule="auto"/>
        <w:rPr>
          <w:sz w:val="20"/>
          <w:szCs w:val="20"/>
          <w:color w:val="auto"/>
        </w:rPr>
      </w:pPr>
      <w:r>
        <w:rPr>
          <w:rFonts w:ascii="Arial" w:cs="Arial" w:eastAsia="Arial" w:hAnsi="Arial"/>
          <w:sz w:val="16"/>
          <w:szCs w:val="16"/>
          <w:color w:val="auto"/>
        </w:rPr>
        <w:t>Holders of the Series D Preferred Stock shall not be entitled to any dividends, whether payable in cash, securities or other property, other than dividends (if any) declared and payable on the Series D Preferred Stock as specified in this Section 3 (subject to the other provisions of this Certificate of Designation).</w:t>
      </w:r>
    </w:p>
    <w:p>
      <w:pPr>
        <w:spacing w:after="0" w:line="103" w:lineRule="exact"/>
        <w:rPr>
          <w:sz w:val="20"/>
          <w:szCs w:val="20"/>
          <w:color w:val="auto"/>
        </w:rPr>
      </w:pPr>
    </w:p>
    <w:p>
      <w:pPr>
        <w:ind w:firstLine="3"/>
        <w:spacing w:after="0" w:line="269" w:lineRule="auto"/>
        <w:tabs>
          <w:tab w:leader="none" w:pos="242"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Priority of Dividends</w:t>
      </w:r>
      <w:r>
        <w:rPr>
          <w:rFonts w:ascii="Arial" w:cs="Arial" w:eastAsia="Arial" w:hAnsi="Arial"/>
          <w:sz w:val="16"/>
          <w:szCs w:val="16"/>
          <w:color w:val="auto"/>
        </w:rPr>
        <w:t xml:space="preserve">. So long as any share of the Series D Preferred Stock remains outstanding, no dividend or distribution shall be declared or paid on Common Stock or any other shares of Junior Stock (other than dividends payable solely in shares of Common Stock) or Parity Stock, subject to the immediately following paragraph in the case of Parity Stock, and no Common Stock, Junior Stock or Parity Stock shall be, directly or indirectly, purchased, redeemed or otherwise acquired for consideration by the Corporation or any of its subsidiaries unless all accrued and unpaid dividends for all past Dividend Periods, including the latest completed Dividend Period (including, if applicable as provided in Section 3(a) above, dividends on such amount), on all outstanding shares of the Series D Preferred Stock have been or are contemporaneously declared and paid in full (or have been declared and a sum sufficient for the payment thereof has been set aside for the benefit of the holders of shares of the Series D Preferred Stock on the applicable record date). The foregoing limitation shall not apply to (i) redemptions, purchases or other acquisitions of shares of Common Stock or other Junior Stock in connection with the administration of any employee benefit plan in the ordinary course of business (including purchases to offset the Share Dilution Amount (as defined below) pursuant to a publicly announced repurchase plan) and consistent with past practice,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any purchases to offset the Share Dilution Amount shall in no event exceed the Share Dilution Amount; (ii) purchases or other acquisitions by a broker-dealer subsidiary of the Corporation solely for the purpose of market-making, stabilization or customer facilitation transactions in Junior Stock or Parity Stock in the ordinary course of its business; (iii) purchases by a broker-dealer subsidiary of the Corporation of capital stock of the Corporation for resale pursuant to an offering by the Corporation of such capital stock underwritten by such broker-dealer subsidiary; (iv) any dividends or distributions of rights or Junior Stock in connection with a stockholders’ rights plan or any redemption or repurchase of rights pursuant to any stockholders’ rights plan; (v) the acquisition by the Corporation or any of its subsidiaries of record ownership in Junior Stock or Parity Stock for the beneficial ownership of any other persons (other than the Corporation or any of its subsidiaries), including as trustees or custodians; and (vi) the exchange or conversion of Junior Stock for or into other Junior Stock or of Parity Stock for or into other Parity Stock (with the same or lesser aggregate liquidation amount) or Junior Stock, in each case, solely to the extent required pursuant to binding contractual agreements entered into prior to the Closing Date or any subsequent agreement for the accelerated exercise, settlement or exchange thereof for Common Stock. “</w:t>
      </w:r>
      <w:r>
        <w:rPr>
          <w:rFonts w:ascii="Arial" w:cs="Arial" w:eastAsia="Arial" w:hAnsi="Arial"/>
          <w:sz w:val="16"/>
          <w:szCs w:val="16"/>
          <w:u w:val="single" w:color="auto"/>
          <w:color w:val="auto"/>
        </w:rPr>
        <w:t>Share</w:t>
      </w:r>
      <w:r>
        <w:rPr>
          <w:rFonts w:ascii="Arial" w:cs="Arial" w:eastAsia="Arial" w:hAnsi="Arial"/>
          <w:sz w:val="16"/>
          <w:szCs w:val="16"/>
          <w:color w:val="auto"/>
        </w:rPr>
        <w:t xml:space="preserve"> </w:t>
      </w:r>
      <w:r>
        <w:rPr>
          <w:rFonts w:ascii="Arial" w:cs="Arial" w:eastAsia="Arial" w:hAnsi="Arial"/>
          <w:sz w:val="16"/>
          <w:szCs w:val="16"/>
          <w:u w:val="single" w:color="auto"/>
          <w:color w:val="auto"/>
        </w:rPr>
        <w:t>Dilution Amount</w:t>
      </w:r>
      <w:r>
        <w:rPr>
          <w:rFonts w:ascii="Arial" w:cs="Arial" w:eastAsia="Arial" w:hAnsi="Arial"/>
          <w:sz w:val="16"/>
          <w:szCs w:val="16"/>
          <w:color w:val="auto"/>
        </w:rPr>
        <w:t>” means the increase in the number of diluted shares outstanding (determined in accordance with generally accepted accounting principles in the United States, and as measured from the date of the Corporation’s consolidated financial statements most recently filed with the Securities and Exchange Commission prior to the Closing Date) resulting from the grant, vesting or exercise of equity-based compensation to employees and equitably adjusted for any stock split, stock dividend, reverse stock split, reclassification or similar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600710</wp:posOffset>
            </wp:positionV>
            <wp:extent cx="7258050"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42" w:name="page143"/>
    <w:bookmarkEnd w:id="142"/>
    <w:p>
      <w:pPr>
        <w:spacing w:after="0" w:line="200" w:lineRule="exact"/>
        <w:rPr>
          <w:sz w:val="20"/>
          <w:szCs w:val="20"/>
          <w:color w:val="auto"/>
        </w:rPr>
      </w:pPr>
    </w:p>
    <w:p>
      <w:pPr>
        <w:spacing w:after="0" w:line="33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 xml:space="preserve">When dividends are not paid (or declared and a sum sufficient for payment thereof set aside for the benefit of the holders thereof on the applicable record date) on any Dividend Payment Date (or, in the case of Parity Stock having dividend payment dates different from the Dividend Payment Dates, on a dividend payment date falling within a Dividend Period related to such Dividend Payment Date) in full upon the Series D Preferred Stock and any shares of Parity Stock, all dividends declared on the Series D Preferred Stock and/or all such Parity Stock and payable on such Dividend Payment Date (or, in the case of Parity Stock having dividend payment dates different from the Dividend Payment Dates, on a dividend payment date falling within the Dividend Period related to such Dividend Payment Date) shall be declared </w:t>
      </w:r>
      <w:r>
        <w:rPr>
          <w:rFonts w:ascii="Arial" w:cs="Arial" w:eastAsia="Arial" w:hAnsi="Arial"/>
          <w:sz w:val="16"/>
          <w:szCs w:val="16"/>
          <w:i w:val="1"/>
          <w:iCs w:val="1"/>
          <w:color w:val="auto"/>
        </w:rPr>
        <w:t xml:space="preserve">pro rata </w:t>
      </w:r>
      <w:r>
        <w:rPr>
          <w:rFonts w:ascii="Arial" w:cs="Arial" w:eastAsia="Arial" w:hAnsi="Arial"/>
          <w:sz w:val="16"/>
          <w:szCs w:val="16"/>
          <w:color w:val="auto"/>
        </w:rPr>
        <w:t>so that the respective amounts of such dividends declared shall bear the same ratio to each other as all accrued and unpaid dividends per share on the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Series D Preferred Stock (including, if applicable as provided in Section 3(a) above, dividends on such amount) and all Parity Stock payable on such Dividend Payment Date (or, in the case of Parity Stock having dividend payment dates different from the Dividend Payment Dates, on a dividend payment date falling within the Dividend Period related to such Dividend Payment Date) (subject to their having been declared by the Board of Directors or a duly authorized committee of the Board of Directors out of legally available funds and including, in the case of Parity Stock that bears cumulative dividends, all accrued but unpaid dividends) bear to each other.</w:t>
      </w:r>
    </w:p>
    <w:p>
      <w:pPr>
        <w:spacing w:after="0" w:line="138"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Subject to the foregoing, and not otherwise, such dividends (payable in cash, securities or other property) as may be determined by the Board of Directors or any duly authorized committee of the Board of Directors may be declared and paid on any securities, including Common Stock and other Junior Stock, from time to time out of any funds legally available for such payment, and holders of the Series D Preferred Stock shall not be entitled to participate in any such dividends.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Liquidation Rights</w:t>
      </w:r>
      <w:r>
        <w:rPr>
          <w:rFonts w:ascii="Arial" w:cs="Arial" w:eastAsia="Arial" w:hAnsi="Arial"/>
          <w:sz w:val="17"/>
          <w:szCs w:val="17"/>
          <w:color w:val="auto"/>
        </w:rPr>
        <w:t>.</w:t>
      </w:r>
    </w:p>
    <w:p>
      <w:pPr>
        <w:spacing w:after="0" w:line="176" w:lineRule="exact"/>
        <w:rPr>
          <w:sz w:val="20"/>
          <w:szCs w:val="20"/>
          <w:color w:val="auto"/>
        </w:rPr>
      </w:pPr>
    </w:p>
    <w:p>
      <w:pPr>
        <w:ind w:right="60" w:firstLine="3"/>
        <w:spacing w:after="0" w:line="256" w:lineRule="auto"/>
        <w:tabs>
          <w:tab w:leader="none" w:pos="232"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Voluntary or Involuntary Liquidation</w:t>
      </w:r>
      <w:r>
        <w:rPr>
          <w:rFonts w:ascii="Arial" w:cs="Arial" w:eastAsia="Arial" w:hAnsi="Arial"/>
          <w:sz w:val="17"/>
          <w:szCs w:val="17"/>
          <w:color w:val="auto"/>
        </w:rPr>
        <w:t>. In the event of any liquidation, dissolution or winding up of the affairs of the Corporation, whether voluntary or involuntary, holders of the Series D Preferred Stock shall be entitled to receive for each share of the Series D Preferred Stock, out of the assets of the Corporation or proceeds thereof (whether capital or surplus) available for distribution to stockholders of the Corporation, subject to the rights of any creditors of the Corporation, before any distribution of such assets or proceeds is made to or set aside for the holders of Common Stock and any other stock of the Corporation ranking junior to the Series D Preferred Stock as to such distribution, payment in full in an amount equal to the sum of (i) the Liquidation Amount per share and (ii) the amount of any accrued and unpaid dividends (including, if applicable as provided in Section 3(a) above, dividends on such amount), whether or not declared, to the date of payment (such amounts collectively, the “</w:t>
      </w:r>
      <w:r>
        <w:rPr>
          <w:rFonts w:ascii="Arial" w:cs="Arial" w:eastAsia="Arial" w:hAnsi="Arial"/>
          <w:sz w:val="17"/>
          <w:szCs w:val="17"/>
          <w:u w:val="single" w:color="auto"/>
          <w:color w:val="auto"/>
        </w:rPr>
        <w:t>Liquidation Preference</w:t>
      </w:r>
      <w:r>
        <w:rPr>
          <w:rFonts w:ascii="Arial" w:cs="Arial" w:eastAsia="Arial" w:hAnsi="Arial"/>
          <w:sz w:val="17"/>
          <w:szCs w:val="17"/>
          <w:color w:val="auto"/>
        </w:rPr>
        <w:t>”).</w:t>
      </w:r>
    </w:p>
    <w:p>
      <w:pPr>
        <w:spacing w:after="0" w:line="143" w:lineRule="exact"/>
        <w:rPr>
          <w:rFonts w:ascii="Arial" w:cs="Arial" w:eastAsia="Arial" w:hAnsi="Arial"/>
          <w:sz w:val="17"/>
          <w:szCs w:val="17"/>
          <w:color w:val="auto"/>
        </w:rPr>
      </w:pPr>
    </w:p>
    <w:p>
      <w:pPr>
        <w:ind w:right="40" w:firstLine="3"/>
        <w:spacing w:after="0" w:line="260" w:lineRule="auto"/>
        <w:tabs>
          <w:tab w:leader="none" w:pos="242"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Partial Payment</w:t>
      </w:r>
      <w:r>
        <w:rPr>
          <w:rFonts w:ascii="Arial" w:cs="Arial" w:eastAsia="Arial" w:hAnsi="Arial"/>
          <w:sz w:val="17"/>
          <w:szCs w:val="17"/>
          <w:color w:val="auto"/>
        </w:rPr>
        <w:t>. If in any distribution described in Section 4(a) above the assets of the Corporation or proceeds thereof are not sufficient to pay in full the amounts payable with respect to all outstanding shares of the Series D Preferred Stock and the corresponding amounts payable with respect of any other stock of the Corporation ranking equally with the Series D Preferred Stock as to such distribution, holders of the Series D Preferred Stock and the holders of such other stock shall share ratably in any such distribution in proportion to the full respective distributions to which they are entitled.</w:t>
      </w:r>
    </w:p>
    <w:p>
      <w:pPr>
        <w:spacing w:after="0" w:line="152" w:lineRule="exact"/>
        <w:rPr>
          <w:rFonts w:ascii="Arial" w:cs="Arial" w:eastAsia="Arial" w:hAnsi="Arial"/>
          <w:sz w:val="17"/>
          <w:szCs w:val="17"/>
          <w:color w:val="auto"/>
        </w:rPr>
      </w:pPr>
    </w:p>
    <w:p>
      <w:pPr>
        <w:ind w:right="160" w:firstLine="3"/>
        <w:spacing w:after="0" w:line="315" w:lineRule="auto"/>
        <w:tabs>
          <w:tab w:leader="none" w:pos="232" w:val="left"/>
        </w:tabs>
        <w:numPr>
          <w:ilvl w:val="0"/>
          <w:numId w:val="139"/>
        </w:numPr>
        <w:rPr>
          <w:rFonts w:ascii="Arial" w:cs="Arial" w:eastAsia="Arial" w:hAnsi="Arial"/>
          <w:sz w:val="15"/>
          <w:szCs w:val="15"/>
          <w:color w:val="auto"/>
        </w:rPr>
      </w:pPr>
      <w:r>
        <w:rPr>
          <w:rFonts w:ascii="Arial" w:cs="Arial" w:eastAsia="Arial" w:hAnsi="Arial"/>
          <w:sz w:val="15"/>
          <w:szCs w:val="15"/>
          <w:u w:val="single" w:color="auto"/>
          <w:color w:val="auto"/>
        </w:rPr>
        <w:t>Residual Distributions</w:t>
      </w:r>
      <w:r>
        <w:rPr>
          <w:rFonts w:ascii="Arial" w:cs="Arial" w:eastAsia="Arial" w:hAnsi="Arial"/>
          <w:sz w:val="15"/>
          <w:szCs w:val="15"/>
          <w:color w:val="auto"/>
        </w:rPr>
        <w:t>. If the Liquidation Preference has been paid in full to all holders of the Series D Preferred Stock and the corresponding amounts payable with respect of any other stock of the Corporation ranking equally with the Series D Preferred Stock as to such distribution has been paid in full, the holders of other stock of the Corporation shall be entitled to receive all remaining assets of the Corporation (or proceeds thereof) according to their respective rights and preferences.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567690</wp:posOffset>
            </wp:positionV>
            <wp:extent cx="7258050"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3" w:name="page144"/>
    <w:bookmarkEnd w:id="143"/>
    <w:p>
      <w:pPr>
        <w:spacing w:after="0" w:line="200" w:lineRule="exact"/>
        <w:rPr>
          <w:sz w:val="20"/>
          <w:szCs w:val="20"/>
          <w:color w:val="auto"/>
        </w:rPr>
      </w:pPr>
    </w:p>
    <w:p>
      <w:pPr>
        <w:spacing w:after="0" w:line="333" w:lineRule="exact"/>
        <w:rPr>
          <w:sz w:val="20"/>
          <w:szCs w:val="20"/>
          <w:color w:val="auto"/>
        </w:rPr>
      </w:pPr>
    </w:p>
    <w:p>
      <w:pPr>
        <w:ind w:right="60" w:firstLine="3"/>
        <w:spacing w:after="0" w:line="256" w:lineRule="auto"/>
        <w:tabs>
          <w:tab w:leader="none" w:pos="242"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Merger, Consolidation and Sale of Assets Not Liquidation</w:t>
      </w:r>
      <w:r>
        <w:rPr>
          <w:rFonts w:ascii="Arial" w:cs="Arial" w:eastAsia="Arial" w:hAnsi="Arial"/>
          <w:sz w:val="17"/>
          <w:szCs w:val="17"/>
          <w:color w:val="auto"/>
        </w:rPr>
        <w:t>. For purposes of this Section 4, the merger or consolidation of the Corporation with any other corporation or other entity, including a merger or consolidation in which the holders of the Series D Preferred Stock receive cash, securities or other property for their shares, or the sale, lease or exchange (for cash, securities or other property) of all or substantially all of the assets of the Corporation, shall not constitute a liquidation, dissolution or winding up of the Corporation, but only to the extent that the holders of the Series D Preferred Stock receive in such transaction an amount equal to at least the sum of (i) the Liquidation Amount per share and (ii) except as otherwise provided below, any accrued and unpaid dividends (including, if applicable as provided in Section 3(a) above, dividends on such amount).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Redemption</w:t>
      </w:r>
      <w:r>
        <w:rPr>
          <w:rFonts w:ascii="Arial" w:cs="Arial" w:eastAsia="Arial" w:hAnsi="Arial"/>
          <w:sz w:val="17"/>
          <w:szCs w:val="17"/>
          <w:color w:val="auto"/>
        </w:rPr>
        <w:t>.</w:t>
      </w:r>
    </w:p>
    <w:p>
      <w:pPr>
        <w:spacing w:after="0" w:line="189" w:lineRule="exact"/>
        <w:rPr>
          <w:sz w:val="20"/>
          <w:szCs w:val="20"/>
          <w:color w:val="auto"/>
        </w:rPr>
      </w:pPr>
    </w:p>
    <w:p>
      <w:pPr>
        <w:ind w:right="20" w:firstLine="3"/>
        <w:spacing w:after="0" w:line="256" w:lineRule="auto"/>
        <w:tabs>
          <w:tab w:leader="none" w:pos="232"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Optional Redemption</w:t>
      </w:r>
      <w:r>
        <w:rPr>
          <w:rFonts w:ascii="Arial" w:cs="Arial" w:eastAsia="Arial" w:hAnsi="Arial"/>
          <w:sz w:val="17"/>
          <w:szCs w:val="17"/>
          <w:color w:val="auto"/>
        </w:rPr>
        <w:t>. The Series D Preferred Stock may not be redeemed prior to either (i) the third anniversary of the Closing Date or (ii) September 30, 2014, as determined by the Board of Directors in its sole discretion (the “</w:t>
      </w:r>
      <w:r>
        <w:rPr>
          <w:rFonts w:ascii="Arial" w:cs="Arial" w:eastAsia="Arial" w:hAnsi="Arial"/>
          <w:sz w:val="17"/>
          <w:szCs w:val="17"/>
          <w:u w:val="single" w:color="auto"/>
          <w:color w:val="auto"/>
        </w:rPr>
        <w:t>Optional Redemption Date</w:t>
      </w:r>
      <w:r>
        <w:rPr>
          <w:rFonts w:ascii="Arial" w:cs="Arial" w:eastAsia="Arial" w:hAnsi="Arial"/>
          <w:sz w:val="17"/>
          <w:szCs w:val="17"/>
          <w:color w:val="auto"/>
        </w:rPr>
        <w:t>”). On or after the Optional Redemption Date, the Corporation, at its option may redeem, in whole but not in part, at any time, out of funds legally available therefor, shares of the Series D Preferred Stock at the time outstanding, upon notice given as provided in Section 5(c) below, at a redemption price equal to the sum of (i) the Liquidation Amount per share and (ii) except as otherwise provided below, any accrued and unpaid dividends (including, if applicable as provided in Section 3(a) above, dividends on such amount) (regardless of whether dividends are actually declared) to, but excluding, the date fixed for redemption.</w:t>
      </w:r>
    </w:p>
    <w:p>
      <w:pPr>
        <w:spacing w:after="0" w:line="146" w:lineRule="exact"/>
        <w:rPr>
          <w:sz w:val="20"/>
          <w:szCs w:val="20"/>
          <w:color w:val="auto"/>
        </w:rPr>
      </w:pPr>
    </w:p>
    <w:p>
      <w:pPr>
        <w:ind w:right="300"/>
        <w:spacing w:after="0" w:line="256" w:lineRule="auto"/>
        <w:rPr>
          <w:sz w:val="20"/>
          <w:szCs w:val="20"/>
          <w:color w:val="auto"/>
        </w:rPr>
      </w:pPr>
      <w:r>
        <w:rPr>
          <w:rFonts w:ascii="Arial" w:cs="Arial" w:eastAsia="Arial" w:hAnsi="Arial"/>
          <w:sz w:val="17"/>
          <w:szCs w:val="17"/>
          <w:color w:val="auto"/>
        </w:rPr>
        <w:t>The redemption price for any shares of the Series D Preferred Stock shall be payable on the redemption date to the holder of such shares against surrender of the certificate(s) evidencing such shares to the Corporation or its agent, or for uncertificated shares that are issued in book-entry form on the books of the Corporation, against surrender on the books of the Corporation in accordance with the Corporation’s applicable direct registration system. Any declared but unpaid dividends payable on a redemption date that occurs subsequent to the Dividend Record Date for a Dividend Period shall not be paid to the holder entitled to receive the redemption price on the redemption date, but rather shall be paid to the holder of record of the redeemed shares on such Dividend Record Date relating to the Dividend Payment Date as provided in Section 3 above.</w:t>
      </w:r>
    </w:p>
    <w:p>
      <w:pPr>
        <w:spacing w:after="0" w:line="146" w:lineRule="exact"/>
        <w:rPr>
          <w:sz w:val="20"/>
          <w:szCs w:val="20"/>
          <w:color w:val="auto"/>
        </w:rPr>
      </w:pPr>
    </w:p>
    <w:p>
      <w:pPr>
        <w:ind w:right="60" w:firstLine="3"/>
        <w:spacing w:after="0" w:line="277" w:lineRule="auto"/>
        <w:tabs>
          <w:tab w:leader="none" w:pos="242"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No Sinking Fund</w:t>
      </w:r>
      <w:r>
        <w:rPr>
          <w:rFonts w:ascii="Arial" w:cs="Arial" w:eastAsia="Arial" w:hAnsi="Arial"/>
          <w:sz w:val="17"/>
          <w:szCs w:val="17"/>
          <w:color w:val="auto"/>
        </w:rPr>
        <w:t>. The Series D Preferred Stock will not be subject to any mandatory redemption, sinking fund or other similar provisions. Holders of the Series D Preferred Stock will have no right to require redemption or repurchase of any shares of the Series D Preferred Stock.</w:t>
      </w:r>
    </w:p>
    <w:p>
      <w:pPr>
        <w:spacing w:after="0" w:line="138" w:lineRule="exact"/>
        <w:rPr>
          <w:rFonts w:ascii="Arial" w:cs="Arial" w:eastAsia="Arial" w:hAnsi="Arial"/>
          <w:sz w:val="17"/>
          <w:szCs w:val="17"/>
          <w:color w:val="auto"/>
        </w:rPr>
      </w:pPr>
    </w:p>
    <w:p>
      <w:pPr>
        <w:ind w:firstLine="3"/>
        <w:spacing w:after="0" w:line="293" w:lineRule="auto"/>
        <w:tabs>
          <w:tab w:leader="none" w:pos="232" w:val="left"/>
        </w:tabs>
        <w:numPr>
          <w:ilvl w:val="0"/>
          <w:numId w:val="142"/>
        </w:numPr>
        <w:rPr>
          <w:rFonts w:ascii="Arial" w:cs="Arial" w:eastAsia="Arial" w:hAnsi="Arial"/>
          <w:sz w:val="15"/>
          <w:szCs w:val="15"/>
          <w:color w:val="auto"/>
        </w:rPr>
      </w:pPr>
      <w:r>
        <w:rPr>
          <w:rFonts w:ascii="Arial" w:cs="Arial" w:eastAsia="Arial" w:hAnsi="Arial"/>
          <w:sz w:val="15"/>
          <w:szCs w:val="15"/>
          <w:u w:val="single" w:color="auto"/>
          <w:color w:val="auto"/>
        </w:rPr>
        <w:t>Notice of Redemption</w:t>
      </w:r>
      <w:r>
        <w:rPr>
          <w:rFonts w:ascii="Arial" w:cs="Arial" w:eastAsia="Arial" w:hAnsi="Arial"/>
          <w:sz w:val="15"/>
          <w:szCs w:val="15"/>
          <w:color w:val="auto"/>
        </w:rPr>
        <w:t>. Notice of every redemption of shares of the Series D Preferred Stock shall be given by first class mail, postage prepaid, addressed to the holders of record of the shares to be redeemed at their respective last addresses appearing on the books of the Corporation. Such mailing shall be at least 30 days and not more than 60 days before the date fixed for redemption. Any notice mailed as provided in this Subsection shall be conclusively presumed to have been duly given, whether or not the holder receives such notice, but failure duly to give such notice by mail, or any defect in such notice or in the mailing thereof, to any holder of shares of the Series D Preferred Stock designated for redemption shall not affect the validity of the proceedings for the redemption of any other shares of the Series D Preferred Stock. Notwithstanding the foregoing, if shares of the Series D Preferred Stock are issued in book-entry form through The Depository Trust Company or any other similar facility, notice of redemption may be given to the holders of the Series D Preferred Stock at such time and in any manner permitted by such facility. Each notice of redemption given to a holder shall state: (1) the redemption date; (2) the number of shares of the Series D Preferred Stock to be redeemed; (3) the redemption price; and (4) the place or places where certificates for any such shares issued in certificated form are to be surrendered for payment of the 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576580</wp:posOffset>
            </wp:positionV>
            <wp:extent cx="7258050"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4" w:name="page145"/>
    <w:bookmarkEnd w:id="144"/>
    <w:p>
      <w:pPr>
        <w:spacing w:after="0" w:line="200" w:lineRule="exact"/>
        <w:rPr>
          <w:sz w:val="20"/>
          <w:szCs w:val="20"/>
          <w:color w:val="auto"/>
        </w:rPr>
      </w:pPr>
    </w:p>
    <w:p>
      <w:pPr>
        <w:spacing w:after="0" w:line="333" w:lineRule="exact"/>
        <w:rPr>
          <w:sz w:val="20"/>
          <w:szCs w:val="20"/>
          <w:color w:val="auto"/>
        </w:rPr>
      </w:pPr>
    </w:p>
    <w:p>
      <w:pPr>
        <w:ind w:firstLine="3"/>
        <w:spacing w:after="0" w:line="294" w:lineRule="auto"/>
        <w:tabs>
          <w:tab w:leader="none" w:pos="242" w:val="left"/>
        </w:tabs>
        <w:numPr>
          <w:ilvl w:val="0"/>
          <w:numId w:val="143"/>
        </w:numPr>
        <w:rPr>
          <w:rFonts w:ascii="Arial" w:cs="Arial" w:eastAsia="Arial" w:hAnsi="Arial"/>
          <w:sz w:val="15"/>
          <w:szCs w:val="15"/>
          <w:color w:val="auto"/>
        </w:rPr>
      </w:pPr>
      <w:r>
        <w:rPr>
          <w:rFonts w:ascii="Arial" w:cs="Arial" w:eastAsia="Arial" w:hAnsi="Arial"/>
          <w:sz w:val="15"/>
          <w:szCs w:val="15"/>
          <w:u w:val="single" w:color="auto"/>
          <w:color w:val="auto"/>
        </w:rPr>
        <w:t>Effectiveness of Redemption</w:t>
      </w:r>
      <w:r>
        <w:rPr>
          <w:rFonts w:ascii="Arial" w:cs="Arial" w:eastAsia="Arial" w:hAnsi="Arial"/>
          <w:sz w:val="15"/>
          <w:szCs w:val="15"/>
          <w:color w:val="auto"/>
        </w:rPr>
        <w:t xml:space="preserve">. If notice of redemption has been duly given and if on or before the redemption date specified in the notice all funds necessary for the redemption have been deposited by the Corporation, in trust for the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benefit of the holders of the shares called for redemption, with a bank or trust company selected by the Board of Directors, so as to be and continue to be available solely therefor, then, notwithstanding that any certificate for any share so called for redemption has not been surrendered for cancellation, on and after the redemption date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from such bank or trust company, without interest. Any funds unclaimed at the end of three years from the redemption date shall, to the extent permitted by law, be released to the Corporation, after which time the holders of the shares so called for redemption shall look only to the Corporation for payment of the redemption price of such shares.</w:t>
      </w:r>
    </w:p>
    <w:p>
      <w:pPr>
        <w:spacing w:after="0" w:line="117" w:lineRule="exact"/>
        <w:rPr>
          <w:rFonts w:ascii="Arial" w:cs="Arial" w:eastAsia="Arial" w:hAnsi="Arial"/>
          <w:sz w:val="15"/>
          <w:szCs w:val="15"/>
          <w:color w:val="auto"/>
        </w:rPr>
      </w:pPr>
    </w:p>
    <w:p>
      <w:pPr>
        <w:ind w:firstLine="3"/>
        <w:spacing w:after="0" w:line="264" w:lineRule="auto"/>
        <w:tabs>
          <w:tab w:leader="none" w:pos="232"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Status of Redeemed Shares</w:t>
      </w:r>
      <w:r>
        <w:rPr>
          <w:rFonts w:ascii="Arial" w:cs="Arial" w:eastAsia="Arial" w:hAnsi="Arial"/>
          <w:sz w:val="17"/>
          <w:szCs w:val="17"/>
          <w:color w:val="auto"/>
        </w:rPr>
        <w:t>. Shares of the Series D Preferred Stock that are redeemed, repurchased or otherwise acquired by the Corporation shall revert to authorized but unissued shares of Preferred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cancelled shares of the Series D Preferred Stock may be reissued only as shares of any series of Preferred Stock other than the Series D Preferred Stock).</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Conversion</w:t>
      </w:r>
      <w:r>
        <w:rPr>
          <w:rFonts w:ascii="Arial" w:cs="Arial" w:eastAsia="Arial" w:hAnsi="Arial"/>
          <w:sz w:val="17"/>
          <w:szCs w:val="17"/>
          <w:color w:val="auto"/>
        </w:rPr>
        <w:t>. Holders of the Series D Preferred Stock shares shall have no right to exchange or convert such shares into any other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Voting Rights</w:t>
      </w:r>
      <w:r>
        <w:rPr>
          <w:rFonts w:ascii="Arial" w:cs="Arial" w:eastAsia="Arial" w:hAnsi="Arial"/>
          <w:sz w:val="17"/>
          <w:szCs w:val="17"/>
          <w:color w:val="auto"/>
        </w:rPr>
        <w:t>.</w:t>
      </w:r>
    </w:p>
    <w:p>
      <w:pPr>
        <w:spacing w:after="0" w:line="176" w:lineRule="exact"/>
        <w:rPr>
          <w:sz w:val="20"/>
          <w:szCs w:val="20"/>
          <w:color w:val="auto"/>
        </w:rPr>
      </w:pPr>
    </w:p>
    <w:p>
      <w:pPr>
        <w:ind w:right="180" w:firstLine="3"/>
        <w:spacing w:after="0" w:line="346" w:lineRule="auto"/>
        <w:tabs>
          <w:tab w:leader="none" w:pos="232" w:val="left"/>
        </w:tabs>
        <w:numPr>
          <w:ilvl w:val="0"/>
          <w:numId w:val="144"/>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The holders of the Series D Preferred Stock shall not have any voting rights except as set forth below or as otherwise from time to time required by law. In exercising the voting rights set forth below, each holder shall be entitled to one vote for each share of the Series D Preferred Stock held by such holder.</w:t>
      </w:r>
    </w:p>
    <w:p>
      <w:pPr>
        <w:spacing w:after="0" w:line="92" w:lineRule="exact"/>
        <w:rPr>
          <w:rFonts w:ascii="Arial" w:cs="Arial" w:eastAsia="Arial" w:hAnsi="Arial"/>
          <w:sz w:val="15"/>
          <w:szCs w:val="15"/>
          <w:color w:val="auto"/>
        </w:rPr>
      </w:pPr>
    </w:p>
    <w:p>
      <w:pPr>
        <w:ind w:right="160" w:firstLine="3"/>
        <w:spacing w:after="0" w:line="260" w:lineRule="auto"/>
        <w:tabs>
          <w:tab w:leader="none" w:pos="242"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Class Voting Rights as to Particular Matters</w:t>
      </w:r>
      <w:r>
        <w:rPr>
          <w:rFonts w:ascii="Arial" w:cs="Arial" w:eastAsia="Arial" w:hAnsi="Arial"/>
          <w:sz w:val="17"/>
          <w:szCs w:val="17"/>
          <w:color w:val="auto"/>
        </w:rPr>
        <w:t>. So long as any shares of the Series D Preferred Stock are outstanding, in addition to any other vote or consent of stockholders required by law or by the Articles of Incorporation, the vote or consent of the holders of at least a majority of the shares of the Series D Preferred Stock at the time outstanding, voting as a separate class, given in person or by proxy, either in writing without a meeting or by vote at any meeting called for the purpose, shall be necessary for effecting or validating:</w:t>
      </w:r>
    </w:p>
    <w:p>
      <w:pPr>
        <w:spacing w:after="0" w:line="140" w:lineRule="exact"/>
        <w:rPr>
          <w:sz w:val="20"/>
          <w:szCs w:val="20"/>
          <w:color w:val="auto"/>
        </w:rPr>
      </w:pPr>
    </w:p>
    <w:p>
      <w:pPr>
        <w:ind w:right="100" w:firstLine="3"/>
        <w:spacing w:after="0" w:line="260" w:lineRule="auto"/>
        <w:tabs>
          <w:tab w:leader="none" w:pos="204"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Authorization of Senior Stock</w:t>
      </w:r>
      <w:r>
        <w:rPr>
          <w:rFonts w:ascii="Arial" w:cs="Arial" w:eastAsia="Arial" w:hAnsi="Arial"/>
          <w:sz w:val="17"/>
          <w:szCs w:val="17"/>
          <w:color w:val="auto"/>
        </w:rPr>
        <w:t>. Any amendment or alteration of the Certificate of Designation for the Series D Preferred Stock or the Articles of Incorporation to authorize or create or increase the authorized amount of, or any issuance of, any shares of, or any securities convertible into or exchangeable or exercisable for shares of, any class or series of capital stock of the Corporation ranking senior to the Series D Preferred Stock with respect to either or both the payment of dividends and/or the distribution of assets on any liquidation, dissolution or winding up of the Corporation;</w:t>
      </w:r>
    </w:p>
    <w:p>
      <w:pPr>
        <w:spacing w:after="0" w:line="140" w:lineRule="exact"/>
        <w:rPr>
          <w:rFonts w:ascii="Arial" w:cs="Arial" w:eastAsia="Arial" w:hAnsi="Arial"/>
          <w:sz w:val="17"/>
          <w:szCs w:val="17"/>
          <w:color w:val="auto"/>
        </w:rPr>
      </w:pPr>
    </w:p>
    <w:p>
      <w:pPr>
        <w:ind w:right="160" w:firstLine="3"/>
        <w:spacing w:after="0" w:line="260" w:lineRule="auto"/>
        <w:tabs>
          <w:tab w:leader="none" w:pos="251"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Amendment of the Series D Preferred Stock</w:t>
      </w:r>
      <w:r>
        <w:rPr>
          <w:rFonts w:ascii="Arial" w:cs="Arial" w:eastAsia="Arial" w:hAnsi="Arial"/>
          <w:sz w:val="17"/>
          <w:szCs w:val="17"/>
          <w:color w:val="auto"/>
        </w:rPr>
        <w:t>. Any amendment, alteration or repeal of any provision of the Certificate of Designations for the Series D Preferred Stock or the Articles of Incorporation (including, unless no vote on such merger or consolidation is required by Section 7(b)(iii) below, any amendment, alteration or repeal by means of a merger, consolidation or otherwise) so as to materially and adversely affect the rights, preferences, privileges or voting powers of the Series D Preferred Stock;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599440</wp:posOffset>
            </wp:positionV>
            <wp:extent cx="7258050"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5" w:name="page146"/>
    <w:bookmarkEnd w:id="145"/>
    <w:p>
      <w:pPr>
        <w:spacing w:after="0" w:line="200" w:lineRule="exact"/>
        <w:rPr>
          <w:sz w:val="20"/>
          <w:szCs w:val="20"/>
          <w:color w:val="auto"/>
        </w:rPr>
      </w:pPr>
    </w:p>
    <w:p>
      <w:pPr>
        <w:spacing w:after="0" w:line="334" w:lineRule="exact"/>
        <w:rPr>
          <w:sz w:val="20"/>
          <w:szCs w:val="20"/>
          <w:color w:val="auto"/>
        </w:rPr>
      </w:pPr>
    </w:p>
    <w:p>
      <w:pPr>
        <w:ind w:firstLine="3"/>
        <w:spacing w:after="0" w:line="272" w:lineRule="auto"/>
        <w:tabs>
          <w:tab w:leader="none" w:pos="299"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Share Exchanges, Reclassifications, Mergers and Consolidations</w:t>
      </w:r>
      <w:r>
        <w:rPr>
          <w:rFonts w:ascii="Arial" w:cs="Arial" w:eastAsia="Arial" w:hAnsi="Arial"/>
          <w:sz w:val="16"/>
          <w:szCs w:val="16"/>
          <w:color w:val="auto"/>
        </w:rPr>
        <w:t>. Any consummation of a binding share exchange or reclassification involving the Series D Preferred Stock, or of a merger or consolidation of the Corporation with another corporation or other entity, unless in each case (x) the shares of the Series D Preferred Stock remain outstanding (and there shall not have been any adverse effect to the rights, privileges, preferences or otherwise of such Series D Preferred Stock) or, in the case of any such merger or consolidation with respect to which the Corporation is not the surviving or resulting entity, are converted into or exchanged for preference securities of the surviving or resulting entity or its ultimate parent, and (y) such shares remaining outstanding or such preference securities, as the case may be, are securities in an issuer with a credit rating of at least as high a quality as the credit rating of the Corporation on the date immediately prior to the consummation of such transaction and further have such rights, preferences, privileges and voting powers, and limitations and restrictions thereof, taken as a whole, as are at least as favorable to the holders thereof than the rights, preferences, privileges and voting powers, and limitations and restrictions thereof, of the Series D Preferred Stock immediately prior to such consummation, taken as a whole;</w:t>
      </w:r>
    </w:p>
    <w:p>
      <w:pPr>
        <w:spacing w:after="0" w:line="136"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for all purposes of this Section 7(b), any increase in the amount of the authorized Preferred Stock, or the creation and issuance, or an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in the authorized or issued amount, whether pursuant to preemptive or similar rights or otherwise, of any other series of Preferred Stock, or any securities convertible into or exchangeable or exercisable for any other series of Preferred Stock, ranking equally with and/or junior to the Series D Preferred Stock with respect to the payment of dividends (whether such dividends are cumulative or non-cumulative) and the distribution of assets upon liquidation, dissolution or winding up of the Corporation will not be deemed to adversely affect the rights, preferences, privileges or voting powers, and shall not require the affirmative vote or consent of, the holders of outstanding shares of the Series D Preferred Stock.</w:t>
      </w:r>
    </w:p>
    <w:p>
      <w:pPr>
        <w:spacing w:after="0" w:line="159" w:lineRule="exact"/>
        <w:rPr>
          <w:sz w:val="20"/>
          <w:szCs w:val="20"/>
          <w:color w:val="auto"/>
        </w:rPr>
      </w:pPr>
    </w:p>
    <w:p>
      <w:pPr>
        <w:ind w:firstLine="3"/>
        <w:spacing w:after="0" w:line="260" w:lineRule="auto"/>
        <w:tabs>
          <w:tab w:leader="none" w:pos="232"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Changes after Provision for Redemption</w:t>
      </w:r>
      <w:r>
        <w:rPr>
          <w:rFonts w:ascii="Arial" w:cs="Arial" w:eastAsia="Arial" w:hAnsi="Arial"/>
          <w:sz w:val="17"/>
          <w:szCs w:val="17"/>
          <w:color w:val="auto"/>
        </w:rPr>
        <w:t>. No vote or consent of the holders of the Series D Preferred Stock shall be required pursuant to Section 7(b) above if, at or prior to the time when any such vote or consent would otherwise be required pursuant to such Section, all outstanding shares of the Series D Preferred Stock shall have been redeemed, or shall have been called for redemption upon proper notice and sufficient funds shall have been deposited in trust for such redemption, in each case pursuant to Section 5 above.</w:t>
      </w:r>
    </w:p>
    <w:p>
      <w:pPr>
        <w:spacing w:after="0" w:line="140" w:lineRule="exact"/>
        <w:rPr>
          <w:rFonts w:ascii="Arial" w:cs="Arial" w:eastAsia="Arial" w:hAnsi="Arial"/>
          <w:sz w:val="17"/>
          <w:szCs w:val="17"/>
          <w:color w:val="auto"/>
        </w:rPr>
      </w:pPr>
    </w:p>
    <w:p>
      <w:pPr>
        <w:ind w:firstLine="3"/>
        <w:spacing w:after="0" w:line="256" w:lineRule="auto"/>
        <w:tabs>
          <w:tab w:leader="none" w:pos="242"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Procedures for Voting and Consents</w:t>
      </w:r>
      <w:r>
        <w:rPr>
          <w:rFonts w:ascii="Arial" w:cs="Arial" w:eastAsia="Arial" w:hAnsi="Arial"/>
          <w:sz w:val="17"/>
          <w:szCs w:val="17"/>
          <w:color w:val="auto"/>
        </w:rPr>
        <w:t>. The rules and procedures for calling and conducting any meeting of the holders of the Series D Preferred Stock (including, without limitation, the fixing of a record date in connection therewith), the solicitation and use of proxies at such a meeting, the obtaining of written consents and any other aspect or matter with regard to such a meeting or such consents shall be governed by any rules of the Board of Directors or any duly authorized committee of the Board of Directors, in its discretion, may adopt from time to time, which rules and procedures shall conform to the requirements of the Articles of Incorporation, the Bylaws, and applicable law and the rules of any national securities exchange or other trading facility on which the Series D Preferred Stock is listed or traded at the time.</w:t>
      </w:r>
    </w:p>
    <w:p>
      <w:pPr>
        <w:spacing w:after="0" w:line="146"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Record Holders</w:t>
      </w:r>
      <w:r>
        <w:rPr>
          <w:rFonts w:ascii="Arial" w:cs="Arial" w:eastAsia="Arial" w:hAnsi="Arial"/>
          <w:sz w:val="17"/>
          <w:szCs w:val="17"/>
          <w:color w:val="auto"/>
        </w:rPr>
        <w:t>. To the fullest extent permitted by applicable law, the Corporation and the transfer agent for the Series D Preferred Stock may deem and treat the record holder of any share of the Series D Preferred Stock as the true and lawful owner thereof for all purposes, and neither the Corporation nor such transfer agent shall be affected by any notice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597535</wp:posOffset>
            </wp:positionV>
            <wp:extent cx="7258050"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46" w:name="page147"/>
    <w:bookmarkEnd w:id="146"/>
    <w:p>
      <w:pPr>
        <w:spacing w:after="0" w:line="200" w:lineRule="exact"/>
        <w:rPr>
          <w:sz w:val="20"/>
          <w:szCs w:val="20"/>
          <w:color w:val="auto"/>
        </w:rPr>
      </w:pPr>
    </w:p>
    <w:p>
      <w:pPr>
        <w:spacing w:after="0" w:line="333"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or communications in respect of the Series D Preferred Stock shall be sufficiently given if given in writing and delivered in person or by first class mail, postage prepaid, or recognized courier service, if given by electronic mail or if given in such other manner as may be permitted in this Certificate of Designations, in the Articles of Incorporation or Bylaws or by applicable law. Notwithstanding the foregoing, if shares of the Series D Preferred Stock are issued in book-entry form through The Depository Trust Corporation or any similar facility, such notices may be given to the holders of the Series D Preferred Stock in any manner permitted by such facility.</w:t>
      </w:r>
    </w:p>
    <w:p>
      <w:pPr>
        <w:spacing w:after="0" w:line="142" w:lineRule="exact"/>
        <w:rPr>
          <w:sz w:val="20"/>
          <w:szCs w:val="20"/>
          <w:color w:val="auto"/>
        </w:rPr>
      </w:pPr>
    </w:p>
    <w:p>
      <w:pPr>
        <w:jc w:val="both"/>
        <w:ind w:right="40"/>
        <w:spacing w:after="0" w:line="264"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No Preemptive Rights</w:t>
      </w:r>
      <w:r>
        <w:rPr>
          <w:rFonts w:ascii="Arial" w:cs="Arial" w:eastAsia="Arial" w:hAnsi="Arial"/>
          <w:sz w:val="17"/>
          <w:szCs w:val="17"/>
          <w:color w:val="auto"/>
        </w:rPr>
        <w:t>. No share of the Series D Preferred Stock shall have any rights of preemption whatsoever as to any securities of the Corporation, or any warrants, rights or options issued or granted with respect thereto, regardless of how such securities, or such warrants, rights or options, may be designated, issued or granted.</w:t>
      </w:r>
    </w:p>
    <w:p>
      <w:pPr>
        <w:spacing w:after="0" w:line="150" w:lineRule="exact"/>
        <w:rPr>
          <w:sz w:val="20"/>
          <w:szCs w:val="20"/>
          <w:color w:val="auto"/>
        </w:rPr>
      </w:pPr>
    </w:p>
    <w:p>
      <w:pPr>
        <w:ind w:right="240"/>
        <w:spacing w:after="0" w:line="315" w:lineRule="auto"/>
        <w:rPr>
          <w:sz w:val="20"/>
          <w:szCs w:val="20"/>
          <w:color w:val="auto"/>
        </w:rPr>
      </w:pPr>
      <w:r>
        <w:rPr>
          <w:rFonts w:ascii="Arial" w:cs="Arial" w:eastAsia="Arial" w:hAnsi="Arial"/>
          <w:sz w:val="15"/>
          <w:szCs w:val="15"/>
          <w:color w:val="auto"/>
        </w:rPr>
        <w:t xml:space="preserve">Section 11. </w:t>
      </w:r>
      <w:r>
        <w:rPr>
          <w:rFonts w:ascii="Arial" w:cs="Arial" w:eastAsia="Arial" w:hAnsi="Arial"/>
          <w:sz w:val="15"/>
          <w:szCs w:val="15"/>
          <w:u w:val="single" w:color="auto"/>
          <w:color w:val="auto"/>
        </w:rPr>
        <w:t>Replacement Certificates</w:t>
      </w:r>
      <w:r>
        <w:rPr>
          <w:rFonts w:ascii="Arial" w:cs="Arial" w:eastAsia="Arial" w:hAnsi="Arial"/>
          <w:sz w:val="15"/>
          <w:szCs w:val="15"/>
          <w:color w:val="auto"/>
        </w:rPr>
        <w:t>. The Corporation shall replace any mutilated certificate at the holder’s expense upon surrender of that certificate to the Corporation. The Corporation shall replace certificates that become destroyed, stolen or lost at the holder’s expense upon delivery to the Corporation of reasonably satisfactory evidence that the certificate has been destroyed, stolen or lost, together with any indemnity that may be reasonably required by the Corporation.</w:t>
      </w:r>
    </w:p>
    <w:p>
      <w:pPr>
        <w:spacing w:after="0" w:line="103"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Other Rights</w:t>
      </w:r>
      <w:r>
        <w:rPr>
          <w:rFonts w:ascii="Arial" w:cs="Arial" w:eastAsia="Arial" w:hAnsi="Arial"/>
          <w:sz w:val="17"/>
          <w:szCs w:val="17"/>
          <w:color w:val="auto"/>
        </w:rPr>
        <w:t>. The shares of the Series D Preferred Stock shall not have any rights, preferences, privileges or voting powers or relative, participating, optional or other special rights, or qualifications, limitations or restrictions thereof, other than as set forth herein or in the Articles of Incorporation or as provided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597535</wp:posOffset>
            </wp:positionV>
            <wp:extent cx="7258050"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47" w:name="page148"/>
    <w:bookmarkEnd w:id="147"/>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CERTIFICATE OF RIGHTS AND PREFERENCES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OF</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SERIES C CONVERTIBLE PREFERRED STOCK</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OF</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UNITED COMMUNITY BANKS, INC.</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April 1, 2010</w:t>
      </w:r>
    </w:p>
    <w:p>
      <w:pPr>
        <w:spacing w:after="0" w:line="180"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Pursuant to Section 14-2-602 of the Georgia Business Corporation Code and Article V of the Restated Articles of Incorporation, as amended, of United Community Banks, Inc., a corporation organized and existing under the laws of the State of Georgia (the “</w:t>
      </w:r>
      <w:r>
        <w:rPr>
          <w:rFonts w:ascii="Arial" w:cs="Arial" w:eastAsia="Arial" w:hAnsi="Arial"/>
          <w:sz w:val="15"/>
          <w:szCs w:val="15"/>
          <w:u w:val="single" w:color="auto"/>
          <w:color w:val="auto"/>
        </w:rPr>
        <w:t>Company</w:t>
      </w:r>
      <w:r>
        <w:rPr>
          <w:rFonts w:ascii="Arial" w:cs="Arial" w:eastAsia="Arial" w:hAnsi="Arial"/>
          <w:sz w:val="15"/>
          <w:szCs w:val="15"/>
          <w:color w:val="auto"/>
        </w:rPr>
        <w:t>”), hereby certifies that the following resolution was duly adopted by the Board of Directors of the Company effective as of March 26, 2010 pursuant to authority conferred upon the Board of Directors by the Restated Articles of Incorporation of the Company, as amended, which authorize the issuance of up to Ten Million (10,000,000) shares of preferred stock, par value $1.00 per share.</w:t>
      </w:r>
    </w:p>
    <w:p>
      <w:pPr>
        <w:spacing w:after="0" w:line="110"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RESOLVED, that pursuant to authority expressly granted to and vested in the Board of Directors of the Company and pursuant to the provisions of the Articles of Incorporation, the Board of Directors hereby creates a series of preferred stock, herein designated and authorized as the Series C Convertible Preferred Stock, par value $1.00 per share, which shall consist of Sixty-Five Thousand (65,000) of the shares of preferred stock which the Company now has authority to issue, and the Board of Directors hereby fixes the powers, designations and preferences and the relative, participating, optional and other special rights of the shares of such series, and the qualifications, limitations and restrictions thereof as follows:</w:t>
      </w:r>
    </w:p>
    <w:p>
      <w:pPr>
        <w:spacing w:after="0" w:line="154" w:lineRule="exact"/>
        <w:rPr>
          <w:sz w:val="20"/>
          <w:szCs w:val="20"/>
          <w:color w:val="auto"/>
        </w:rPr>
      </w:pPr>
    </w:p>
    <w:p>
      <w:pPr>
        <w:ind w:right="140" w:firstLine="3"/>
        <w:spacing w:after="0" w:line="277" w:lineRule="auto"/>
        <w:tabs>
          <w:tab w:leader="none" w:pos="171"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Number</w:t>
      </w:r>
      <w:r>
        <w:rPr>
          <w:rFonts w:ascii="Arial" w:cs="Arial" w:eastAsia="Arial" w:hAnsi="Arial"/>
          <w:sz w:val="17"/>
          <w:szCs w:val="17"/>
          <w:color w:val="auto"/>
        </w:rPr>
        <w:t>. The number of shares constituting the Series C Convertible Preferred Stock shall be Sixty-Five Thousand (65,000), all of which are issuable solely under the Agreement.</w:t>
      </w:r>
    </w:p>
    <w:p>
      <w:pPr>
        <w:spacing w:after="0" w:line="125" w:lineRule="exact"/>
        <w:rPr>
          <w:rFonts w:ascii="Arial" w:cs="Arial" w:eastAsia="Arial" w:hAnsi="Arial"/>
          <w:sz w:val="17"/>
          <w:szCs w:val="17"/>
          <w:color w:val="auto"/>
        </w:rPr>
      </w:pPr>
    </w:p>
    <w:p>
      <w:pPr>
        <w:ind w:left="180" w:hanging="177"/>
        <w:spacing w:after="0"/>
        <w:tabs>
          <w:tab w:leader="none" w:pos="180"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Unless the context otherwise requires, when used herein the following terms shall have the meaning indicated.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Acquiring Person</w:t>
      </w:r>
      <w:r>
        <w:rPr>
          <w:rFonts w:ascii="Arial" w:cs="Arial" w:eastAsia="Arial" w:hAnsi="Arial"/>
          <w:sz w:val="17"/>
          <w:szCs w:val="17"/>
          <w:color w:val="auto"/>
        </w:rPr>
        <w:t>” has the meaning set forth in the Agreement.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 Consideration</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6(f)(iii)(C)</w:t>
      </w:r>
      <w:r>
        <w:rPr>
          <w:rFonts w:ascii="Arial" w:cs="Arial" w:eastAsia="Arial" w:hAnsi="Arial"/>
          <w:sz w:val="17"/>
          <w:szCs w:val="17"/>
          <w:color w:val="auto"/>
        </w:rPr>
        <w:t>.</w:t>
      </w:r>
    </w:p>
    <w:p>
      <w:pPr>
        <w:spacing w:after="0" w:line="176"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means the Securities Purchase Agreement dated as of April 1, 2010, by and between the Company and Fletcher pursuant to which Sixty-Five Thousand (65,000) shares of Series C Preferred Stock and a warrant are to be issued by the Company, including all schedules, annexes and exhibits thereto, and as such agreement may be amended from time to time.</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Articles of Incorporation</w:t>
      </w:r>
      <w:r>
        <w:rPr>
          <w:rFonts w:ascii="Arial" w:cs="Arial" w:eastAsia="Arial" w:hAnsi="Arial"/>
          <w:sz w:val="17"/>
          <w:szCs w:val="17"/>
          <w:color w:val="auto"/>
        </w:rPr>
        <w:t>” means the Restated Articles of Incorporation of the Company, as amended.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614045</wp:posOffset>
            </wp:positionV>
            <wp:extent cx="725805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8" w:name="page149"/>
    <w:bookmarkEnd w:id="148"/>
    <w:p>
      <w:pPr>
        <w:spacing w:after="0" w:line="200" w:lineRule="exact"/>
        <w:rPr>
          <w:sz w:val="20"/>
          <w:szCs w:val="20"/>
          <w:color w:val="auto"/>
        </w:rPr>
      </w:pPr>
    </w:p>
    <w:p>
      <w:pPr>
        <w:spacing w:after="0" w:line="334"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on which the Common Stock may be traded on the Nasdaq, or if not admitted for trading on the Nasdaq, on any day other than a Saturday, Sunday or holiday on which banks in New York City are required or permitted to be closed.</w:t>
      </w:r>
    </w:p>
    <w:p>
      <w:pPr>
        <w:spacing w:after="0" w:line="126"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Stock</w:t>
      </w:r>
      <w:r>
        <w:rPr>
          <w:rFonts w:ascii="Arial" w:cs="Arial" w:eastAsia="Arial" w:hAnsi="Arial"/>
          <w:sz w:val="17"/>
          <w:szCs w:val="17"/>
          <w:color w:val="auto"/>
        </w:rPr>
        <w:t>” means (i) with respect to any Person that is a corporation, any and all shares, interests, participations or other equivalents (however designated) of capital or capital stock of such Person and (ii) with respect to any Person that is not a corporation, any and all partnership, limited partnership, limited liability company or other equity interests of such Person.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Certificate of Rights and Preference</w:t>
      </w:r>
      <w:r>
        <w:rPr>
          <w:rFonts w:ascii="Arial" w:cs="Arial" w:eastAsia="Arial" w:hAnsi="Arial"/>
          <w:sz w:val="17"/>
          <w:szCs w:val="17"/>
          <w:color w:val="auto"/>
        </w:rPr>
        <w:t>s” means this Certificate of Rights and Preferences of the Series C Preferred Stock.</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has the meaning set forth in the Agreement.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 Notice</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6(f)(i)</w:t>
      </w:r>
      <w:r>
        <w:rPr>
          <w:rFonts w:ascii="Arial" w:cs="Arial" w:eastAsia="Arial" w:hAnsi="Arial"/>
          <w:sz w:val="17"/>
          <w:szCs w:val="17"/>
          <w:color w:val="auto"/>
        </w:rPr>
        <w:t>.</w:t>
      </w:r>
    </w:p>
    <w:p>
      <w:pPr>
        <w:spacing w:after="0" w:line="189"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 Junior Preferred Stock</w:t>
      </w:r>
      <w:r>
        <w:rPr>
          <w:rFonts w:ascii="Arial" w:cs="Arial" w:eastAsia="Arial" w:hAnsi="Arial"/>
          <w:sz w:val="17"/>
          <w:szCs w:val="17"/>
          <w:color w:val="auto"/>
        </w:rPr>
        <w:t>” means the Company’s Common Stock Equivalent Junior Preferred Stock, par value $1.00 per share, issuable pursuant to Section 6 of the Agreement, and any Capital Stock for or into which such Common Stock Equivalent Junior Preferred Stock hereafter is exchanged, converted, reclassified or recapitalized by the Company or pursuant to a Change of Control (or, at the election of the Holder, the Capital Stock of any Acquiring Person from and after the consummation of a Change of Control).</w:t>
      </w:r>
    </w:p>
    <w:p>
      <w:pPr>
        <w:spacing w:after="0" w:line="140"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means the Company’s common stock, par value $1.00 per share, and any Capital Stock for or into which such common stock hereafter is exchanged, converted, reclassified or recapitalized by the Company or pursuant to a Change of Control (or, at the election of the Holder, the Capital Stock of any Acquiring Person from and after the consummation of a Change of Control).</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United Community Banks, Inc., a Georgia corporation (or any Acquiring Person from and after the consummation of a Change of Control).</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Contingent Notice</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6(f)(iii)</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Closing Date</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6(a)(i)</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Notice</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6(a)(i)</w:t>
      </w:r>
      <w:r>
        <w:rPr>
          <w:rFonts w:ascii="Arial" w:cs="Arial" w:eastAsia="Arial" w:hAnsi="Arial"/>
          <w:sz w:val="17"/>
          <w:szCs w:val="17"/>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Notice Date</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6(a)(i)</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Price</w:t>
      </w:r>
      <w:r>
        <w:rPr>
          <w:rFonts w:ascii="Arial" w:cs="Arial" w:eastAsia="Arial" w:hAnsi="Arial"/>
          <w:sz w:val="17"/>
          <w:szCs w:val="17"/>
          <w:color w:val="auto"/>
        </w:rPr>
        <w:t>” means Six Dollars and Two Cents ($6.02), subject to adjustment as set forth herein.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Stock Amount</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6(a)(ii)</w:t>
      </w:r>
      <w:r>
        <w:rPr>
          <w:rFonts w:ascii="Arial" w:cs="Arial" w:eastAsia="Arial" w:hAnsi="Arial"/>
          <w:sz w:val="17"/>
          <w:szCs w:val="17"/>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Daily Market Price</w:t>
      </w:r>
      <w:r>
        <w:rPr>
          <w:rFonts w:ascii="Arial" w:cs="Arial" w:eastAsia="Arial" w:hAnsi="Arial"/>
          <w:sz w:val="17"/>
          <w:szCs w:val="17"/>
          <w:color w:val="auto"/>
        </w:rPr>
        <w:t>” has the meaning set forth in the Agreement.</w:t>
      </w: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100"/>
          </w:cols>
          <w:pgMar w:left="240" w:top="1440" w:right="559" w:bottom="1440" w:gutter="0" w:footer="0" w:header="0"/>
        </w:sectPr>
      </w:pPr>
    </w:p>
    <w:bookmarkStart w:id="149" w:name="page150"/>
    <w:bookmarkEnd w:id="149"/>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Dividend Payment Date</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3(a)</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Dividend Period</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3(a)</w:t>
      </w:r>
      <w:r>
        <w:rPr>
          <w:rFonts w:ascii="Arial" w:cs="Arial" w:eastAsia="Arial" w:hAnsi="Arial"/>
          <w:sz w:val="17"/>
          <w:szCs w:val="17"/>
          <w:color w:val="auto"/>
        </w:rPr>
        <w:t>.</w:t>
      </w:r>
    </w:p>
    <w:p>
      <w:pPr>
        <w:spacing w:after="0" w:line="189"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Dividend Rate</w:t>
      </w:r>
      <w:r>
        <w:rPr>
          <w:rFonts w:ascii="Arial" w:cs="Arial" w:eastAsia="Arial" w:hAnsi="Arial"/>
          <w:sz w:val="17"/>
          <w:szCs w:val="17"/>
          <w:color w:val="auto"/>
        </w:rPr>
        <w:t xml:space="preserve">” means (i) prior to receipt of the Stockholder Consent, a rate equal to One Thousand Dollars ($1,000) per share multiplied by the lesser of (a) twelve percent (12%) per annum and (b) the sum of the three (3)-month London Interbank Offer Rate (LIBOR) determined as of the first day of the Dividend Period (or if the first day of the Dividend Period is not a Business Day, then the first Business Day after the first day of the Dividend Period) plus eight percent (8%) per annum, subject to </w:t>
      </w:r>
      <w:r>
        <w:rPr>
          <w:rFonts w:ascii="Arial" w:cs="Arial" w:eastAsia="Arial" w:hAnsi="Arial"/>
          <w:sz w:val="17"/>
          <w:szCs w:val="17"/>
          <w:u w:val="single" w:color="auto"/>
          <w:color w:val="auto"/>
        </w:rPr>
        <w:t>Section 3(c)</w:t>
      </w:r>
      <w:r>
        <w:rPr>
          <w:rFonts w:ascii="Arial" w:cs="Arial" w:eastAsia="Arial" w:hAnsi="Arial"/>
          <w:sz w:val="17"/>
          <w:szCs w:val="17"/>
          <w:color w:val="auto"/>
        </w:rPr>
        <w:t xml:space="preserve">; and (ii) after receipt of the Stockholder Consent, a rate equal to One Thousand Dollars ($1,000) per share multiplied by the lesser of (a) eight percent (8%) per annum and (b) the sum of the three (3)-month London Interbank Offer Rate (LIBOR) determined as of the first day of the Dividend Period (or if the first day of the Dividend Period is not a Business Day, then the first Business Day after the first day of the Dividend Period) plus four percent (4%) per annum, subject to </w:t>
      </w:r>
      <w:r>
        <w:rPr>
          <w:rFonts w:ascii="Arial" w:cs="Arial" w:eastAsia="Arial" w:hAnsi="Arial"/>
          <w:sz w:val="17"/>
          <w:szCs w:val="17"/>
          <w:u w:val="single" w:color="auto"/>
          <w:color w:val="auto"/>
        </w:rPr>
        <w:t>Section 3(c)</w:t>
      </w:r>
      <w:r>
        <w:rPr>
          <w:rFonts w:ascii="Arial" w:cs="Arial" w:eastAsia="Arial" w:hAnsi="Arial"/>
          <w:sz w:val="17"/>
          <w:szCs w:val="17"/>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Fletcher</w:t>
      </w:r>
      <w:r>
        <w:rPr>
          <w:rFonts w:ascii="Arial" w:cs="Arial" w:eastAsia="Arial" w:hAnsi="Arial"/>
          <w:sz w:val="17"/>
          <w:szCs w:val="17"/>
          <w:color w:val="auto"/>
        </w:rPr>
        <w:t>” means Fletcher International, Ltd. a company domiciled in Bermuda, together with its successors.</w:t>
      </w:r>
    </w:p>
    <w:p>
      <w:pPr>
        <w:spacing w:after="0" w:line="189"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Holder</w:t>
      </w:r>
      <w:r>
        <w:rPr>
          <w:rFonts w:ascii="Arial" w:cs="Arial" w:eastAsia="Arial" w:hAnsi="Arial"/>
          <w:sz w:val="17"/>
          <w:szCs w:val="17"/>
          <w:color w:val="auto"/>
        </w:rPr>
        <w:t>” shall mean Fletcher and any one or more Persons to whom Fletcher sells, exchanges, transfers, assigns, gives, pledges, encumbers, hypothecates, alienates or distributes, whether directly or indirectly, any or all the Series C Preferred Stock or all or any portion of the right to purchase the Series C Preferred Stock under the Agreement.</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 Period</w:t>
      </w:r>
      <w:r>
        <w:rPr>
          <w:rFonts w:ascii="Arial" w:cs="Arial" w:eastAsia="Arial" w:hAnsi="Arial"/>
          <w:sz w:val="17"/>
          <w:szCs w:val="17"/>
          <w:color w:val="auto"/>
        </w:rPr>
        <w:t>” has the meaning set forth in the Agreement.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 Date</w:t>
      </w:r>
      <w:r>
        <w:rPr>
          <w:rFonts w:ascii="Arial" w:cs="Arial" w:eastAsia="Arial" w:hAnsi="Arial"/>
          <w:sz w:val="17"/>
          <w:szCs w:val="17"/>
          <w:color w:val="auto"/>
        </w:rPr>
        <w:t>” means with respect to any shares of Series C Preferred Stock the original date of issuance of such shares of Series C Preferred Stock.</w:t>
      </w:r>
    </w:p>
    <w:p>
      <w:pPr>
        <w:spacing w:after="0" w:line="189"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Securities</w:t>
      </w:r>
      <w:r>
        <w:rPr>
          <w:rFonts w:ascii="Arial" w:cs="Arial" w:eastAsia="Arial" w:hAnsi="Arial"/>
          <w:sz w:val="17"/>
          <w:szCs w:val="17"/>
          <w:color w:val="auto"/>
        </w:rPr>
        <w:t>” means Capital Stock that, with respect to dividends and distributions upon Liquidation, ranks junior to the Series C Preferred Stock, including but not limited to Common Stock, Common Stock Equivalent Junior Preferred Stock and any other class or series of Capital Stock issued by the Company or any Subsidiary of the Company on or after the date of the Agreement, but excluding any Parity Securities and Senior Securities issued (i) to Fletcher or its authorized assignees under the Agreement, (ii) with the approval of the Holders of a Majority of the Series C Preferred Stock or (iii) upon the conversion, redemption or exercise of securities described in clause (i) or (ii) in accordance with the terms thereof.</w:t>
      </w:r>
    </w:p>
    <w:p>
      <w:pPr>
        <w:spacing w:after="0" w:line="142"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Liquidation</w:t>
      </w:r>
      <w:r>
        <w:rPr>
          <w:rFonts w:ascii="Arial" w:cs="Arial" w:eastAsia="Arial" w:hAnsi="Arial"/>
          <w:sz w:val="17"/>
          <w:szCs w:val="17"/>
          <w:color w:val="auto"/>
        </w:rPr>
        <w:t xml:space="preserve">” means the voluntary or involuntary liquidation, dissolution or winding up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consolidation, merger or share exchange shall not be deemed a Liquidation, nor shall a sale, assignment, conveyance, transfer, lease or other disposition by the Company of all or substantially all of its assets, which does not involve a distribution by the Company of cash or other property to the holders of Common Stock and Common Stock Equivalent Junior Preferred Stock, be deemed to be a Liquidation.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50" w:name="page151"/>
    <w:bookmarkEnd w:id="150"/>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Liquidation Preference</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4</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Majority of the Series C Preferred Stock</w:t>
      </w:r>
      <w:r>
        <w:rPr>
          <w:rFonts w:ascii="Arial" w:cs="Arial" w:eastAsia="Arial" w:hAnsi="Arial"/>
          <w:sz w:val="17"/>
          <w:szCs w:val="17"/>
          <w:color w:val="auto"/>
        </w:rPr>
        <w:t>” means more than fifty percent (50%) of the then outstanding shares of Series C Preferred Stock.</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Maximum Number</w:t>
      </w:r>
      <w:r>
        <w:rPr>
          <w:rFonts w:ascii="Arial" w:cs="Arial" w:eastAsia="Arial" w:hAnsi="Arial"/>
          <w:sz w:val="17"/>
          <w:szCs w:val="17"/>
          <w:color w:val="auto"/>
        </w:rPr>
        <w:t>” has the meaning set forth in the Agreement.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Nasdaq</w:t>
      </w:r>
      <w:r>
        <w:rPr>
          <w:rFonts w:ascii="Arial" w:cs="Arial" w:eastAsia="Arial" w:hAnsi="Arial"/>
          <w:sz w:val="17"/>
          <w:szCs w:val="17"/>
          <w:color w:val="auto"/>
        </w:rPr>
        <w:t>” has the meaning set forth in the Agreement.</w:t>
      </w:r>
    </w:p>
    <w:p>
      <w:pPr>
        <w:spacing w:after="0" w:line="176"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Ordinary Cash Dividend</w:t>
      </w:r>
      <w:r>
        <w:rPr>
          <w:rFonts w:ascii="Arial" w:cs="Arial" w:eastAsia="Arial" w:hAnsi="Arial"/>
          <w:sz w:val="17"/>
          <w:szCs w:val="17"/>
          <w:color w:val="auto"/>
        </w:rPr>
        <w:t>” means all quarterly cash dividends out of capital surplus or retained earnings legally available therefore (determined in accordance with generally accepted accounting principles, consistently applied), in an amount and frequency consistent with past practice.</w:t>
      </w:r>
    </w:p>
    <w:p>
      <w:pPr>
        <w:spacing w:after="0" w:line="13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w:t>
      </w:r>
      <w:r>
        <w:rPr>
          <w:rFonts w:ascii="Arial" w:cs="Arial" w:eastAsia="Arial" w:hAnsi="Arial"/>
          <w:sz w:val="17"/>
          <w:szCs w:val="17"/>
          <w:color w:val="auto"/>
        </w:rPr>
        <w:t>” means, as to any Acquiring Person, any Person that (i) controls the Acquiring Person directly or indirectly through one or more intermediaries, (ii) is required to include the Acquiring Person in the consolidated financial statements contained in such Parent’s Annual Report on Form 10-K (if the Parent is required to file such a report) or would be required to so include the Acquiring Person in such Parent’s consolidated financial statements if they were prepared in accordance with U.S. generally accepted accounting principles and (iii) is not itself included in the consolidated financial statements of any other Person (other than its consolidated subsidiaries).</w:t>
      </w:r>
    </w:p>
    <w:p>
      <w:pPr>
        <w:spacing w:after="0" w:line="142" w:lineRule="exact"/>
        <w:rPr>
          <w:sz w:val="20"/>
          <w:szCs w:val="20"/>
          <w:color w:val="auto"/>
        </w:rPr>
      </w:pPr>
    </w:p>
    <w:p>
      <w:pPr>
        <w:ind w:right="62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Parity Securities</w:t>
      </w:r>
      <w:r>
        <w:rPr>
          <w:rFonts w:ascii="Arial" w:cs="Arial" w:eastAsia="Arial" w:hAnsi="Arial"/>
          <w:sz w:val="17"/>
          <w:szCs w:val="17"/>
          <w:color w:val="auto"/>
        </w:rPr>
        <w:t xml:space="preserve">” means any class or series of Capital Stock that, with respect to dividends or distributions upon Liquidation,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Series C Preferred Stock.</w:t>
      </w:r>
    </w:p>
    <w:p>
      <w:pPr>
        <w:spacing w:after="0" w:line="126" w:lineRule="exact"/>
        <w:rPr>
          <w:sz w:val="20"/>
          <w:szCs w:val="20"/>
          <w:color w:val="auto"/>
        </w:rPr>
      </w:pPr>
    </w:p>
    <w:p>
      <w:pPr>
        <w:ind w:right="42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or a corporation, partnership, trust, incorporated or unincorporated association, limited liability company, joint venture, joint stock company, government (or an agency or political subdivision thereof) or other entity of any kind.</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Preferred Stock</w:t>
      </w:r>
      <w:r>
        <w:rPr>
          <w:rFonts w:ascii="Arial" w:cs="Arial" w:eastAsia="Arial" w:hAnsi="Arial"/>
          <w:sz w:val="17"/>
          <w:szCs w:val="17"/>
          <w:color w:val="auto"/>
        </w:rPr>
        <w:t>” means the Company’s preferred stock authorized pursuant to the provisions of the Articles of Incorporation.</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Prevailing Market Price</w:t>
      </w:r>
      <w:r>
        <w:rPr>
          <w:rFonts w:ascii="Arial" w:cs="Arial" w:eastAsia="Arial" w:hAnsi="Arial"/>
          <w:sz w:val="16"/>
          <w:szCs w:val="16"/>
          <w:color w:val="auto"/>
        </w:rPr>
        <w:t xml:space="preserve">” means, with respect to any reference date, the average of the Daily Market Prices of the Common Stock (or, for purposes of determining the Prevailing Market Price of the common stock of an Acquiring Person or its Parent under </w:t>
      </w:r>
      <w:r>
        <w:rPr>
          <w:rFonts w:ascii="Arial" w:cs="Arial" w:eastAsia="Arial" w:hAnsi="Arial"/>
          <w:sz w:val="16"/>
          <w:szCs w:val="16"/>
          <w:u w:val="single" w:color="auto"/>
          <w:color w:val="auto"/>
        </w:rPr>
        <w:t>Section 6(f)</w:t>
      </w:r>
      <w:r>
        <w:rPr>
          <w:rFonts w:ascii="Arial" w:cs="Arial" w:eastAsia="Arial" w:hAnsi="Arial"/>
          <w:sz w:val="16"/>
          <w:szCs w:val="16"/>
          <w:color w:val="auto"/>
        </w:rPr>
        <w:t>, the common stock of such Acquiring Person or such Parent) for the twenty-five (25) Business Days ending on and including the third (3rd) Business Day before such reference date.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Redemption Closing Date</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6(b)(i)</w:t>
      </w:r>
      <w:r>
        <w:rPr>
          <w:rFonts w:ascii="Arial" w:cs="Arial" w:eastAsia="Arial" w:hAnsi="Arial"/>
          <w:sz w:val="17"/>
          <w:szCs w:val="17"/>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Redemption Notice</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6(b)(i)</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Redemption Price</w:t>
      </w:r>
      <w:r>
        <w:rPr>
          <w:rFonts w:ascii="Arial" w:cs="Arial" w:eastAsia="Arial" w:hAnsi="Arial"/>
          <w:sz w:val="17"/>
          <w:szCs w:val="17"/>
          <w:color w:val="auto"/>
        </w:rPr>
        <w:t>” means Five Dollars and Twenty-Five Cents ($5.25), subject to adjustment as set forth herein.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Redemption Stock Amount</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6(b)(ii)</w:t>
      </w:r>
      <w:r>
        <w:rPr>
          <w:rFonts w:ascii="Arial" w:cs="Arial" w:eastAsia="Arial" w:hAnsi="Arial"/>
          <w:sz w:val="17"/>
          <w:szCs w:val="17"/>
          <w:color w:val="auto"/>
        </w:rPr>
        <w: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51" w:name="page152"/>
    <w:bookmarkEnd w:id="151"/>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Restatement</w:t>
      </w:r>
      <w:r>
        <w:rPr>
          <w:rFonts w:ascii="Arial" w:cs="Arial" w:eastAsia="Arial" w:hAnsi="Arial"/>
          <w:sz w:val="17"/>
          <w:szCs w:val="17"/>
          <w:color w:val="auto"/>
        </w:rPr>
        <w:t>” has the meaning set forth in the Agreement.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w:t>
      </w:r>
      <w:r>
        <w:rPr>
          <w:rFonts w:ascii="Arial" w:cs="Arial" w:eastAsia="Arial" w:hAnsi="Arial"/>
          <w:sz w:val="17"/>
          <w:szCs w:val="17"/>
          <w:color w:val="auto"/>
        </w:rPr>
        <w:t>” means the Securities and Exchange Commission.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Securities Act of 1933, as amended, or any successor statute, and the rules and regulations promulgated thereunder.</w:t>
      </w:r>
    </w:p>
    <w:p>
      <w:pPr>
        <w:spacing w:after="0" w:line="176"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Securities</w:t>
      </w:r>
      <w:r>
        <w:rPr>
          <w:rFonts w:ascii="Arial" w:cs="Arial" w:eastAsia="Arial" w:hAnsi="Arial"/>
          <w:sz w:val="17"/>
          <w:szCs w:val="17"/>
          <w:color w:val="auto"/>
        </w:rPr>
        <w:t>” means any class or series of Capital Stock that, with respect to dividends or distributions upon Liquidation, ranks senior to the Series C Preferred Stock.</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C Preferred Stock</w:t>
      </w:r>
      <w:r>
        <w:rPr>
          <w:rFonts w:ascii="Arial" w:cs="Arial" w:eastAsia="Arial" w:hAnsi="Arial"/>
          <w:sz w:val="17"/>
          <w:szCs w:val="17"/>
          <w:color w:val="auto"/>
        </w:rPr>
        <w:t xml:space="preserve">” means the Series C Convertible Preferred Stock of the Company or successor as contemplated by </w:t>
      </w:r>
      <w:r>
        <w:rPr>
          <w:rFonts w:ascii="Arial" w:cs="Arial" w:eastAsia="Arial" w:hAnsi="Arial"/>
          <w:sz w:val="17"/>
          <w:szCs w:val="17"/>
          <w:u w:val="single" w:color="auto"/>
          <w:color w:val="auto"/>
        </w:rPr>
        <w:t>Section 6(f)</w:t>
      </w:r>
      <w:r>
        <w:rPr>
          <w:rFonts w:ascii="Arial" w:cs="Arial" w:eastAsia="Arial" w:hAnsi="Arial"/>
          <w:sz w:val="17"/>
          <w:szCs w:val="17"/>
          <w:color w:val="auto"/>
        </w:rPr>
        <w:t>.</w:t>
      </w:r>
    </w:p>
    <w:p>
      <w:pPr>
        <w:spacing w:after="0" w:line="189"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Stated Value</w:t>
      </w:r>
      <w:r>
        <w:rPr>
          <w:rFonts w:ascii="Arial" w:cs="Arial" w:eastAsia="Arial" w:hAnsi="Arial"/>
          <w:sz w:val="15"/>
          <w:szCs w:val="15"/>
          <w:color w:val="auto"/>
        </w:rPr>
        <w:t xml:space="preserve">” is an amount equal to One Thousand Dollars ($1,000) per share of Series C Preferred Stock plus (x) any unpaid dividends on the Series C Preferred Stock (as of the date of determination, which for purposes of </w:t>
      </w:r>
      <w:r>
        <w:rPr>
          <w:rFonts w:ascii="Arial" w:cs="Arial" w:eastAsia="Arial" w:hAnsi="Arial"/>
          <w:sz w:val="15"/>
          <w:szCs w:val="15"/>
          <w:u w:val="single" w:color="auto"/>
          <w:color w:val="auto"/>
        </w:rPr>
        <w:t>Sections 6(a)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6(b)</w:t>
      </w:r>
      <w:r>
        <w:rPr>
          <w:rFonts w:ascii="Arial" w:cs="Arial" w:eastAsia="Arial" w:hAnsi="Arial"/>
          <w:sz w:val="15"/>
          <w:szCs w:val="15"/>
          <w:color w:val="auto"/>
        </w:rPr>
        <w:t xml:space="preserve"> shall be the Conversion Closing Date and Redemption Closing Date, respectively), whether or not declared and whether or not earnings are available in respect of such dividends (i.e., the Stated Value shall increase in each Dividend Period by the Dividend Rate if and to the extent that dividends for such Dividend Period are not declared and paid by the respective Dividend Payment Date) and (y) any unpaid dividends declared on the Common Stock and Common Stock Equivalent Junior Preferred Stock in an amount equal to the product of (A) the per-share dividend other than the Ordinary Cash Dividend paid on Common Stock and Common Stock Equivalent Junior Preferred Stock multiplied by (B) the number of shares of Common Stock and/or the number of one-hundredths of a share of Common Stock Equivalent Junior Preferred Stock issuable upon redemption or conversion (whichever number of shares is greater) of a share of Series C Preferred Stock on the date such dividend is declared on the Common Stock and Common Stock Equivalent Junior Preferred Stock. In the event the Company shall declare a distribution on the Common Stock and Common Stock Equivalent Junior Preferred Stock payable in securities or property other than cash, the value of such securities or property will be the fair market value. Any securities shall be valued as follows: (i) if traded on a national securities exchange (as defined in the Exchange Act), the value shall be deemed to be the average of the closing prices of the securities on such exchange or system over the twenty-five (25) Business Day period ending three (3) calendar days prior to such declaration; (ii) if actively traded over-the-counter, the value shall be deemed to be the average of the closing bid or sale prices (whichever is applicable) over the twenty-five (25) Business Day period ending three (3) calendar days prior to such declaration; and (iii) if there is no active public market, the value shall be the fair market value thereof, as determined in good faith by the Board.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Stockholder Consent</w:t>
      </w:r>
      <w:r>
        <w:rPr>
          <w:rFonts w:ascii="Arial" w:cs="Arial" w:eastAsia="Arial" w:hAnsi="Arial"/>
          <w:sz w:val="17"/>
          <w:szCs w:val="17"/>
          <w:color w:val="auto"/>
        </w:rPr>
        <w:t>” has the meaning set forth in the Agreement.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Stockholder Consent Date</w:t>
      </w:r>
      <w:r>
        <w:rPr>
          <w:rFonts w:ascii="Arial" w:cs="Arial" w:eastAsia="Arial" w:hAnsi="Arial"/>
          <w:sz w:val="17"/>
          <w:szCs w:val="17"/>
          <w:color w:val="auto"/>
        </w:rPr>
        <w:t>” has the meaning set forth in the Agreement.</w:t>
      </w:r>
    </w:p>
    <w:p>
      <w:pPr>
        <w:spacing w:after="0" w:line="189" w:lineRule="exact"/>
        <w:rPr>
          <w:sz w:val="20"/>
          <w:szCs w:val="20"/>
          <w:color w:val="auto"/>
        </w:rPr>
      </w:pPr>
    </w:p>
    <w:p>
      <w:pPr>
        <w:ind w:right="160"/>
        <w:spacing w:after="0" w:line="31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of a Person means (i) a corporation, a majority of whose stock with voting power, under ordinary circumstances, to elect directors is at the time of determination, directly or indirectly, owned by such Person or by one or more Subsidiaries of such Person, or (ii) any other entity (other than a corporation) in which such Person or one or more Subsidiaries of such Person, directly or indirectly, at the date of determination thereof has a least a majority ownership interest.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2" w:name="page153"/>
    <w:bookmarkEnd w:id="152"/>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The foregoing definitions will be equally applicable to both the singular and plural forms of the defined terms.</w:t>
      </w:r>
    </w:p>
    <w:p>
      <w:pPr>
        <w:spacing w:after="0" w:line="176" w:lineRule="exact"/>
        <w:rPr>
          <w:sz w:val="20"/>
          <w:szCs w:val="20"/>
          <w:color w:val="auto"/>
        </w:rPr>
      </w:pPr>
    </w:p>
    <w:p>
      <w:pPr>
        <w:ind w:left="180" w:hanging="177"/>
        <w:spacing w:after="0"/>
        <w:tabs>
          <w:tab w:leader="none" w:pos="180"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Dividends and Distributions</w:t>
      </w:r>
      <w:r>
        <w:rPr>
          <w:rFonts w:ascii="Arial" w:cs="Arial" w:eastAsia="Arial" w:hAnsi="Arial"/>
          <w:sz w:val="17"/>
          <w:szCs w:val="17"/>
          <w:color w:val="auto"/>
        </w:rPr>
        <w:t>.</w:t>
      </w:r>
    </w:p>
    <w:p>
      <w:pPr>
        <w:spacing w:after="0" w:line="189" w:lineRule="exact"/>
        <w:rPr>
          <w:sz w:val="20"/>
          <w:szCs w:val="20"/>
          <w:color w:val="auto"/>
        </w:rPr>
      </w:pPr>
    </w:p>
    <w:p>
      <w:pPr>
        <w:ind w:firstLine="3"/>
        <w:spacing w:after="0" w:line="288" w:lineRule="auto"/>
        <w:tabs>
          <w:tab w:leader="none" w:pos="232" w:val="left"/>
        </w:tabs>
        <w:numPr>
          <w:ilvl w:val="0"/>
          <w:numId w:val="150"/>
        </w:numPr>
        <w:rPr>
          <w:rFonts w:ascii="Arial" w:cs="Arial" w:eastAsia="Arial" w:hAnsi="Arial"/>
          <w:sz w:val="15"/>
          <w:szCs w:val="15"/>
          <w:color w:val="auto"/>
        </w:rPr>
      </w:pPr>
      <w:r>
        <w:rPr>
          <w:rFonts w:ascii="Arial" w:cs="Arial" w:eastAsia="Arial" w:hAnsi="Arial"/>
          <w:sz w:val="15"/>
          <w:szCs w:val="15"/>
          <w:color w:val="auto"/>
        </w:rPr>
        <w:t xml:space="preserve">Holders shall be entitled to receive out of the assets of the Company legally available for that purpose, cash dividends at the Dividend Rate to be paid in accordance with the terms of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In addition, Holders for each share of Series C Preferred Stock then owned by such Holder shall be entitled to receive out of the assets of the Company legally available for that purpose, dividends or other distributions declared on the Common Stock and Common Stock Equivalent Junior Preferred Stock in the same form as such dividends or distributions in an amount equal to the product of (x) the amount of any per-share dividend or distribution other than the Ordinary Cash Dividends paid on the Common Stock and Common Stock Equivalent Junior Preferred Stock multiplied by (y) the number of shares of Common Stock and/or the number of one-hundredths of a share of Common Stock Equivalent Junior Preferred Stock issuable upon redemption or conversion (whichever number of shares is greater) of a share of the Series C Preferred Shares on the date such dividend is declared, to be paid in accordance with the terms of this </w:t>
      </w:r>
      <w:r>
        <w:rPr>
          <w:rFonts w:ascii="Arial" w:cs="Arial" w:eastAsia="Arial" w:hAnsi="Arial"/>
          <w:sz w:val="15"/>
          <w:szCs w:val="15"/>
          <w:u w:val="single" w:color="auto"/>
          <w:color w:val="auto"/>
        </w:rPr>
        <w:t>Section 3</w:t>
      </w:r>
      <w:r>
        <w:rPr>
          <w:rFonts w:ascii="Arial" w:cs="Arial" w:eastAsia="Arial" w:hAnsi="Arial"/>
          <w:sz w:val="15"/>
          <w:szCs w:val="15"/>
          <w:color w:val="auto"/>
        </w:rPr>
        <w:t>. Such dividends shall be payable quarterly in arrears, when and as declared by the Board (or a duly appointed committee of directors), on April 15, July 15, October 15 and January 15 of each year commencing on April 15, 2010 and, in the case of dividends resulting from dividends or distributions declared on Common Stock and Common Stock Equivalent Junior Preferred Stock, no later than the date on which such dividends or distributions are paid to holders of the Common Stock and Common Stock Equivalent Junior Preferred Stock (each such date being herein referred to as a “</w:t>
      </w:r>
      <w:r>
        <w:rPr>
          <w:rFonts w:ascii="Arial" w:cs="Arial" w:eastAsia="Arial" w:hAnsi="Arial"/>
          <w:sz w:val="15"/>
          <w:szCs w:val="15"/>
          <w:u w:val="single" w:color="auto"/>
          <w:color w:val="auto"/>
        </w:rPr>
        <w:t>Dividend Payment Date</w:t>
      </w:r>
      <w:r>
        <w:rPr>
          <w:rFonts w:ascii="Arial" w:cs="Arial" w:eastAsia="Arial" w:hAnsi="Arial"/>
          <w:sz w:val="15"/>
          <w:szCs w:val="15"/>
          <w:color w:val="auto"/>
        </w:rPr>
        <w:t>”). The period from the Issue Date to March 31, 2010, and each quarterly period between consecutive Dividend Payment Dates shall hereinafter be referred to as a “</w:t>
      </w:r>
      <w:r>
        <w:rPr>
          <w:rFonts w:ascii="Arial" w:cs="Arial" w:eastAsia="Arial" w:hAnsi="Arial"/>
          <w:sz w:val="15"/>
          <w:szCs w:val="15"/>
          <w:u w:val="single" w:color="auto"/>
          <w:color w:val="auto"/>
        </w:rPr>
        <w:t>Dividend Period</w:t>
      </w:r>
      <w:r>
        <w:rPr>
          <w:rFonts w:ascii="Arial" w:cs="Arial" w:eastAsia="Arial" w:hAnsi="Arial"/>
          <w:sz w:val="15"/>
          <w:szCs w:val="15"/>
          <w:color w:val="auto"/>
        </w:rPr>
        <w:t>.” The dividend for any Dividend Period for any share of Series C Preferred Stock that is not outstanding on every calendar day of the Dividend Period shall be prorated based on the number of calendar days such share was outstanding during the period. Each such dividend shall be paid to the Holders of record of the Series C Preferred Stock as their names appear on the share register of the Company on the Dividend Payment Date. Dividends on account of arrears for any past Dividend Periods may be declared and paid at any time, without reference to any Dividend Payment Date (including, without limitation, for purposes of computing the Stated Value of any shares of Series C Preferred Stock in connection with the conversion or redemption thereof or any Liquidation of the Company), to Holders of record on a date designated by the Board, not exceeding thirty (30) calendar days preceding the payment date thereof, as may be fixed by the Board. For purposes of determining the amount of dividends accrued as of the first Dividend Payment Date and as of any date that is not a Dividend Payment Date, such amount shall be calculated on the basis of the Dividend Rate for the actual number of calendar days elapsed from and including the Issue Date (in case of the first Dividend Payment Date and any date prior to the first Dividend Payment Date) or the last preceding Dividend Payment Date (in case of any other date) to the date as of which such determination is to be made, based on a three hundred sixty five (365) day year.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53" w:name="page154"/>
    <w:bookmarkEnd w:id="153"/>
    <w:p>
      <w:pPr>
        <w:spacing w:after="0" w:line="200" w:lineRule="exact"/>
        <w:rPr>
          <w:sz w:val="20"/>
          <w:szCs w:val="20"/>
          <w:color w:val="auto"/>
        </w:rPr>
      </w:pPr>
    </w:p>
    <w:p>
      <w:pPr>
        <w:spacing w:after="0" w:line="334" w:lineRule="exact"/>
        <w:rPr>
          <w:sz w:val="20"/>
          <w:szCs w:val="20"/>
          <w:color w:val="auto"/>
        </w:rPr>
      </w:pPr>
    </w:p>
    <w:p>
      <w:pPr>
        <w:ind w:right="60" w:firstLine="3"/>
        <w:spacing w:after="0" w:line="297" w:lineRule="auto"/>
        <w:tabs>
          <w:tab w:leader="none" w:pos="242" w:val="left"/>
        </w:tabs>
        <w:numPr>
          <w:ilvl w:val="0"/>
          <w:numId w:val="151"/>
        </w:numPr>
        <w:rPr>
          <w:rFonts w:ascii="Arial" w:cs="Arial" w:eastAsia="Arial" w:hAnsi="Arial"/>
          <w:sz w:val="15"/>
          <w:szCs w:val="15"/>
          <w:color w:val="auto"/>
        </w:rPr>
      </w:pPr>
      <w:r>
        <w:rPr>
          <w:rFonts w:ascii="Arial" w:cs="Arial" w:eastAsia="Arial" w:hAnsi="Arial"/>
          <w:sz w:val="15"/>
          <w:szCs w:val="15"/>
          <w:color w:val="auto"/>
        </w:rPr>
        <w:t>So long as any shares of the Series C Preferred Stock shall be outstanding, (i) the Company shall not and shall not allow its Subsidiaries (other than direct or indirect wholly-owned Subsidiaries) to declare or pay any dividend whatsoever, whether in cash, property or otherwise, set aside any cash or property for the payment of any dividends, or make any other distribution on any Junior Securities or Parity Securities and (ii) the Company shall not and shall not allow its Subsidiaries to repurchase, redeem or otherwise acquire for value or set aside any cash or property for the repurchase or redemption of any Junior Securities or Parity Securities, unless in each such case all dividends to which the Holders of the Series C Preferred Stock shall have been entitled to receive for all previous Dividend Periods shall have been paid and dividends on the Series C Preferred Stock for the subsequent four Dividend Periods shall have been designated and set aside in cash.</w:t>
      </w:r>
    </w:p>
    <w:p>
      <w:pPr>
        <w:spacing w:after="0" w:line="116" w:lineRule="exact"/>
        <w:rPr>
          <w:rFonts w:ascii="Arial" w:cs="Arial" w:eastAsia="Arial" w:hAnsi="Arial"/>
          <w:sz w:val="15"/>
          <w:szCs w:val="15"/>
          <w:color w:val="auto"/>
        </w:rPr>
      </w:pPr>
    </w:p>
    <w:p>
      <w:pPr>
        <w:ind w:firstLine="3"/>
        <w:spacing w:after="0" w:line="305" w:lineRule="auto"/>
        <w:tabs>
          <w:tab w:leader="none" w:pos="232" w:val="left"/>
        </w:tabs>
        <w:numPr>
          <w:ilvl w:val="0"/>
          <w:numId w:val="151"/>
        </w:numPr>
        <w:rPr>
          <w:rFonts w:ascii="Arial" w:cs="Arial" w:eastAsia="Arial" w:hAnsi="Arial"/>
          <w:sz w:val="15"/>
          <w:szCs w:val="15"/>
          <w:color w:val="auto"/>
        </w:rPr>
      </w:pPr>
      <w:r>
        <w:rPr>
          <w:rFonts w:ascii="Arial" w:cs="Arial" w:eastAsia="Arial" w:hAnsi="Arial"/>
          <w:sz w:val="15"/>
          <w:szCs w:val="15"/>
          <w:color w:val="auto"/>
        </w:rPr>
        <w:t xml:space="preserve">Notwithstanding anything herein to the contrary, whenever, at any time or times after the Company has obtained the approval of the stockholders of the Company to increase the authorized number of shares of Common Stock, the Company shall fail to redeem any Series C Preferred Stock by the date it is obligated to do so under </w:t>
      </w:r>
      <w:r>
        <w:rPr>
          <w:rFonts w:ascii="Arial" w:cs="Arial" w:eastAsia="Arial" w:hAnsi="Arial"/>
          <w:sz w:val="15"/>
          <w:szCs w:val="15"/>
          <w:u w:val="single" w:color="auto"/>
          <w:color w:val="auto"/>
        </w:rPr>
        <w:t>Section 6(b)</w:t>
      </w:r>
      <w:r>
        <w:rPr>
          <w:rFonts w:ascii="Arial" w:cs="Arial" w:eastAsia="Arial" w:hAnsi="Arial"/>
          <w:sz w:val="15"/>
          <w:szCs w:val="15"/>
          <w:color w:val="auto"/>
        </w:rPr>
        <w:t xml:space="preserve"> hereof and such failure is ongoing, then (x) the Dividend Rate with respect to such Series C Preferred Stock that is subject to such redemption shall mean a rate equal to twenty two percent (22%) per annum times the Stated Value until such date that the failure to redeem no longer exists.</w:t>
      </w:r>
    </w:p>
    <w:p>
      <w:pPr>
        <w:spacing w:after="0" w:line="123" w:lineRule="exact"/>
        <w:rPr>
          <w:rFonts w:ascii="Arial" w:cs="Arial" w:eastAsia="Arial" w:hAnsi="Arial"/>
          <w:sz w:val="15"/>
          <w:szCs w:val="15"/>
          <w:color w:val="auto"/>
        </w:rPr>
      </w:pPr>
    </w:p>
    <w:p>
      <w:pPr>
        <w:ind w:right="120" w:firstLine="3"/>
        <w:spacing w:after="0" w:line="346" w:lineRule="auto"/>
        <w:tabs>
          <w:tab w:leader="none" w:pos="239"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Company shall be entitled to deduct and withhold from any dividend on the Series C Preferred Stock such amounts as the Company is required to deduct and withhold with respect to such dividend under the Internal Revenue Code of 1986, as amended, or any other provision of state, local or foreign tax law.</w:t>
      </w:r>
    </w:p>
    <w:p>
      <w:pPr>
        <w:spacing w:after="0" w:line="80" w:lineRule="exact"/>
        <w:rPr>
          <w:sz w:val="20"/>
          <w:szCs w:val="20"/>
          <w:color w:val="auto"/>
        </w:rPr>
      </w:pPr>
    </w:p>
    <w:p>
      <w:pPr>
        <w:ind w:right="40" w:firstLine="3"/>
        <w:spacing w:after="0" w:line="274" w:lineRule="auto"/>
        <w:tabs>
          <w:tab w:leader="none" w:pos="171"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Liquidation Preference</w:t>
      </w:r>
      <w:r>
        <w:rPr>
          <w:rFonts w:ascii="Arial" w:cs="Arial" w:eastAsia="Arial" w:hAnsi="Arial"/>
          <w:sz w:val="16"/>
          <w:szCs w:val="16"/>
          <w:color w:val="auto"/>
        </w:rPr>
        <w:t xml:space="preserve">. In the event of any Liquidation, after payment or provision for payment by the Company of the debts and other liabilities of the Company and the liquidation preference of any Senior Securities that rank senior to the Series C Preferred Stock with respect to distributions upon Liquidation, each Holder shall be entitled to receive an amount in cash for each share of the then outstanding Series C Preferred Stock held by such Holder equal to the greater of (a) the Stated Value per share to and including the date full payment is tendered to the Holders with respect to such Liquidation and (b) the amount the Holders would have received if the Holders had converted all outstanding shares of Series C Preferred Stock into Common Stock and/or Common Stock Equivalent Junior Preferred Stock in accordance with the provisions of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hereof or redeemed all outstanding shares of Series C Preferred Stock into Common Stock and/or Common Stock Equivalent Junior Preferred Stock under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hereof (whichever is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4" w:name="page155"/>
    <w:bookmarkEnd w:id="154"/>
    <w:p>
      <w:pPr>
        <w:spacing w:after="0" w:line="200" w:lineRule="exact"/>
        <w:rPr>
          <w:sz w:val="20"/>
          <w:szCs w:val="20"/>
          <w:color w:val="auto"/>
        </w:rPr>
      </w:pPr>
    </w:p>
    <w:p>
      <w:pPr>
        <w:spacing w:after="0" w:line="334"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greater), in each case as of the Business Day immediately preceding the date of such Liquidation (such greater amount being referred to herein as the “</w:t>
      </w:r>
      <w:r>
        <w:rPr>
          <w:rFonts w:ascii="Arial" w:cs="Arial" w:eastAsia="Arial" w:hAnsi="Arial"/>
          <w:sz w:val="15"/>
          <w:szCs w:val="15"/>
          <w:u w:val="single" w:color="auto"/>
          <w:color w:val="auto"/>
        </w:rPr>
        <w:t>Liquidation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Preference</w:t>
      </w:r>
      <w:r>
        <w:rPr>
          <w:rFonts w:ascii="Arial" w:cs="Arial" w:eastAsia="Arial" w:hAnsi="Arial"/>
          <w:sz w:val="15"/>
          <w:szCs w:val="15"/>
          <w:color w:val="auto"/>
        </w:rPr>
        <w:t xml:space="preserve">”), before any distribution shall be made to the holders of any Junior Securities (and any Senior Securities or Parity Securities that, with respect to distributions upon Liquidation, rank junior to the Series C Preferred Stock) upon the Liquidation of the Company. In case the assets of the Company available for payment to the Holders are insufficient to pay the full Liquidation Preference on all outstanding shares of the Series C Preferred Stock and all outstanding shares of Parity Securities and Senior Securities that, with respect to distributions upon Liquidation, are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the Series C Preferred Stock in the amounts to which the holders of such shares are entitled, then the entire assets of the Company available for payment to the Holders and to the holders of such Parity Securities and Senior Securities shall be distributed ratably among the Holders of the Series C Preferred Stock and the holders of such Parity Securities and Senior Securities, based upon the aggregate amount due on such shares upon Liquidation. Written notice of any Liquidation of the Company, stating a payment date and the place where the distributable amounts shall be payable, shall be given by facsimile and overnight delivery not less than ten (10) calendar days prior to the payment date stated therein, to the Holders of record of the Series C Preferred Stock, if any, at their respective addresses as the same shall appear on the books of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 </w:t>
      </w:r>
      <w:r>
        <w:rPr>
          <w:rFonts w:ascii="Arial" w:cs="Arial" w:eastAsia="Arial" w:hAnsi="Arial"/>
          <w:sz w:val="17"/>
          <w:szCs w:val="17"/>
          <w:u w:val="single" w:color="auto"/>
          <w:color w:val="auto"/>
        </w:rPr>
        <w:t>Voting Rights</w:t>
      </w:r>
      <w:r>
        <w:rPr>
          <w:rFonts w:ascii="Arial" w:cs="Arial" w:eastAsia="Arial" w:hAnsi="Arial"/>
          <w:sz w:val="17"/>
          <w:szCs w:val="17"/>
          <w:color w:val="auto"/>
        </w:rPr>
        <w:t>. The Holders shall have the following voting rights with respect to the Series C Preferred Stock:</w:t>
      </w:r>
    </w:p>
    <w:p>
      <w:pPr>
        <w:spacing w:after="0" w:line="189" w:lineRule="exact"/>
        <w:rPr>
          <w:sz w:val="20"/>
          <w:szCs w:val="20"/>
          <w:color w:val="auto"/>
        </w:rPr>
      </w:pPr>
    </w:p>
    <w:p>
      <w:pPr>
        <w:ind w:firstLine="3"/>
        <w:spacing w:after="0" w:line="277" w:lineRule="auto"/>
        <w:tabs>
          <w:tab w:leader="none" w:pos="232"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Each share of Series C Preferred Stock shall entitle the holder thereof to the voting rights specified in </w:t>
      </w:r>
      <w:r>
        <w:rPr>
          <w:rFonts w:ascii="Arial" w:cs="Arial" w:eastAsia="Arial" w:hAnsi="Arial"/>
          <w:sz w:val="17"/>
          <w:szCs w:val="17"/>
          <w:u w:val="single" w:color="auto"/>
          <w:color w:val="auto"/>
        </w:rPr>
        <w:t>Section 5(b)</w:t>
      </w:r>
      <w:r>
        <w:rPr>
          <w:rFonts w:ascii="Arial" w:cs="Arial" w:eastAsia="Arial" w:hAnsi="Arial"/>
          <w:sz w:val="17"/>
          <w:szCs w:val="17"/>
          <w:color w:val="auto"/>
        </w:rPr>
        <w:t xml:space="preserve"> and no other voting rights except as required by law.</w:t>
      </w:r>
    </w:p>
    <w:p>
      <w:pPr>
        <w:spacing w:after="0" w:line="125" w:lineRule="exact"/>
        <w:rPr>
          <w:rFonts w:ascii="Arial" w:cs="Arial" w:eastAsia="Arial" w:hAnsi="Arial"/>
          <w:sz w:val="17"/>
          <w:szCs w:val="17"/>
          <w:color w:val="auto"/>
        </w:rPr>
      </w:pPr>
    </w:p>
    <w:p>
      <w:pPr>
        <w:ind w:firstLine="3"/>
        <w:spacing w:after="0" w:line="258" w:lineRule="auto"/>
        <w:tabs>
          <w:tab w:leader="none" w:pos="239"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consent of the Holders of at least a Majority of the Series C Preferred Stock, voting separately as a single class with one vote per share, in person or by proxy, either in writing without a meeting or at an annual or a special meeting of such Holders called for the purpose, shall be necessary to amend, alter or repeal, by way of merger or otherwise, any of the provisions of the Articles of Incorporation, including the Certificate of Rights and Preferences, or Bylaws of the Company so as to significantly and adversely affect any of the rights or preferences of the Holders of the Series C Preferred Stock. Without limiting the generality of the preceding sentence, such change includes any action that would:</w:t>
      </w:r>
    </w:p>
    <w:p>
      <w:pPr>
        <w:spacing w:after="0" w:line="142" w:lineRule="exact"/>
        <w:rPr>
          <w:sz w:val="20"/>
          <w:szCs w:val="20"/>
          <w:color w:val="auto"/>
        </w:rPr>
      </w:pPr>
    </w:p>
    <w:p>
      <w:pPr>
        <w:ind w:right="100" w:firstLine="3"/>
        <w:spacing w:after="0" w:line="264" w:lineRule="auto"/>
        <w:tabs>
          <w:tab w:leader="none" w:pos="204" w:val="left"/>
        </w:tabs>
        <w:numPr>
          <w:ilvl w:val="0"/>
          <w:numId w:val="154"/>
        </w:numPr>
        <w:rPr>
          <w:rFonts w:ascii="Arial" w:cs="Arial" w:eastAsia="Arial" w:hAnsi="Arial"/>
          <w:sz w:val="17"/>
          <w:szCs w:val="17"/>
          <w:color w:val="auto"/>
        </w:rPr>
      </w:pPr>
      <w:r>
        <w:rPr>
          <w:rFonts w:ascii="Arial" w:cs="Arial" w:eastAsia="Arial" w:hAnsi="Arial"/>
          <w:sz w:val="17"/>
          <w:szCs w:val="17"/>
          <w:color w:val="auto"/>
        </w:rPr>
        <w:t>Reduce the Dividend Rate on the Series C Preferred Stock or defer the date from which dividends will accrue, or cancel accrued and unpaid dividends, or change the relative seniority rights of the holders of Series C Preferred Stock as to the payment of dividends in relation to the holders of any other Capital Stock of the Company;</w:t>
      </w:r>
    </w:p>
    <w:p>
      <w:pPr>
        <w:spacing w:after="0" w:line="149" w:lineRule="exact"/>
        <w:rPr>
          <w:rFonts w:ascii="Arial" w:cs="Arial" w:eastAsia="Arial" w:hAnsi="Arial"/>
          <w:sz w:val="17"/>
          <w:szCs w:val="17"/>
          <w:color w:val="auto"/>
        </w:rPr>
      </w:pPr>
    </w:p>
    <w:p>
      <w:pPr>
        <w:ind w:right="100" w:firstLine="3"/>
        <w:spacing w:after="0" w:line="264" w:lineRule="auto"/>
        <w:tabs>
          <w:tab w:leader="none" w:pos="251" w:val="left"/>
        </w:tabs>
        <w:numPr>
          <w:ilvl w:val="0"/>
          <w:numId w:val="154"/>
        </w:numPr>
        <w:rPr>
          <w:rFonts w:ascii="Arial" w:cs="Arial" w:eastAsia="Arial" w:hAnsi="Arial"/>
          <w:sz w:val="17"/>
          <w:szCs w:val="17"/>
          <w:color w:val="auto"/>
        </w:rPr>
      </w:pPr>
      <w:r>
        <w:rPr>
          <w:rFonts w:ascii="Arial" w:cs="Arial" w:eastAsia="Arial" w:hAnsi="Arial"/>
          <w:sz w:val="17"/>
          <w:szCs w:val="17"/>
          <w:color w:val="auto"/>
        </w:rPr>
        <w:t>Reduce the amount payable to the holders of the Series C Preferred Stock upon the voluntary or involuntary liquidation, dissolution, or winding up of the Company, or change the relative seniority of the liquidation preferences of the holders of the Series C Preferred Stock to the rights upon liquidation of the holders of any other Capital Stock of the Company;</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155" w:name="page156"/>
    <w:bookmarkEnd w:id="155"/>
    <w:p>
      <w:pPr>
        <w:spacing w:after="0" w:line="200" w:lineRule="exact"/>
        <w:rPr>
          <w:sz w:val="20"/>
          <w:szCs w:val="20"/>
          <w:color w:val="auto"/>
        </w:rPr>
      </w:pPr>
    </w:p>
    <w:p>
      <w:pPr>
        <w:spacing w:after="0" w:line="334" w:lineRule="exact"/>
        <w:rPr>
          <w:sz w:val="20"/>
          <w:szCs w:val="20"/>
          <w:color w:val="auto"/>
        </w:rPr>
      </w:pPr>
    </w:p>
    <w:p>
      <w:pPr>
        <w:ind w:left="297" w:hanging="297"/>
        <w:spacing w:after="0"/>
        <w:tabs>
          <w:tab w:leader="none" w:pos="297" w:val="left"/>
        </w:tabs>
        <w:numPr>
          <w:ilvl w:val="0"/>
          <w:numId w:val="155"/>
        </w:numPr>
        <w:rPr>
          <w:rFonts w:ascii="Arial" w:cs="Arial" w:eastAsia="Arial" w:hAnsi="Arial"/>
          <w:sz w:val="17"/>
          <w:szCs w:val="17"/>
          <w:color w:val="auto"/>
        </w:rPr>
      </w:pPr>
      <w:r>
        <w:rPr>
          <w:rFonts w:ascii="Arial" w:cs="Arial" w:eastAsia="Arial" w:hAnsi="Arial"/>
          <w:sz w:val="17"/>
          <w:szCs w:val="17"/>
          <w:color w:val="auto"/>
        </w:rPr>
        <w:t>Make the Series C Preferred Stock redeemable at the option of the Company;</w:t>
      </w:r>
    </w:p>
    <w:p>
      <w:pPr>
        <w:spacing w:after="0" w:line="176" w:lineRule="exact"/>
        <w:rPr>
          <w:rFonts w:ascii="Arial" w:cs="Arial" w:eastAsia="Arial" w:hAnsi="Arial"/>
          <w:sz w:val="17"/>
          <w:szCs w:val="17"/>
          <w:color w:val="auto"/>
        </w:rPr>
      </w:pPr>
    </w:p>
    <w:p>
      <w:pPr>
        <w:ind w:left="-3" w:right="260" w:firstLine="3"/>
        <w:spacing w:after="0" w:line="277" w:lineRule="auto"/>
        <w:tabs>
          <w:tab w:leader="none" w:pos="277"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Authorize, create or issue any shares of Senior Securities (or amend the provisions of any existing class of Capital Stock to make such class of Capital Stock a class of Senior Securities); or</w:t>
      </w:r>
    </w:p>
    <w:p>
      <w:pPr>
        <w:spacing w:after="0" w:line="138" w:lineRule="exact"/>
        <w:rPr>
          <w:rFonts w:ascii="Arial" w:cs="Arial" w:eastAsia="Arial" w:hAnsi="Arial"/>
          <w:sz w:val="17"/>
          <w:szCs w:val="17"/>
          <w:color w:val="auto"/>
        </w:rPr>
      </w:pPr>
    </w:p>
    <w:p>
      <w:pPr>
        <w:ind w:left="237" w:hanging="237"/>
        <w:spacing w:after="0"/>
        <w:tabs>
          <w:tab w:leader="none" w:pos="237" w:val="left"/>
        </w:tabs>
        <w:numPr>
          <w:ilvl w:val="0"/>
          <w:numId w:val="155"/>
        </w:numPr>
        <w:rPr>
          <w:rFonts w:ascii="Arial" w:cs="Arial" w:eastAsia="Arial" w:hAnsi="Arial"/>
          <w:sz w:val="17"/>
          <w:szCs w:val="17"/>
          <w:color w:val="auto"/>
        </w:rPr>
      </w:pPr>
      <w:r>
        <w:rPr>
          <w:rFonts w:ascii="Arial" w:cs="Arial" w:eastAsia="Arial" w:hAnsi="Arial"/>
          <w:sz w:val="17"/>
          <w:szCs w:val="17"/>
          <w:color w:val="auto"/>
        </w:rPr>
        <w:t>Decrease (other than by redemption or conversion) the total number of authorized shares of Series C Preferred Stock.</w:t>
      </w:r>
    </w:p>
    <w:p>
      <w:pPr>
        <w:spacing w:after="0" w:line="176" w:lineRule="exact"/>
        <w:rPr>
          <w:sz w:val="20"/>
          <w:szCs w:val="20"/>
          <w:color w:val="auto"/>
        </w:rPr>
      </w:pPr>
    </w:p>
    <w:p>
      <w:pPr>
        <w:ind w:left="177" w:hanging="177"/>
        <w:spacing w:after="0"/>
        <w:tabs>
          <w:tab w:leader="none" w:pos="177"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Conversion and Redemption</w:t>
      </w:r>
      <w:r>
        <w:rPr>
          <w:rFonts w:ascii="Arial" w:cs="Arial" w:eastAsia="Arial" w:hAnsi="Arial"/>
          <w:sz w:val="17"/>
          <w:szCs w:val="17"/>
          <w:color w:val="auto"/>
        </w:rPr>
        <w:t>.</w:t>
      </w:r>
    </w:p>
    <w:p>
      <w:pPr>
        <w:spacing w:after="0" w:line="176" w:lineRule="exact"/>
        <w:rPr>
          <w:sz w:val="20"/>
          <w:szCs w:val="20"/>
          <w:color w:val="auto"/>
        </w:rPr>
      </w:pPr>
    </w:p>
    <w:p>
      <w:pPr>
        <w:ind w:left="237" w:hanging="237"/>
        <w:spacing w:after="0"/>
        <w:tabs>
          <w:tab w:leader="none" w:pos="237"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Procedure for Conversion at the Option of the Company</w:t>
      </w:r>
      <w:r>
        <w:rPr>
          <w:rFonts w:ascii="Arial" w:cs="Arial" w:eastAsia="Arial" w:hAnsi="Arial"/>
          <w:sz w:val="17"/>
          <w:szCs w:val="17"/>
          <w:color w:val="auto"/>
        </w:rPr>
        <w:t>.</w:t>
      </w:r>
    </w:p>
    <w:p>
      <w:pPr>
        <w:spacing w:after="0" w:line="189" w:lineRule="exact"/>
        <w:rPr>
          <w:sz w:val="20"/>
          <w:szCs w:val="20"/>
          <w:color w:val="auto"/>
        </w:rPr>
      </w:pPr>
    </w:p>
    <w:p>
      <w:pPr>
        <w:ind w:left="-3" w:right="40" w:firstLine="3"/>
        <w:spacing w:after="0" w:line="288" w:lineRule="auto"/>
        <w:tabs>
          <w:tab w:leader="none" w:pos="201" w:val="left"/>
        </w:tabs>
        <w:numPr>
          <w:ilvl w:val="0"/>
          <w:numId w:val="158"/>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xml:space="preserve">. Subject to </w:t>
      </w:r>
      <w:r>
        <w:rPr>
          <w:rFonts w:ascii="Arial" w:cs="Arial" w:eastAsia="Arial" w:hAnsi="Arial"/>
          <w:sz w:val="15"/>
          <w:szCs w:val="15"/>
          <w:u w:val="single" w:color="auto"/>
          <w:color w:val="auto"/>
        </w:rPr>
        <w:t>Section 6(c)</w:t>
      </w:r>
      <w:r>
        <w:rPr>
          <w:rFonts w:ascii="Arial" w:cs="Arial" w:eastAsia="Arial" w:hAnsi="Arial"/>
          <w:sz w:val="15"/>
          <w:szCs w:val="15"/>
          <w:color w:val="auto"/>
        </w:rPr>
        <w:t xml:space="preserve"> hereof, on or after the three year anniversary of the Stockholder Consent Date, on any date on which the Prevailing Market Price exceeds the Conversion Price by one hundred and fifty percent (150%) or more, the Company shall have the option to convert all, but not less than all, of the then outstanding shares of Series C Preferred Stock by delivering a duly executed written Preferred Stock conversion notice, substantially in the form attached as Annex F to the Agreement (the “</w:t>
      </w:r>
      <w:r>
        <w:rPr>
          <w:rFonts w:ascii="Arial" w:cs="Arial" w:eastAsia="Arial" w:hAnsi="Arial"/>
          <w:sz w:val="15"/>
          <w:szCs w:val="15"/>
          <w:u w:val="single" w:color="auto"/>
          <w:color w:val="auto"/>
        </w:rPr>
        <w:t>Conversion Notice</w:t>
      </w:r>
      <w:r>
        <w:rPr>
          <w:rFonts w:ascii="Arial" w:cs="Arial" w:eastAsia="Arial" w:hAnsi="Arial"/>
          <w:sz w:val="15"/>
          <w:szCs w:val="15"/>
          <w:color w:val="auto"/>
        </w:rPr>
        <w:t>” and the date such notice is deemed delivered hereunder, the “</w:t>
      </w:r>
      <w:r>
        <w:rPr>
          <w:rFonts w:ascii="Arial" w:cs="Arial" w:eastAsia="Arial" w:hAnsi="Arial"/>
          <w:sz w:val="15"/>
          <w:szCs w:val="15"/>
          <w:u w:val="single" w:color="auto"/>
          <w:color w:val="auto"/>
        </w:rPr>
        <w:t>Conversion Notice Date</w:t>
      </w:r>
      <w:r>
        <w:rPr>
          <w:rFonts w:ascii="Arial" w:cs="Arial" w:eastAsia="Arial" w:hAnsi="Arial"/>
          <w:sz w:val="15"/>
          <w:szCs w:val="15"/>
          <w:color w:val="auto"/>
        </w:rPr>
        <w:t xml:space="preserve">”), by facsimile, mail or overnight courier delivery, to the Holder. The closing of such conversion shall take place, subject to the satisfaction or waiver of the conditions set forth in </w:t>
      </w:r>
      <w:r>
        <w:rPr>
          <w:rFonts w:ascii="Arial" w:cs="Arial" w:eastAsia="Arial" w:hAnsi="Arial"/>
          <w:sz w:val="15"/>
          <w:szCs w:val="15"/>
          <w:u w:val="single" w:color="auto"/>
          <w:color w:val="auto"/>
        </w:rPr>
        <w:t>Section 6(a)(iii)</w:t>
      </w:r>
      <w:r>
        <w:rPr>
          <w:rFonts w:ascii="Arial" w:cs="Arial" w:eastAsia="Arial" w:hAnsi="Arial"/>
          <w:sz w:val="15"/>
          <w:szCs w:val="15"/>
          <w:color w:val="auto"/>
        </w:rPr>
        <w:t>,</w:t>
      </w:r>
    </w:p>
    <w:p>
      <w:pPr>
        <w:spacing w:after="0" w:line="1" w:lineRule="exact"/>
        <w:rPr>
          <w:rFonts w:ascii="Arial" w:cs="Arial" w:eastAsia="Arial" w:hAnsi="Arial"/>
          <w:sz w:val="15"/>
          <w:szCs w:val="15"/>
          <w:color w:val="auto"/>
        </w:rPr>
      </w:pPr>
    </w:p>
    <w:p>
      <w:pPr>
        <w:ind w:left="-3" w:firstLine="3"/>
        <w:spacing w:after="0" w:line="255" w:lineRule="auto"/>
        <w:tabs>
          <w:tab w:leader="none" w:pos="23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on the twentieth (20th) Business Day following and excluding the Conversion Notice Date or (b) any other date upon which the exercising Holder and the Company mutually agree (the “</w:t>
      </w:r>
      <w:r>
        <w:rPr>
          <w:rFonts w:ascii="Arial" w:cs="Arial" w:eastAsia="Arial" w:hAnsi="Arial"/>
          <w:sz w:val="17"/>
          <w:szCs w:val="17"/>
          <w:u w:val="single" w:color="auto"/>
          <w:color w:val="auto"/>
        </w:rPr>
        <w:t>Conversion Closing Date</w:t>
      </w:r>
      <w:r>
        <w:rPr>
          <w:rFonts w:ascii="Arial" w:cs="Arial" w:eastAsia="Arial" w:hAnsi="Arial"/>
          <w:sz w:val="17"/>
          <w:szCs w:val="17"/>
          <w:color w:val="auto"/>
        </w:rPr>
        <w:t>”). The Conversion Notice shall apply only to shares of Series C Preferred Stock for which no Redemption Notice has been tendered to the Company before the twentieth (20th) Business Day after the Conversion Notice Date, regardless of when the applicable redemption is consummated.</w:t>
      </w:r>
    </w:p>
    <w:p>
      <w:pPr>
        <w:spacing w:after="0" w:line="145" w:lineRule="exact"/>
        <w:rPr>
          <w:sz w:val="20"/>
          <w:szCs w:val="20"/>
          <w:color w:val="auto"/>
        </w:rPr>
      </w:pPr>
    </w:p>
    <w:p>
      <w:pPr>
        <w:ind w:left="-3" w:right="80" w:firstLine="3"/>
        <w:spacing w:after="0" w:line="275" w:lineRule="auto"/>
        <w:tabs>
          <w:tab w:leader="none" w:pos="249"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Conversion for stock</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such shares of stock shall be converted into that number of shares of Common Stock and/or number of one-hundredths (1/100th) of a share of Common Stock Equivalent Junior Preferred Stock equal to (a) the aggregate Stated Value of such shares divided by (b) the Conversion Price (the “</w:t>
      </w:r>
      <w:r>
        <w:rPr>
          <w:rFonts w:ascii="Arial" w:cs="Arial" w:eastAsia="Arial" w:hAnsi="Arial"/>
          <w:sz w:val="16"/>
          <w:szCs w:val="16"/>
          <w:u w:val="single" w:color="auto"/>
          <w:color w:val="auto"/>
        </w:rPr>
        <w:t>Conversion Stock Amount</w:t>
      </w:r>
      <w:r>
        <w:rPr>
          <w:rFonts w:ascii="Arial" w:cs="Arial" w:eastAsia="Arial" w:hAnsi="Arial"/>
          <w:sz w:val="16"/>
          <w:szCs w:val="16"/>
          <w:color w:val="auto"/>
        </w:rPr>
        <w:t>”). On the Conversion Closing Date, the Holder shall surrender the certificate representing the shares of Series C Preferred Stock to be converted to the Company at the address set forth for notices to the Company specified in Section 18 of the Agreement, and the Company shall deliver to such Holder as specified in the Conversion Notice the Conversion Stock Amount of duly authorized, validly issued, fully paid and nonassessable shares of Common Stock and/or Common Stock Equivalent Junior Preferred Stock.</w:t>
      </w:r>
    </w:p>
    <w:p>
      <w:pPr>
        <w:spacing w:after="0" w:line="200" w:lineRule="exact"/>
        <w:rPr>
          <w:sz w:val="20"/>
          <w:szCs w:val="20"/>
          <w:color w:val="auto"/>
        </w:rPr>
      </w:pPr>
    </w:p>
    <w:p>
      <w:pPr>
        <w:spacing w:after="0" w:line="317" w:lineRule="exact"/>
        <w:rPr>
          <w:sz w:val="20"/>
          <w:szCs w:val="20"/>
          <w:color w:val="auto"/>
        </w:rPr>
      </w:pPr>
    </w:p>
    <w:p>
      <w:pPr>
        <w:jc w:val="center"/>
        <w:ind w:right="-76"/>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7258050"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57"/>
          </w:cols>
          <w:pgMar w:left="243" w:top="1440" w:right="299" w:bottom="1440" w:gutter="0" w:footer="0" w:header="0"/>
        </w:sectPr>
      </w:pPr>
    </w:p>
    <w:bookmarkStart w:id="156" w:name="page157"/>
    <w:bookmarkEnd w:id="156"/>
    <w:p>
      <w:pPr>
        <w:spacing w:after="0" w:line="200" w:lineRule="exact"/>
        <w:rPr>
          <w:sz w:val="20"/>
          <w:szCs w:val="20"/>
          <w:color w:val="auto"/>
        </w:rPr>
      </w:pPr>
    </w:p>
    <w:p>
      <w:pPr>
        <w:spacing w:after="0" w:line="334" w:lineRule="exact"/>
        <w:rPr>
          <w:sz w:val="20"/>
          <w:szCs w:val="20"/>
          <w:color w:val="auto"/>
        </w:rPr>
      </w:pPr>
    </w:p>
    <w:p>
      <w:pPr>
        <w:ind w:right="240" w:firstLine="3"/>
        <w:spacing w:after="0" w:line="277" w:lineRule="auto"/>
        <w:tabs>
          <w:tab w:leader="none" w:pos="299"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Closing conditions</w:t>
      </w:r>
      <w:r>
        <w:rPr>
          <w:rFonts w:ascii="Arial" w:cs="Arial" w:eastAsia="Arial" w:hAnsi="Arial"/>
          <w:sz w:val="17"/>
          <w:szCs w:val="17"/>
          <w:color w:val="auto"/>
        </w:rPr>
        <w:t>. It shall be a condition of the converting Holder’s obligation to close that each of the following is satisfied, unless expressly waived by such Holder in writing (which Holder may do or refrain from doing in its sole discretion):</w:t>
      </w:r>
    </w:p>
    <w:p>
      <w:pPr>
        <w:spacing w:after="0" w:line="126" w:lineRule="exact"/>
        <w:rPr>
          <w:sz w:val="20"/>
          <w:szCs w:val="20"/>
          <w:color w:val="auto"/>
        </w:rPr>
      </w:pPr>
    </w:p>
    <w:p>
      <w:pPr>
        <w:ind w:right="120" w:firstLine="3"/>
        <w:spacing w:after="0" w:line="278" w:lineRule="auto"/>
        <w:tabs>
          <w:tab w:leader="none" w:pos="2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(w) the representations and warranties made by the Company in the Agreement shall be true and correct as of the Conversion Closing Date, except those representations and warranties that address matters only as of a particular date, which shall be true and correct as of such date; (x) the Company shall have complied fully with all of the covenants and agreements in the Agreement; (y) all shares of Common Stock to be issued upon such conversion shall be duly listed and admitted to trading on the Nasdaq Global Select Market, the Nasdaq Global Market or the New York Stock Exchange; and (z) such Holder shall have received a certificate of the Chief Executive Officer and the Chief Financial Officer of the Company dated such date and to the effect of clauses (x), (y) and (z).</w:t>
      </w:r>
    </w:p>
    <w:p>
      <w:pPr>
        <w:spacing w:after="0" w:line="139" w:lineRule="exact"/>
        <w:rPr>
          <w:rFonts w:ascii="Arial" w:cs="Arial" w:eastAsia="Arial" w:hAnsi="Arial"/>
          <w:sz w:val="16"/>
          <w:szCs w:val="16"/>
          <w:color w:val="auto"/>
        </w:rPr>
      </w:pPr>
    </w:p>
    <w:p>
      <w:pPr>
        <w:ind w:right="240" w:firstLine="3"/>
        <w:spacing w:after="0" w:line="277" w:lineRule="auto"/>
        <w:tabs>
          <w:tab w:leader="none" w:pos="27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On the Conversion Closing Date, the Company shall have delivered to the Holder (x) a Conversion Notice, substantially in the form attached as Annex G to the Agreement and (y) the legal opinion described in Section 12(b) of the Agreement.</w:t>
      </w:r>
    </w:p>
    <w:p>
      <w:pPr>
        <w:spacing w:after="0" w:line="125" w:lineRule="exact"/>
        <w:rPr>
          <w:rFonts w:ascii="Arial" w:cs="Arial" w:eastAsia="Arial" w:hAnsi="Arial"/>
          <w:sz w:val="17"/>
          <w:szCs w:val="17"/>
          <w:color w:val="auto"/>
        </w:rPr>
      </w:pPr>
    </w:p>
    <w:p>
      <w:pPr>
        <w:ind w:right="60" w:firstLine="3"/>
        <w:spacing w:after="0" w:line="275" w:lineRule="auto"/>
        <w:tabs>
          <w:tab w:leader="none" w:pos="27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If the issuance of Common Stock or Common Stock Equivalent Junior Preferred Stock would cause the number of shares of Common Stock and Common Stock Equivalent Junior Preferred Stock held by any Holder to exceed the Maximum Number then delivery of such shares of Common Stock or Common Stock Equivalent Junior Preferred Stock shall be deferred pursuant to Section 6(d) of the Agreement. Notwithstanding anything herein to the contrary, in such event, the Company shall no longer be obligated to pay any dividend on the Series C Preferred Stock or provide or recognize any other preferences, limitations, powers or other rights provided by this Certificate of Rights and Preferences to the extent that, if the Series C Preferred Stock would have been converted, the Holder would beneficially own Common Stock and Common Stock Equivalent Junior Preferred Securities that would exceed the Maximum Number.</w:t>
      </w:r>
    </w:p>
    <w:p>
      <w:pPr>
        <w:spacing w:after="0" w:line="13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 xml:space="preserve">The Company shall use its best efforts to cause each of the foregoing conditions to be satisfied at the earliest practicable date after a Conversion Notice. If such conditions are not satisfied or waived prior to the twentieth (20th) Business Day following and excluding the date the Conversion Notice is delivered, then the Company may, at its sole option, and at any time, withdraw the Conversion Notice by written notice to the Holder regardless of whether such conditions have been satisfied or waived as of the withdrawal date and, after such withdrawal, shall have no further obligations with respect to such Conversion Notice and may submit a Conversion Notice with respect to the shares referenced in the withdrawn Conversion Notice pursuant to </w:t>
      </w:r>
      <w:r>
        <w:rPr>
          <w:rFonts w:ascii="Arial" w:cs="Arial" w:eastAsia="Arial" w:hAnsi="Arial"/>
          <w:sz w:val="17"/>
          <w:szCs w:val="17"/>
          <w:u w:val="single" w:color="auto"/>
          <w:color w:val="auto"/>
        </w:rPr>
        <w:t>Section 6(a)(i)</w:t>
      </w:r>
      <w:r>
        <w:rPr>
          <w:rFonts w:ascii="Arial" w:cs="Arial" w:eastAsia="Arial" w:hAnsi="Arial"/>
          <w:sz w:val="17"/>
          <w:szCs w:val="17"/>
          <w:color w:val="auto"/>
        </w:rPr>
        <w:t xml:space="preserve"> hereof, subject to the closing conditions in this </w:t>
      </w:r>
      <w:r>
        <w:rPr>
          <w:rFonts w:ascii="Arial" w:cs="Arial" w:eastAsia="Arial" w:hAnsi="Arial"/>
          <w:sz w:val="17"/>
          <w:szCs w:val="17"/>
          <w:u w:val="single" w:color="auto"/>
          <w:color w:val="auto"/>
        </w:rPr>
        <w:t>Section 6(a)(iii)</w:t>
      </w:r>
      <w:r>
        <w:rPr>
          <w:rFonts w:ascii="Arial" w:cs="Arial" w:eastAsia="Arial" w:hAnsi="Arial"/>
          <w:sz w:val="17"/>
          <w:szCs w:val="17"/>
          <w:color w:val="auto"/>
        </w:rPr>
        <w: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7" w:name="page158"/>
    <w:bookmarkEnd w:id="157"/>
    <w:p>
      <w:pPr>
        <w:spacing w:after="0" w:line="200" w:lineRule="exact"/>
        <w:rPr>
          <w:sz w:val="20"/>
          <w:szCs w:val="20"/>
          <w:color w:val="auto"/>
        </w:rPr>
      </w:pPr>
    </w:p>
    <w:p>
      <w:pPr>
        <w:spacing w:after="0" w:line="334" w:lineRule="exact"/>
        <w:rPr>
          <w:sz w:val="20"/>
          <w:szCs w:val="20"/>
          <w:color w:val="auto"/>
        </w:rPr>
      </w:pPr>
    </w:p>
    <w:p>
      <w:pPr>
        <w:ind w:right="280" w:firstLine="3"/>
        <w:spacing w:after="0" w:line="258" w:lineRule="auto"/>
        <w:tabs>
          <w:tab w:leader="none" w:pos="289"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Holder of record</w:t>
      </w:r>
      <w:r>
        <w:rPr>
          <w:rFonts w:ascii="Arial" w:cs="Arial" w:eastAsia="Arial" w:hAnsi="Arial"/>
          <w:sz w:val="17"/>
          <w:szCs w:val="17"/>
          <w:color w:val="auto"/>
        </w:rPr>
        <w:t xml:space="preserve">. Each conversion of Series C Preferred Stock shall be deemed to have been effected immediately before the close of business on the Business Day on which the Conversion Notice is delivered (except, that, for purposes of calculation of the Stated Value, dividends shall accrue until and including the Conversion Closing Date), and at such time the Person or Persons in whose name or names any certificate or certificates for shares of Common Stock or Common Stock Equivalent Junior Preferred Securities shall be issuable upon such conversion as provided in </w:t>
      </w:r>
      <w:r>
        <w:rPr>
          <w:rFonts w:ascii="Arial" w:cs="Arial" w:eastAsia="Arial" w:hAnsi="Arial"/>
          <w:sz w:val="17"/>
          <w:szCs w:val="17"/>
          <w:u w:val="single" w:color="auto"/>
          <w:color w:val="auto"/>
        </w:rPr>
        <w:t>Section 6(a)(ii)</w:t>
      </w:r>
      <w:r>
        <w:rPr>
          <w:rFonts w:ascii="Arial" w:cs="Arial" w:eastAsia="Arial" w:hAnsi="Arial"/>
          <w:sz w:val="17"/>
          <w:szCs w:val="17"/>
          <w:color w:val="auto"/>
        </w:rPr>
        <w:t xml:space="preserve"> shall be deemed to have become the holder or holders of record thereof.</w:t>
      </w:r>
    </w:p>
    <w:p>
      <w:pPr>
        <w:spacing w:after="0" w:line="142" w:lineRule="exact"/>
        <w:rPr>
          <w:sz w:val="20"/>
          <w:szCs w:val="20"/>
          <w:color w:val="auto"/>
        </w:rPr>
      </w:pPr>
    </w:p>
    <w:p>
      <w:pPr>
        <w:ind w:left="240" w:hanging="237"/>
        <w:spacing w:after="0"/>
        <w:tabs>
          <w:tab w:leader="none" w:pos="240"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Procedure for Redemption at the Option of the Holder</w:t>
      </w:r>
      <w:r>
        <w:rPr>
          <w:rFonts w:ascii="Arial" w:cs="Arial" w:eastAsia="Arial" w:hAnsi="Arial"/>
          <w:sz w:val="17"/>
          <w:szCs w:val="17"/>
          <w:color w:val="auto"/>
        </w:rPr>
        <w:t>.</w:t>
      </w:r>
    </w:p>
    <w:p>
      <w:pPr>
        <w:spacing w:after="0" w:line="189" w:lineRule="exact"/>
        <w:rPr>
          <w:sz w:val="20"/>
          <w:szCs w:val="20"/>
          <w:color w:val="auto"/>
        </w:rPr>
      </w:pPr>
    </w:p>
    <w:p>
      <w:pPr>
        <w:ind w:firstLine="3"/>
        <w:spacing w:after="0" w:line="272" w:lineRule="auto"/>
        <w:tabs>
          <w:tab w:leader="none" w:pos="204"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at any time after the Company has obtained the approval of the stockholders of the Company to increase the authorized number of shares of Common Stock, a Holder of Series C Preferred Stock may at the option of the Holder require the Company to redeem any or all shares of Series C Preferred Stock held by such Holder for Common Stock and/or Common Stock Equivalent Junior Preferred Stock on one or more occasions by delivering an optional redemption notice (a “</w:t>
      </w:r>
      <w:r>
        <w:rPr>
          <w:rFonts w:ascii="Arial" w:cs="Arial" w:eastAsia="Arial" w:hAnsi="Arial"/>
          <w:sz w:val="16"/>
          <w:szCs w:val="16"/>
          <w:u w:val="single" w:color="auto"/>
          <w:color w:val="auto"/>
        </w:rPr>
        <w:t>Redemption Notice</w:t>
      </w:r>
      <w:r>
        <w:rPr>
          <w:rFonts w:ascii="Arial" w:cs="Arial" w:eastAsia="Arial" w:hAnsi="Arial"/>
          <w:sz w:val="16"/>
          <w:szCs w:val="16"/>
          <w:color w:val="auto"/>
        </w:rPr>
        <w:t xml:space="preserve">”) to the Company substantially in the form attached as Annex H to the Agreement; provided, however, that until the Company has obtained the approval of the stockholders of the Company to increase the authorized number of shares of Common Stock, a Holder of Series C Preferred Stock may require the Company to redeem any or all of such shares of Series C Preferred Stock for Common Stock Equivalent Junior Preferred Stock. The closing of such redemption shall take place, subject to the satisfaction or waiver of the conditions set forth in </w:t>
      </w:r>
      <w:r>
        <w:rPr>
          <w:rFonts w:ascii="Arial" w:cs="Arial" w:eastAsia="Arial" w:hAnsi="Arial"/>
          <w:sz w:val="16"/>
          <w:szCs w:val="16"/>
          <w:u w:val="single" w:color="auto"/>
          <w:color w:val="auto"/>
        </w:rPr>
        <w:t>Section 6(b)(iii)</w:t>
      </w:r>
      <w:r>
        <w:rPr>
          <w:rFonts w:ascii="Arial" w:cs="Arial" w:eastAsia="Arial" w:hAnsi="Arial"/>
          <w:sz w:val="16"/>
          <w:szCs w:val="16"/>
          <w:color w:val="auto"/>
        </w:rPr>
        <w:t xml:space="preserve"> (a) on the second (2nd) Business Day, or if the Holder so elects, the third (3rd) Business Day, following and excluding the date the Redemption Notice is delivered or (b) any other date upon which the exercising Holder and the Company mutually agree (the “</w:t>
      </w:r>
      <w:r>
        <w:rPr>
          <w:rFonts w:ascii="Arial" w:cs="Arial" w:eastAsia="Arial" w:hAnsi="Arial"/>
          <w:sz w:val="16"/>
          <w:szCs w:val="16"/>
          <w:u w:val="single" w:color="auto"/>
          <w:color w:val="auto"/>
        </w:rPr>
        <w:t>Redemption Closing Date</w:t>
      </w:r>
      <w:r>
        <w:rPr>
          <w:rFonts w:ascii="Arial" w:cs="Arial" w:eastAsia="Arial" w:hAnsi="Arial"/>
          <w:sz w:val="16"/>
          <w:szCs w:val="16"/>
          <w:color w:val="auto"/>
        </w:rPr>
        <w:t>”).</w:t>
      </w:r>
    </w:p>
    <w:p>
      <w:pPr>
        <w:spacing w:after="0" w:line="136" w:lineRule="exact"/>
        <w:rPr>
          <w:rFonts w:ascii="Arial" w:cs="Arial" w:eastAsia="Arial" w:hAnsi="Arial"/>
          <w:sz w:val="16"/>
          <w:szCs w:val="16"/>
          <w:color w:val="auto"/>
        </w:rPr>
      </w:pPr>
    </w:p>
    <w:p>
      <w:pPr>
        <w:ind w:right="160" w:firstLine="3"/>
        <w:spacing w:after="0" w:line="275" w:lineRule="auto"/>
        <w:tabs>
          <w:tab w:leader="none" w:pos="251"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Redemption for stock</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such shares of Series C Preferred Stock shall be redeemed into that number of shares of Common Stock and/or number of one-hundredths (1/100th) of a share of Common Stock Equivalent Junior Preferred Stock equal to (a) the aggregate Stated Value of such shares divided by (b) the Redemption Price (the “</w:t>
      </w:r>
      <w:r>
        <w:rPr>
          <w:rFonts w:ascii="Arial" w:cs="Arial" w:eastAsia="Arial" w:hAnsi="Arial"/>
          <w:sz w:val="16"/>
          <w:szCs w:val="16"/>
          <w:u w:val="single" w:color="auto"/>
          <w:color w:val="auto"/>
        </w:rPr>
        <w:t>Redemption Stock Amount</w:t>
      </w:r>
      <w:r>
        <w:rPr>
          <w:rFonts w:ascii="Arial" w:cs="Arial" w:eastAsia="Arial" w:hAnsi="Arial"/>
          <w:sz w:val="16"/>
          <w:szCs w:val="16"/>
          <w:color w:val="auto"/>
        </w:rPr>
        <w:t>”). On the Redemption Closing Date, the Holder shall surrender the certificate representing the shares of Series C Preferred Stock to be redeemed to the Company at the address set forth for notices to the Company specified in Section 18 of the Agreement and the Company shall deliver to such Holder as specified in the Redemption Notice the Redemption Stock Amount of duly authorized, validly issued, fully paid and nonassessable shares of Common Stock and/or Common Stock Equivalent Junior Preferred Stock.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8" w:name="page159"/>
    <w:bookmarkEnd w:id="158"/>
    <w:p>
      <w:pPr>
        <w:spacing w:after="0" w:line="200" w:lineRule="exact"/>
        <w:rPr>
          <w:sz w:val="20"/>
          <w:szCs w:val="20"/>
          <w:color w:val="auto"/>
        </w:rPr>
      </w:pPr>
    </w:p>
    <w:p>
      <w:pPr>
        <w:spacing w:after="0" w:line="333" w:lineRule="exact"/>
        <w:rPr>
          <w:sz w:val="20"/>
          <w:szCs w:val="20"/>
          <w:color w:val="auto"/>
        </w:rPr>
      </w:pPr>
    </w:p>
    <w:p>
      <w:pPr>
        <w:ind w:left="-3" w:right="180" w:firstLine="3"/>
        <w:spacing w:after="0" w:line="277" w:lineRule="auto"/>
        <w:tabs>
          <w:tab w:leader="none" w:pos="296"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Closing conditions</w:t>
      </w:r>
      <w:r>
        <w:rPr>
          <w:rFonts w:ascii="Arial" w:cs="Arial" w:eastAsia="Arial" w:hAnsi="Arial"/>
          <w:sz w:val="17"/>
          <w:szCs w:val="17"/>
          <w:color w:val="auto"/>
        </w:rPr>
        <w:t>. It shall be a condition of the redeeming Holder’s obligation to close that each of the following is satisfied, unless expressly waived by such Holder in writing:</w:t>
      </w:r>
    </w:p>
    <w:p>
      <w:pPr>
        <w:spacing w:after="0" w:line="126" w:lineRule="exact"/>
        <w:rPr>
          <w:sz w:val="20"/>
          <w:szCs w:val="20"/>
          <w:color w:val="auto"/>
        </w:rPr>
      </w:pPr>
    </w:p>
    <w:p>
      <w:pPr>
        <w:ind w:left="-3" w:right="40" w:firstLine="3"/>
        <w:spacing w:after="0" w:line="300" w:lineRule="auto"/>
        <w:tabs>
          <w:tab w:leader="none" w:pos="277" w:val="left"/>
        </w:tabs>
        <w:numPr>
          <w:ilvl w:val="0"/>
          <w:numId w:val="167"/>
        </w:numPr>
        <w:rPr>
          <w:rFonts w:ascii="Arial" w:cs="Arial" w:eastAsia="Arial" w:hAnsi="Arial"/>
          <w:sz w:val="15"/>
          <w:szCs w:val="15"/>
          <w:color w:val="auto"/>
        </w:rPr>
      </w:pPr>
      <w:r>
        <w:rPr>
          <w:rFonts w:ascii="Arial" w:cs="Arial" w:eastAsia="Arial" w:hAnsi="Arial"/>
          <w:sz w:val="15"/>
          <w:szCs w:val="15"/>
          <w:color w:val="auto"/>
        </w:rPr>
        <w:t>(w) the representations and warranties made by the Company in the Agreement shall be true and correct as of the Redemption Closing Date, except those representations and warranties that address matters only as of a particular date, which shall be true and correct as of such date; (x) the Company shall have complied fully with all of the covenants and agreements in the Agreement; (y) all shares of Common Stock to be issued upon such redemption shall be duly listed and admitted to trading on the Nasdaq Global Select Market, the Nasdaq Global Market or the New York Stock Exchange; and such Holder shall have received a certificate of the Chief Executive Officer and (z) the Chief Financial Officer of the Company dated such date and to the effect of clauses (w), (x) and (y).</w:t>
      </w:r>
    </w:p>
    <w:p>
      <w:pPr>
        <w:spacing w:after="0" w:line="127" w:lineRule="exact"/>
        <w:rPr>
          <w:rFonts w:ascii="Arial" w:cs="Arial" w:eastAsia="Arial" w:hAnsi="Arial"/>
          <w:sz w:val="15"/>
          <w:szCs w:val="15"/>
          <w:color w:val="auto"/>
        </w:rPr>
      </w:pPr>
    </w:p>
    <w:p>
      <w:pPr>
        <w:ind w:left="-3" w:right="340" w:firstLine="3"/>
        <w:spacing w:after="0" w:line="277" w:lineRule="auto"/>
        <w:tabs>
          <w:tab w:leader="none" w:pos="268" w:val="left"/>
        </w:tabs>
        <w:numPr>
          <w:ilvl w:val="0"/>
          <w:numId w:val="167"/>
        </w:numPr>
        <w:rPr>
          <w:rFonts w:ascii="Arial" w:cs="Arial" w:eastAsia="Arial" w:hAnsi="Arial"/>
          <w:sz w:val="17"/>
          <w:szCs w:val="17"/>
          <w:color w:val="auto"/>
        </w:rPr>
      </w:pPr>
      <w:r>
        <w:rPr>
          <w:rFonts w:ascii="Arial" w:cs="Arial" w:eastAsia="Arial" w:hAnsi="Arial"/>
          <w:sz w:val="17"/>
          <w:szCs w:val="17"/>
          <w:color w:val="auto"/>
        </w:rPr>
        <w:t>On the Redemption Closing Date, the Company shall have delivered to the Holder (x) a Preferred Stock redemption delivery notice, substantially in the form attached as Annex I to the Agreement and (y) the legal opinion described in Section 12(b) of the Agreement.</w:t>
      </w:r>
    </w:p>
    <w:p>
      <w:pPr>
        <w:spacing w:after="0" w:line="125" w:lineRule="exact"/>
        <w:rPr>
          <w:rFonts w:ascii="Arial" w:cs="Arial" w:eastAsia="Arial" w:hAnsi="Arial"/>
          <w:sz w:val="17"/>
          <w:szCs w:val="17"/>
          <w:color w:val="auto"/>
        </w:rPr>
      </w:pPr>
    </w:p>
    <w:p>
      <w:pPr>
        <w:ind w:left="257" w:hanging="257"/>
        <w:spacing w:after="0"/>
        <w:tabs>
          <w:tab w:leader="none" w:pos="257"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As of the Redemption Closing Date, the Company shall have notified the Holder of all Restatements.</w:t>
      </w:r>
    </w:p>
    <w:p>
      <w:pPr>
        <w:spacing w:after="0" w:line="176" w:lineRule="exact"/>
        <w:rPr>
          <w:rFonts w:ascii="Arial" w:cs="Arial" w:eastAsia="Arial" w:hAnsi="Arial"/>
          <w:sz w:val="17"/>
          <w:szCs w:val="17"/>
          <w:color w:val="auto"/>
        </w:rPr>
      </w:pPr>
    </w:p>
    <w:p>
      <w:pPr>
        <w:ind w:left="-3" w:firstLine="3"/>
        <w:spacing w:after="0" w:line="275" w:lineRule="auto"/>
        <w:tabs>
          <w:tab w:leader="none" w:pos="277"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If the issuance of Common Stock or Common Stock Equivalent Junior Preferred Stock would cause the number of shares of Common Stock and Common Stock Equivalent Junior Preferred Stock held by any Holder to exceed the Maximum Number then delivery of such shares of Common Stock or Common Stock Equivalent Junior Preferred Stock shall be deferred pursuant to Section 6(d) of the Agreement. Notwithstanding anything herein to the contrary, in such event, the Company shall no longer be obligated to pay any dividend on the Preferred Stock or provide or recognize any other preferences, limitations, powers or other rights provided by this Certificate of Rights and Preferences to the extent that, if the Series C Preferred Stock would have been redeemed, the Holder would beneficially own Common Stock and Common Stock Equivalent Junior Preferred Securities that would exceed the Maximum Number.</w:t>
      </w:r>
    </w:p>
    <w:p>
      <w:pPr>
        <w:spacing w:after="0" w:line="200" w:lineRule="exact"/>
        <w:rPr>
          <w:sz w:val="20"/>
          <w:szCs w:val="20"/>
          <w:color w:val="auto"/>
        </w:rPr>
      </w:pPr>
    </w:p>
    <w:p>
      <w:pPr>
        <w:spacing w:after="0" w:line="317" w:lineRule="exact"/>
        <w:rPr>
          <w:sz w:val="20"/>
          <w:szCs w:val="20"/>
          <w:color w:val="auto"/>
        </w:rPr>
      </w:pPr>
    </w:p>
    <w:p>
      <w:pPr>
        <w:jc w:val="center"/>
        <w:ind w:right="-56"/>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7258050"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57"/>
          </w:cols>
          <w:pgMar w:left="243" w:top="1440" w:right="299" w:bottom="1440" w:gutter="0" w:footer="0" w:header="0"/>
        </w:sectPr>
      </w:pPr>
    </w:p>
    <w:bookmarkStart w:id="159" w:name="page160"/>
    <w:bookmarkEnd w:id="159"/>
    <w:p>
      <w:pPr>
        <w:spacing w:after="0" w:line="200" w:lineRule="exact"/>
        <w:rPr>
          <w:sz w:val="20"/>
          <w:szCs w:val="20"/>
          <w:color w:val="auto"/>
        </w:rPr>
      </w:pPr>
    </w:p>
    <w:p>
      <w:pPr>
        <w:spacing w:after="0" w:line="334" w:lineRule="exact"/>
        <w:rPr>
          <w:sz w:val="20"/>
          <w:szCs w:val="20"/>
          <w:color w:val="auto"/>
        </w:rPr>
      </w:pPr>
    </w:p>
    <w:p>
      <w:pPr>
        <w:ind w:left="-3" w:firstLine="3"/>
        <w:spacing w:after="0" w:line="256" w:lineRule="auto"/>
        <w:tabs>
          <w:tab w:leader="none" w:pos="287"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Holder of record</w:t>
      </w:r>
      <w:r>
        <w:rPr>
          <w:rFonts w:ascii="Arial" w:cs="Arial" w:eastAsia="Arial" w:hAnsi="Arial"/>
          <w:sz w:val="17"/>
          <w:szCs w:val="17"/>
          <w:color w:val="auto"/>
        </w:rPr>
        <w:t xml:space="preserve">. Each redemption of Series C Preferred Stock shall be deemed to have been effected immediately before the close of business on the Business Day on which the Redemption Notice is delivered (except, that, for the purposes of calculation of the Stated Value, dividends shall accrue until and including the Redemption Closing Date), and at such time the Person or Persons in whose name or names any certificate or certificates for shares of Common Stock (or Other Securities) shall be issuable upon such redemption as provided in </w:t>
      </w:r>
      <w:r>
        <w:rPr>
          <w:rFonts w:ascii="Arial" w:cs="Arial" w:eastAsia="Arial" w:hAnsi="Arial"/>
          <w:sz w:val="17"/>
          <w:szCs w:val="17"/>
          <w:u w:val="single" w:color="auto"/>
          <w:color w:val="auto"/>
        </w:rPr>
        <w:t>Section 6(b)(ii)</w:t>
      </w:r>
      <w:r>
        <w:rPr>
          <w:rFonts w:ascii="Arial" w:cs="Arial" w:eastAsia="Arial" w:hAnsi="Arial"/>
          <w:sz w:val="17"/>
          <w:szCs w:val="17"/>
          <w:color w:val="auto"/>
        </w:rPr>
        <w:t xml:space="preserve"> shall be deemed to have become the holder or holders of record thereof. The foregoing notwithstanding, such redemption shall not be deemed effective if and as of the date that the Holder delivers written notice of withdrawal to the Company as set forth in </w:t>
      </w:r>
      <w:r>
        <w:rPr>
          <w:rFonts w:ascii="Arial" w:cs="Arial" w:eastAsia="Arial" w:hAnsi="Arial"/>
          <w:sz w:val="17"/>
          <w:szCs w:val="17"/>
          <w:u w:val="single" w:color="auto"/>
          <w:color w:val="auto"/>
        </w:rPr>
        <w:t>Section 6(b)(v)</w:t>
      </w:r>
      <w:r>
        <w:rPr>
          <w:rFonts w:ascii="Arial" w:cs="Arial" w:eastAsia="Arial" w:hAnsi="Arial"/>
          <w:sz w:val="17"/>
          <w:szCs w:val="17"/>
          <w:color w:val="auto"/>
        </w:rPr>
        <w:t xml:space="preserve"> below.</w:t>
      </w:r>
    </w:p>
    <w:p>
      <w:pPr>
        <w:spacing w:after="0" w:line="146" w:lineRule="exact"/>
        <w:rPr>
          <w:rFonts w:ascii="Arial" w:cs="Arial" w:eastAsia="Arial" w:hAnsi="Arial"/>
          <w:sz w:val="17"/>
          <w:szCs w:val="17"/>
          <w:color w:val="auto"/>
        </w:rPr>
      </w:pPr>
    </w:p>
    <w:p>
      <w:pPr>
        <w:ind w:left="-3" w:right="20" w:firstLine="3"/>
        <w:spacing w:after="0" w:line="271" w:lineRule="auto"/>
        <w:tabs>
          <w:tab w:leader="none" w:pos="239"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Withdrawal of Redemption Notice</w:t>
      </w:r>
      <w:r>
        <w:rPr>
          <w:rFonts w:ascii="Arial" w:cs="Arial" w:eastAsia="Arial" w:hAnsi="Arial"/>
          <w:sz w:val="16"/>
          <w:szCs w:val="16"/>
          <w:color w:val="auto"/>
        </w:rPr>
        <w:t xml:space="preserve">. If the conditions set forth in </w:t>
      </w:r>
      <w:r>
        <w:rPr>
          <w:rFonts w:ascii="Arial" w:cs="Arial" w:eastAsia="Arial" w:hAnsi="Arial"/>
          <w:sz w:val="16"/>
          <w:szCs w:val="16"/>
          <w:u w:val="single" w:color="auto"/>
          <w:color w:val="auto"/>
        </w:rPr>
        <w:t>Section 6(b)(iii)</w:t>
      </w:r>
      <w:r>
        <w:rPr>
          <w:rFonts w:ascii="Arial" w:cs="Arial" w:eastAsia="Arial" w:hAnsi="Arial"/>
          <w:sz w:val="16"/>
          <w:szCs w:val="16"/>
          <w:color w:val="auto"/>
        </w:rPr>
        <w:t xml:space="preserve"> are not satisfied or waived on or prior to the Redemption Closing Date or if the Company fails to perform its obligations on any Redemption Closing Date (including delivery of all shares of Series C Preferred Stock issuable on such date), then in addition to all remedies available to Holder at law or in equity, Holder may, at its sole option, and at any time, withdraw the Redemption Notice by written notice to the Company regardless of whether such conditions have been satisfied or waived as of the withdrawal date and, after such withdrawal, shall have no further obligations with respect to such Redemption Notice and may submit a Redemption Notice on any future date with respect to such Series C Preferred Stock and the Redemption Price for such subsequent Redemption Notice shall be the lesser of (x) the Redemption Price in the withdrawn Redemption Notice and (y) the Redemption Price in effect as of the date of the subsequent Redemption Notice. If the Company fails to deliver (A) shares of Common Stock as provided in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on or before the later of the twentieth (20th) Business Day following and excluding (1) the Redemption Closing Date or (2) three (3) Business Days after the Stockholder Consent Date (if and to the extent such approval is required to issue such shares of Common Stock) or (B) shares of Common Stock Equivalent Junior Preferred Stock on or before the twentieth (20th) Business Day following and excluding the Redemption Closing Date, then the Redemption Price shall equal the lesser of Four Dollars and Forty-One Cents ($4.41) and the Redemption Price in effect immediately before such date.</w:t>
      </w:r>
    </w:p>
    <w:p>
      <w:pPr>
        <w:spacing w:after="0" w:line="150" w:lineRule="exact"/>
        <w:rPr>
          <w:rFonts w:ascii="Arial" w:cs="Arial" w:eastAsia="Arial" w:hAnsi="Arial"/>
          <w:sz w:val="16"/>
          <w:szCs w:val="16"/>
          <w:color w:val="auto"/>
        </w:rPr>
      </w:pPr>
    </w:p>
    <w:p>
      <w:pPr>
        <w:ind w:left="-3" w:right="500" w:firstLine="3"/>
        <w:spacing w:after="0" w:line="264" w:lineRule="auto"/>
        <w:tabs>
          <w:tab w:leader="none" w:pos="287"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Partial redemption</w:t>
      </w:r>
      <w:r>
        <w:rPr>
          <w:rFonts w:ascii="Arial" w:cs="Arial" w:eastAsia="Arial" w:hAnsi="Arial"/>
          <w:sz w:val="17"/>
          <w:szCs w:val="17"/>
          <w:color w:val="auto"/>
        </w:rPr>
        <w:t>. If any redemption is for only part of the shares represented by the certificate surrendered, the Company shall deliver on the Redemption Closing Date a new Series C Preferred Stock certificate of like tenor, calling in the aggregate on the face or faces thereof for the number of shares of Series C Preferred Stock in the name and to an address specified by the Holder.</w:t>
      </w:r>
    </w:p>
    <w:p>
      <w:pPr>
        <w:spacing w:after="0" w:line="200" w:lineRule="exact"/>
        <w:rPr>
          <w:sz w:val="20"/>
          <w:szCs w:val="20"/>
          <w:color w:val="auto"/>
        </w:rPr>
      </w:pPr>
    </w:p>
    <w:p>
      <w:pPr>
        <w:spacing w:after="0" w:line="309"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7258050"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17"/>
          </w:cols>
          <w:pgMar w:left="243" w:top="1440" w:right="239" w:bottom="1440" w:gutter="0" w:footer="0" w:header="0"/>
        </w:sectPr>
      </w:pPr>
    </w:p>
    <w:bookmarkStart w:id="160" w:name="page161"/>
    <w:bookmarkEnd w:id="160"/>
    <w:p>
      <w:pPr>
        <w:spacing w:after="0" w:line="200" w:lineRule="exact"/>
        <w:rPr>
          <w:sz w:val="20"/>
          <w:szCs w:val="20"/>
          <w:color w:val="auto"/>
        </w:rPr>
      </w:pPr>
    </w:p>
    <w:p>
      <w:pPr>
        <w:spacing w:after="0" w:line="334" w:lineRule="exact"/>
        <w:rPr>
          <w:sz w:val="20"/>
          <w:szCs w:val="20"/>
          <w:color w:val="auto"/>
        </w:rPr>
      </w:pPr>
    </w:p>
    <w:p>
      <w:pPr>
        <w:ind w:left="-3" w:firstLine="3"/>
        <w:spacing w:after="0" w:line="294" w:lineRule="auto"/>
        <w:tabs>
          <w:tab w:leader="none" w:pos="230" w:val="left"/>
        </w:tabs>
        <w:numPr>
          <w:ilvl w:val="0"/>
          <w:numId w:val="169"/>
        </w:numPr>
        <w:rPr>
          <w:rFonts w:ascii="Arial" w:cs="Arial" w:eastAsia="Arial" w:hAnsi="Arial"/>
          <w:sz w:val="15"/>
          <w:szCs w:val="15"/>
          <w:color w:val="auto"/>
        </w:rPr>
      </w:pPr>
      <w:r>
        <w:rPr>
          <w:rFonts w:ascii="Arial" w:cs="Arial" w:eastAsia="Arial" w:hAnsi="Arial"/>
          <w:sz w:val="15"/>
          <w:szCs w:val="15"/>
          <w:u w:val="single" w:color="auto"/>
          <w:color w:val="auto"/>
        </w:rPr>
        <w:t>Maximum Voting Stock Amount</w:t>
      </w:r>
      <w:r>
        <w:rPr>
          <w:rFonts w:ascii="Arial" w:cs="Arial" w:eastAsia="Arial" w:hAnsi="Arial"/>
          <w:sz w:val="15"/>
          <w:szCs w:val="15"/>
          <w:color w:val="auto"/>
        </w:rPr>
        <w:t>. The Company shall not effect any conversion or redemption of the Series C Preferred Stock, and the Holders shall not have the right to convert or redeem any portion of the Series C Preferred Stock, into Common Stock to the extent such conversion, redemption or exercise would result in aggregate issuances upon conversion or redemption of the Series C Preferred Stock in excess of nine and seventy-five one hundredths percent (9.75%)(the “</w:t>
      </w:r>
      <w:r>
        <w:rPr>
          <w:rFonts w:ascii="Arial" w:cs="Arial" w:eastAsia="Arial" w:hAnsi="Arial"/>
          <w:sz w:val="15"/>
          <w:szCs w:val="15"/>
          <w:u w:val="single" w:color="auto"/>
          <w:color w:val="auto"/>
        </w:rPr>
        <w:t>Maximum</w:t>
      </w:r>
      <w:r>
        <w:rPr>
          <w:rFonts w:ascii="Arial" w:cs="Arial" w:eastAsia="Arial" w:hAnsi="Arial"/>
          <w:sz w:val="15"/>
          <w:szCs w:val="15"/>
          <w:color w:val="auto"/>
        </w:rPr>
        <w:t xml:space="preserve"> </w:t>
      </w:r>
      <w:r>
        <w:rPr>
          <w:rFonts w:ascii="Arial" w:cs="Arial" w:eastAsia="Arial" w:hAnsi="Arial"/>
          <w:sz w:val="15"/>
          <w:szCs w:val="15"/>
          <w:u w:val="single" w:color="auto"/>
          <w:color w:val="auto"/>
        </w:rPr>
        <w:t>Voting Stock Amount</w:t>
      </w:r>
      <w:r>
        <w:rPr>
          <w:rFonts w:ascii="Arial" w:cs="Arial" w:eastAsia="Arial" w:hAnsi="Arial"/>
          <w:sz w:val="15"/>
          <w:szCs w:val="15"/>
          <w:color w:val="auto"/>
        </w:rPr>
        <w:t>”) of the number of shares of Common Stock that would be outstanding after giving effect to such conversion or redemption. Holders of a Majority of the Series C Preferred Stock shall have the right to permanently reduce the percentage used in the determination of the Maximum Voting Stock Amount to four and seventy-five one hundredths percent (4.75%) at any time, effective upon delivery of written notice of such election to the Company. In the event that the Company cannot effect a conversion or redemption of the Series C Preferred Stock into Common Stock pursuant to the terms of this Section 6(c), the conversion or redemption shall be effected into an equal number of shares of Common Stock Equivalent Junior Preferred Stock of the Company.</w:t>
      </w:r>
    </w:p>
    <w:p>
      <w:pPr>
        <w:spacing w:after="0" w:line="117" w:lineRule="exact"/>
        <w:rPr>
          <w:rFonts w:ascii="Arial" w:cs="Arial" w:eastAsia="Arial" w:hAnsi="Arial"/>
          <w:sz w:val="15"/>
          <w:szCs w:val="15"/>
          <w:color w:val="auto"/>
        </w:rPr>
      </w:pPr>
    </w:p>
    <w:p>
      <w:pPr>
        <w:ind w:left="-3" w:firstLine="3"/>
        <w:spacing w:after="0" w:line="291" w:lineRule="auto"/>
        <w:tabs>
          <w:tab w:leader="none" w:pos="236" w:val="left"/>
        </w:tabs>
        <w:numPr>
          <w:ilvl w:val="0"/>
          <w:numId w:val="169"/>
        </w:numPr>
        <w:rPr>
          <w:rFonts w:ascii="Arial" w:cs="Arial" w:eastAsia="Arial" w:hAnsi="Arial"/>
          <w:sz w:val="15"/>
          <w:szCs w:val="15"/>
          <w:color w:val="auto"/>
        </w:rPr>
      </w:pPr>
      <w:r>
        <w:rPr>
          <w:rFonts w:ascii="Arial" w:cs="Arial" w:eastAsia="Arial" w:hAnsi="Arial"/>
          <w:sz w:val="15"/>
          <w:szCs w:val="15"/>
          <w:color w:val="auto"/>
        </w:rPr>
        <w:t>The Company shall at all times reserve for issuance such number of its shares of Common Stock and Common Stock Equivalent Junior Preferred Stock as shall be required under the Agreement. The Company will procure, at its sole expense, the listing of the Common Stock issuable upon conversion or redemption of the Series C Preferred Stock (including upon the conversion of Common Stock Equivalent Junior Preferred Stock issuable upon the conversion or redemption of the Series C Preferred Stock) and shares issuable as dividends hereunder, subject to issuance or notice of issuance, on all stock exchanges and quotation systems on which the Common Stock is then listed or quoted, no later than the date on which such Series C Preferred Stock is issued to the Holder and thereafter shall use its best efforts to prevent delisting or removal from quotation of such shares. The Company will pay any and all documentary stamp or similar issue or transfer taxes that may be payable in respect of the issuance or delivery of shares of Common Stock and/or Common Stock Equivalent Junior Preferred Stock on conversion or redemption of shares of the Series C Preferred Stock. The Company shall not, however, be required to pay any tax which may be payable in respect of any transfer involving the issue and delivery of shares of Common Stock and/or Common Stock Equivalent Junior Preferred Stock in a name other than that in which the shares of Series C Preferred Stock so converted or redeemed were registered, and no such issue and delivery shall be made unless and until the person requesting such issue has paid to the Company the amount of any such tax, or has established, to the reasonable satisfaction of the Company, that such tax has been paid.</w:t>
      </w:r>
    </w:p>
    <w:p>
      <w:pPr>
        <w:spacing w:after="0" w:line="135" w:lineRule="exact"/>
        <w:rPr>
          <w:rFonts w:ascii="Arial" w:cs="Arial" w:eastAsia="Arial" w:hAnsi="Arial"/>
          <w:sz w:val="15"/>
          <w:szCs w:val="15"/>
          <w:color w:val="auto"/>
        </w:rPr>
      </w:pPr>
    </w:p>
    <w:p>
      <w:pPr>
        <w:ind w:left="-3" w:right="40" w:firstLine="3"/>
        <w:spacing w:after="0" w:line="255" w:lineRule="auto"/>
        <w:tabs>
          <w:tab w:leader="none" w:pos="23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No fractional shares or scrip representing fractional shares of Common Stock or, other than fractional shares in increments of one-hundredth (1/100th) of a share, of Common Stock Equivalent Junior Preferred Stock shall be issued upon the conversion or redemption of the Series C Preferred Stock. If any such conversion or redemption would otherwise require the issuance of a fractional share of Common Stock or, other than fractional shares in increments of one-hundredth (1/100th) of a share, of Common Stock Equivalent Junior Preferred Stock, an amount equal to such fraction multiplied by the current Daily Market Price per share of Common Stock on the date of conversion or redemption shall be paid to the Holder in cash by the Company. If more than one share of Series C Preferred Stock shall be surrendered for conversion or redemption at one time by or for the same Holder, the number of shares of Common Stock and/or Common Stock Equivalent Junior Preferred Stock issuable upon conversion or redemption thereof shall be computed on the basis of the aggregate number of shares of Series C Preferred Stock so surrendered.</w:t>
      </w:r>
    </w:p>
    <w:p>
      <w:pPr>
        <w:spacing w:after="0" w:line="200" w:lineRule="exact"/>
        <w:rPr>
          <w:sz w:val="20"/>
          <w:szCs w:val="20"/>
          <w:color w:val="auto"/>
        </w:rPr>
      </w:pPr>
    </w:p>
    <w:p>
      <w:pPr>
        <w:spacing w:after="0" w:line="318" w:lineRule="exact"/>
        <w:rPr>
          <w:sz w:val="20"/>
          <w:szCs w:val="20"/>
          <w:color w:val="auto"/>
        </w:rPr>
      </w:pPr>
    </w:p>
    <w:p>
      <w:pPr>
        <w:jc w:val="center"/>
        <w:ind w:right="-36"/>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7258050"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97"/>
          </w:cols>
          <w:pgMar w:left="243" w:top="1440" w:right="259" w:bottom="1440" w:gutter="0" w:footer="0" w:header="0"/>
        </w:sectPr>
      </w:pPr>
    </w:p>
    <w:bookmarkStart w:id="161" w:name="page162"/>
    <w:bookmarkEnd w:id="161"/>
    <w:p>
      <w:pPr>
        <w:spacing w:after="0" w:line="200" w:lineRule="exact"/>
        <w:rPr>
          <w:sz w:val="20"/>
          <w:szCs w:val="20"/>
          <w:color w:val="auto"/>
        </w:rPr>
      </w:pPr>
    </w:p>
    <w:p>
      <w:pPr>
        <w:spacing w:after="0" w:line="334" w:lineRule="exact"/>
        <w:rPr>
          <w:sz w:val="20"/>
          <w:szCs w:val="20"/>
          <w:color w:val="auto"/>
        </w:rPr>
      </w:pPr>
    </w:p>
    <w:p>
      <w:pPr>
        <w:ind w:left="217" w:hanging="217"/>
        <w:spacing w:after="0"/>
        <w:tabs>
          <w:tab w:leader="none" w:pos="217"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w:t>
      </w:r>
    </w:p>
    <w:p>
      <w:pPr>
        <w:spacing w:after="0" w:line="176" w:lineRule="exact"/>
        <w:rPr>
          <w:sz w:val="20"/>
          <w:szCs w:val="20"/>
          <w:color w:val="auto"/>
        </w:rPr>
      </w:pPr>
    </w:p>
    <w:p>
      <w:pPr>
        <w:ind w:left="-3" w:firstLine="3"/>
        <w:spacing w:after="0" w:line="290" w:lineRule="auto"/>
        <w:tabs>
          <w:tab w:leader="none" w:pos="201" w:val="left"/>
        </w:tabs>
        <w:numPr>
          <w:ilvl w:val="0"/>
          <w:numId w:val="171"/>
        </w:numPr>
        <w:rPr>
          <w:rFonts w:ascii="Arial" w:cs="Arial" w:eastAsia="Arial" w:hAnsi="Arial"/>
          <w:sz w:val="15"/>
          <w:szCs w:val="15"/>
          <w:color w:val="auto"/>
        </w:rPr>
      </w:pPr>
      <w:r>
        <w:rPr>
          <w:rFonts w:ascii="Arial" w:cs="Arial" w:eastAsia="Arial" w:hAnsi="Arial"/>
          <w:sz w:val="15"/>
          <w:szCs w:val="15"/>
          <w:color w:val="auto"/>
        </w:rPr>
        <w:t>If the Company on or after the date of the Agreement is party to any Change of Control, proper provision shall be made so that, upon the basis and the terms and in the manner provided herein, the Holder of each unconverted and unredeemed share of Series C Preferred Stock, upon conversion or redemption thereof at any time after the consummation of such Change of Control, shall be entitled to, and appropriate adjustments will be made to ensure that the Holder will receive, equivalent rights as those provided in this Certificate of Rights and Preferences, including, without limitation, the voting, dividend, conversion, redemption and liquidation rights contained herein with respect to the Acquiring Person. The Company shall, prior to the consummation of any Change of Control, provide that each Person (other than the Company) that may be required to deliver any stock, securities, cash or property upon conversion of Series C Preferred Stock as provided herein shall assume, by written instrument delivered to, and reasonably satisfactory to, the Holders of a Majority of the Series C Preferred Stock, (a) the obligations of the Company under this Certificate of Rights and Preferences (and if the Company shall survive the consummation of such transaction, such assumption shall be in addition to, and shall not release the Company from, any continuing obligations of the Company under this Certificate of Rights and Preferences) and (b) the obligation to deliver to the Holders of Series C Preferred Stock such shares of stock, securities, cash or property as, in accordance with the provisions of this Certificate of Rights and Preferences, such Holders may be entitled to receive, and such Person shall have similarly delivered to such Holders an opinion of counsel for such Person, which counsel shall be reasonably satisfactory to Holders of a Majority of the Series C Preferred Stock, stating that the rights of such Holders under this Certificate of Rights and Preferences shall thereafter continue in full force and effect with respect to such Acquiring Person in accordance with the terms hereof.</w:t>
      </w:r>
    </w:p>
    <w:p>
      <w:pPr>
        <w:spacing w:after="0" w:line="136" w:lineRule="exact"/>
        <w:rPr>
          <w:rFonts w:ascii="Arial" w:cs="Arial" w:eastAsia="Arial" w:hAnsi="Arial"/>
          <w:sz w:val="15"/>
          <w:szCs w:val="15"/>
          <w:color w:val="auto"/>
        </w:rPr>
      </w:pPr>
    </w:p>
    <w:p>
      <w:pPr>
        <w:ind w:left="-3" w:right="120" w:firstLine="3"/>
        <w:spacing w:after="0" w:line="346" w:lineRule="auto"/>
        <w:tabs>
          <w:tab w:leader="none" w:pos="249" w:val="left"/>
        </w:tabs>
        <w:numPr>
          <w:ilvl w:val="0"/>
          <w:numId w:val="171"/>
        </w:numPr>
        <w:rPr>
          <w:rFonts w:ascii="Arial" w:cs="Arial" w:eastAsia="Arial" w:hAnsi="Arial"/>
          <w:sz w:val="15"/>
          <w:szCs w:val="15"/>
          <w:color w:val="auto"/>
        </w:rPr>
      </w:pPr>
      <w:r>
        <w:rPr>
          <w:rFonts w:ascii="Arial" w:cs="Arial" w:eastAsia="Arial" w:hAnsi="Arial"/>
          <w:sz w:val="15"/>
          <w:szCs w:val="15"/>
          <w:color w:val="auto"/>
        </w:rPr>
        <w:t>In the event of a Change of Control, all references to the Conversion Price or the Redemption Price herein shall be references to the Stock Adjustment Measuring Price. “</w:t>
      </w:r>
      <w:r>
        <w:rPr>
          <w:rFonts w:ascii="Arial" w:cs="Arial" w:eastAsia="Arial" w:hAnsi="Arial"/>
          <w:sz w:val="15"/>
          <w:szCs w:val="15"/>
          <w:u w:val="single" w:color="auto"/>
          <w:color w:val="auto"/>
        </w:rPr>
        <w:t>Stock Adjustment Measuring Price</w:t>
      </w:r>
      <w:r>
        <w:rPr>
          <w:rFonts w:ascii="Arial" w:cs="Arial" w:eastAsia="Arial" w:hAnsi="Arial"/>
          <w:sz w:val="15"/>
          <w:szCs w:val="15"/>
          <w:color w:val="auto"/>
        </w:rPr>
        <w:t>” means an amount equal to the Conversion Price or the Redemption Price, as applicable, multiplied by a fraction,</w:t>
      </w:r>
    </w:p>
    <w:p>
      <w:pPr>
        <w:spacing w:after="0" w:line="80" w:lineRule="exact"/>
        <w:rPr>
          <w:sz w:val="20"/>
          <w:szCs w:val="20"/>
          <w:color w:val="auto"/>
        </w:rPr>
      </w:pPr>
    </w:p>
    <w:p>
      <w:pPr>
        <w:ind w:left="-3" w:right="140" w:firstLine="3"/>
        <w:spacing w:after="0" w:line="264" w:lineRule="auto"/>
        <w:tabs>
          <w:tab w:leader="none" w:pos="277"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numerator of which is the Daily Market Price of the securities for Common Stock is exchanged in the Change of Control (or if none, the most widely-held class of voting securities of the Acquiring Person) determined as of the Business Day immediately preceding and excluding the date on which the Change of Control is consummated; and</w:t>
      </w:r>
    </w:p>
    <w:p>
      <w:pPr>
        <w:spacing w:after="0" w:line="200" w:lineRule="exact"/>
        <w:rPr>
          <w:sz w:val="20"/>
          <w:szCs w:val="20"/>
          <w:color w:val="auto"/>
        </w:rPr>
      </w:pPr>
    </w:p>
    <w:p>
      <w:pPr>
        <w:spacing w:after="0" w:line="322"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7258050"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17"/>
          </w:cols>
          <w:pgMar w:left="243" w:top="1440" w:right="239" w:bottom="1440" w:gutter="0" w:footer="0" w:header="0"/>
        </w:sectPr>
      </w:pPr>
    </w:p>
    <w:bookmarkStart w:id="162" w:name="page163"/>
    <w:bookmarkEnd w:id="162"/>
    <w:p>
      <w:pPr>
        <w:spacing w:after="0" w:line="200" w:lineRule="exact"/>
        <w:rPr>
          <w:sz w:val="20"/>
          <w:szCs w:val="20"/>
          <w:color w:val="auto"/>
        </w:rPr>
      </w:pPr>
    </w:p>
    <w:p>
      <w:pPr>
        <w:spacing w:after="0" w:line="334" w:lineRule="exact"/>
        <w:rPr>
          <w:sz w:val="20"/>
          <w:szCs w:val="20"/>
          <w:color w:val="auto"/>
        </w:rPr>
      </w:pPr>
    </w:p>
    <w:p>
      <w:pPr>
        <w:ind w:left="-3" w:right="600" w:firstLine="3"/>
        <w:spacing w:after="0" w:line="277" w:lineRule="auto"/>
        <w:tabs>
          <w:tab w:leader="none" w:pos="268"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denominator of which is the Daily Market Price of the Common Stock of the Company determined as of the Business Day immediately preceding and excluding the date on which the Change of Control is consummated.</w:t>
      </w:r>
    </w:p>
    <w:p>
      <w:pPr>
        <w:spacing w:after="0" w:line="126" w:lineRule="exact"/>
        <w:rPr>
          <w:sz w:val="20"/>
          <w:szCs w:val="20"/>
          <w:color w:val="auto"/>
        </w:rPr>
      </w:pPr>
    </w:p>
    <w:p>
      <w:pPr>
        <w:ind w:left="-3" w:right="20" w:firstLine="3"/>
        <w:spacing w:after="0" w:line="256" w:lineRule="auto"/>
        <w:tabs>
          <w:tab w:leader="none" w:pos="296" w:val="left"/>
        </w:tabs>
        <w:numPr>
          <w:ilvl w:val="0"/>
          <w:numId w:val="174"/>
        </w:numPr>
        <w:rPr>
          <w:rFonts w:ascii="Arial" w:cs="Arial" w:eastAsia="Arial" w:hAnsi="Arial"/>
          <w:sz w:val="17"/>
          <w:szCs w:val="17"/>
          <w:color w:val="auto"/>
        </w:rPr>
      </w:pPr>
      <w:r>
        <w:rPr>
          <w:rFonts w:ascii="Arial" w:cs="Arial" w:eastAsia="Arial" w:hAnsi="Arial"/>
          <w:sz w:val="17"/>
          <w:szCs w:val="17"/>
          <w:color w:val="auto"/>
        </w:rPr>
        <w:t>Prior to the effective date of a Change of Control, the Company shall continue to have the right to submit to each Holder Conversion Notices and each Holder shall continue to have the right to submit to the Company Redemption Notices and consummate closings of any such conversions or redemptions, in each party’s sole discretion, in accordance with the terms and conditions of this Certificate of Rights and Preferences. In addition, the Holder at its sole option may elect to submit to the Company a special notice (a “</w:t>
      </w:r>
      <w:r>
        <w:rPr>
          <w:rFonts w:ascii="Arial" w:cs="Arial" w:eastAsia="Arial" w:hAnsi="Arial"/>
          <w:sz w:val="17"/>
          <w:szCs w:val="17"/>
          <w:u w:val="single" w:color="auto"/>
          <w:color w:val="auto"/>
        </w:rPr>
        <w:t>Contingent Notice</w:t>
      </w:r>
      <w:r>
        <w:rPr>
          <w:rFonts w:ascii="Arial" w:cs="Arial" w:eastAsia="Arial" w:hAnsi="Arial"/>
          <w:sz w:val="17"/>
          <w:szCs w:val="17"/>
          <w:color w:val="auto"/>
        </w:rPr>
        <w:t>”) to redeem the Series C Preferred Stock (including any Series C Preferred Stock issued pursuant to a Contingent Investment Notice (as defined in the Agreement) under the Agreement) in whole or in part in connection with such Change of Control; in which case, notwithstanding anything to the contrary herein:</w:t>
      </w:r>
    </w:p>
    <w:p>
      <w:pPr>
        <w:spacing w:after="0" w:line="159" w:lineRule="exact"/>
        <w:rPr>
          <w:sz w:val="20"/>
          <w:szCs w:val="20"/>
          <w:color w:val="auto"/>
        </w:rPr>
      </w:pPr>
    </w:p>
    <w:p>
      <w:pPr>
        <w:ind w:left="277" w:hanging="277"/>
        <w:spacing w:after="0"/>
        <w:tabs>
          <w:tab w:leader="none" w:pos="277"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effectiveness of such contingent redemption shall be conditional upon the effectiveness of the Change of Control;</w:t>
      </w:r>
    </w:p>
    <w:p>
      <w:pPr>
        <w:spacing w:after="0" w:line="176" w:lineRule="exact"/>
        <w:rPr>
          <w:rFonts w:ascii="Arial" w:cs="Arial" w:eastAsia="Arial" w:hAnsi="Arial"/>
          <w:sz w:val="17"/>
          <w:szCs w:val="17"/>
          <w:color w:val="auto"/>
        </w:rPr>
      </w:pPr>
    </w:p>
    <w:p>
      <w:pPr>
        <w:ind w:left="277" w:hanging="277"/>
        <w:spacing w:after="0"/>
        <w:tabs>
          <w:tab w:leader="none" w:pos="277" w:val="left"/>
        </w:tabs>
        <w:numPr>
          <w:ilvl w:val="0"/>
          <w:numId w:val="175"/>
        </w:numPr>
        <w:rPr>
          <w:rFonts w:ascii="Arial" w:cs="Arial" w:eastAsia="Arial" w:hAnsi="Arial"/>
          <w:sz w:val="17"/>
          <w:szCs w:val="17"/>
          <w:color w:val="auto"/>
        </w:rPr>
      </w:pPr>
      <w:r>
        <w:rPr>
          <w:rFonts w:ascii="Arial" w:cs="Arial" w:eastAsia="Arial" w:hAnsi="Arial"/>
          <w:sz w:val="17"/>
          <w:szCs w:val="17"/>
          <w:color w:val="auto"/>
        </w:rPr>
        <w:t>until the effective date of such Change of Control, the Holder shall have the right to deliver a notice to withdraw such Contingent Notice; and</w:t>
      </w:r>
    </w:p>
    <w:p>
      <w:pPr>
        <w:spacing w:after="0" w:line="176" w:lineRule="exact"/>
        <w:rPr>
          <w:rFonts w:ascii="Arial" w:cs="Arial" w:eastAsia="Arial" w:hAnsi="Arial"/>
          <w:sz w:val="17"/>
          <w:szCs w:val="17"/>
          <w:color w:val="auto"/>
        </w:rPr>
      </w:pPr>
    </w:p>
    <w:p>
      <w:pPr>
        <w:ind w:left="-3" w:firstLine="3"/>
        <w:spacing w:after="0" w:line="278" w:lineRule="auto"/>
        <w:tabs>
          <w:tab w:leader="none" w:pos="268"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if such Contingent Notice shall not have been withdrawn, then on the effective date of such Change of Control, such Holder shall receive the same consideration, in the form of cash, securities or other assets (the “</w:t>
      </w:r>
      <w:r>
        <w:rPr>
          <w:rFonts w:ascii="Arial" w:cs="Arial" w:eastAsia="Arial" w:hAnsi="Arial"/>
          <w:sz w:val="16"/>
          <w:szCs w:val="16"/>
          <w:u w:val="single" w:color="auto"/>
          <w:color w:val="auto"/>
        </w:rPr>
        <w:t>Acquisition Consideration</w:t>
      </w:r>
      <w:r>
        <w:rPr>
          <w:rFonts w:ascii="Arial" w:cs="Arial" w:eastAsia="Arial" w:hAnsi="Arial"/>
          <w:sz w:val="16"/>
          <w:szCs w:val="16"/>
          <w:color w:val="auto"/>
        </w:rPr>
        <w:t>”) per share of Common Stock and Common Stock Equivalent Junior Preferred Stock issuable to any other holder of shares of Common Stock and Common Stock Equivalent Junior Preferred Stock in connection with such Change of Control based upon the number of shares of Common Stock and Common Stock Equivalent Junior Preferred Stock which the Holder would have held if the Holder had consummated such redemption on the Business Day immediately preceding the date on which such Change of Control occurs.</w:t>
      </w:r>
    </w:p>
    <w:p>
      <w:pPr>
        <w:spacing w:after="0" w:line="140" w:lineRule="exact"/>
        <w:rPr>
          <w:sz w:val="20"/>
          <w:szCs w:val="20"/>
          <w:color w:val="auto"/>
        </w:rPr>
      </w:pPr>
    </w:p>
    <w:p>
      <w:pPr>
        <w:ind w:left="-3" w:right="140" w:firstLine="3"/>
        <w:spacing w:after="0" w:line="278" w:lineRule="auto"/>
        <w:tabs>
          <w:tab w:leader="none" w:pos="168"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Status of Converted and Redeemed Shares; Limitations on Series C Preferred Stock</w:t>
      </w:r>
      <w:r>
        <w:rPr>
          <w:rFonts w:ascii="Arial" w:cs="Arial" w:eastAsia="Arial" w:hAnsi="Arial"/>
          <w:sz w:val="16"/>
          <w:szCs w:val="16"/>
          <w:color w:val="auto"/>
        </w:rPr>
        <w:t xml:space="preserve">. The Company shall return to the status of unauthorized and undesignated shares of Preferred Stock each share of Series C Preferred Stock which shall be converted, redeemed or for any other reason acquired by the Company, and such shares thereafter may have such characteristics and designations as the Board may determine (subject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share of Series C Preferred Stock which shall be converted, redeemed or otherwise acquired by the Company shall thereafter be reissued, sold or transferred by the Company as Series C Preferred Stock. The Company will not issue any further shares of Series C Preferred Stock.</w:t>
      </w:r>
    </w:p>
    <w:p>
      <w:pPr>
        <w:spacing w:after="0" w:line="200" w:lineRule="exact"/>
        <w:rPr>
          <w:sz w:val="20"/>
          <w:szCs w:val="20"/>
          <w:color w:val="auto"/>
        </w:rPr>
      </w:pPr>
    </w:p>
    <w:p>
      <w:pPr>
        <w:spacing w:after="0" w:line="298"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7258050"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97"/>
          </w:cols>
          <w:pgMar w:left="243" w:top="1440" w:right="259" w:bottom="1440" w:gutter="0" w:footer="0" w:header="0"/>
        </w:sectPr>
      </w:pPr>
    </w:p>
    <w:bookmarkStart w:id="163" w:name="page164"/>
    <w:bookmarkEnd w:id="163"/>
    <w:p>
      <w:pPr>
        <w:spacing w:after="0" w:line="200" w:lineRule="exact"/>
        <w:rPr>
          <w:sz w:val="20"/>
          <w:szCs w:val="20"/>
          <w:color w:val="auto"/>
        </w:rPr>
      </w:pPr>
    </w:p>
    <w:p>
      <w:pPr>
        <w:spacing w:after="0" w:line="334" w:lineRule="exact"/>
        <w:rPr>
          <w:sz w:val="20"/>
          <w:szCs w:val="20"/>
          <w:color w:val="auto"/>
        </w:rPr>
      </w:pPr>
    </w:p>
    <w:p>
      <w:pPr>
        <w:ind w:right="180" w:firstLine="3"/>
        <w:spacing w:after="0" w:line="281" w:lineRule="auto"/>
        <w:tabs>
          <w:tab w:leader="none" w:pos="171"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Subdivision of Common Stock</w:t>
      </w:r>
      <w:r>
        <w:rPr>
          <w:rFonts w:ascii="Arial" w:cs="Arial" w:eastAsia="Arial" w:hAnsi="Arial"/>
          <w:sz w:val="16"/>
          <w:szCs w:val="16"/>
          <w:color w:val="auto"/>
        </w:rPr>
        <w:t>. Notwithstanding anything herein to the contrary, if the Company at any time subdivides (by any stock split, stock dividend, recapitalization, reorganization, reclassification or otherwise) the shares of Common Stock and/or Common Stock Equivalent Junior Preferred Stock into a greater number of shares, then, after the date of record for effecting each such subdivision, all measurements and references herein related to share prices for such securities will be proportionately decreased and all references to share numbers for such securities herein will be proportionately increased.</w:t>
      </w:r>
    </w:p>
    <w:p>
      <w:pPr>
        <w:spacing w:after="0" w:line="125" w:lineRule="exact"/>
        <w:rPr>
          <w:rFonts w:ascii="Arial" w:cs="Arial" w:eastAsia="Arial" w:hAnsi="Arial"/>
          <w:sz w:val="16"/>
          <w:szCs w:val="16"/>
          <w:color w:val="auto"/>
        </w:rPr>
      </w:pPr>
    </w:p>
    <w:p>
      <w:pPr>
        <w:ind w:firstLine="3"/>
        <w:spacing w:after="0" w:line="273" w:lineRule="auto"/>
        <w:tabs>
          <w:tab w:leader="none" w:pos="171"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Nonperformance</w:t>
      </w:r>
      <w:r>
        <w:rPr>
          <w:rFonts w:ascii="Arial" w:cs="Arial" w:eastAsia="Arial" w:hAnsi="Arial"/>
          <w:sz w:val="16"/>
          <w:szCs w:val="16"/>
          <w:color w:val="auto"/>
        </w:rPr>
        <w:t>. If the Company, shall (i) at any time fail to deliver the shares of Common Stock Equivalent Junior Preferred Stock required to be delivered to the Holder pursuant hereto or (ii) at any time after the Company has obtained the approval of the stockholders of the Company to increase the authorized number of shares of Common Stock, fail to deliver the shares of Common Stock or required to be delivered to the Holder pursuant hereto, for any reason other than the failure of any condition precedent to the Company’s obligations hereunder or the failure by the Holder to comply with its obligations hereunder, then the Company shall (without limitation to the Holder’s other remedies at law or in equity): (i) indemnify and hold the Holder harmless against any loss, claim or damage arising from or as a result of such failure by the Company (regardless of whether any of the foregoing results from a third-party claim or otherwise) and (ii) reimburse the Holder for all of its reasonable out-of-pocket expenses (which includes fees and expenses of its counsel) incurred by the Holder in connection herewith and the transactions contemplated herein (regardless of whether any of the foregoing results from a third-party claim or otherwise).</w:t>
      </w:r>
    </w:p>
    <w:p>
      <w:pPr>
        <w:spacing w:after="0" w:line="146" w:lineRule="exact"/>
        <w:rPr>
          <w:rFonts w:ascii="Arial" w:cs="Arial" w:eastAsia="Arial" w:hAnsi="Arial"/>
          <w:sz w:val="16"/>
          <w:szCs w:val="16"/>
          <w:color w:val="auto"/>
        </w:rPr>
      </w:pPr>
    </w:p>
    <w:p>
      <w:pPr>
        <w:ind w:left="260" w:hanging="257"/>
        <w:spacing w:after="0"/>
        <w:tabs>
          <w:tab w:leader="none" w:pos="260"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The Holder may, in its sole discretion, freely assign, pledge, hypothecate or transfer all shares of Series C Preferred Stock.</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rest of this page is intentionally left blank.]</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4" w:name="page165"/>
    <w:bookmarkEnd w:id="164"/>
    <w:p>
      <w:pPr>
        <w:spacing w:after="0" w:line="200" w:lineRule="exact"/>
        <w:rPr>
          <w:sz w:val="20"/>
          <w:szCs w:val="20"/>
          <w:color w:val="auto"/>
        </w:rPr>
      </w:pPr>
    </w:p>
    <w:p>
      <w:pPr>
        <w:spacing w:after="0" w:line="334"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IN WITNESS WHEREOF, this Certificate of Rights and Preferences has been signed on behalf of the Company by its Chief Financial Officer and attested to by its Corporate Secretary, all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UNITED COMMUNITY BANKS, INC.</w:t>
      </w:r>
    </w:p>
    <w:p>
      <w:pPr>
        <w:spacing w:after="0" w:line="215"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3437255</wp:posOffset>
            </wp:positionH>
            <wp:positionV relativeFrom="paragraph">
              <wp:posOffset>13970</wp:posOffset>
            </wp:positionV>
            <wp:extent cx="311785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117850" cy="8255"/>
                    </a:xfrm>
                    <a:prstGeom prst="rect">
                      <a:avLst/>
                    </a:prstGeom>
                    <a:noFill/>
                  </pic:spPr>
                </pic:pic>
              </a:graphicData>
            </a:graphic>
          </wp:anchor>
        </w:drawing>
      </w:r>
    </w:p>
    <w:p>
      <w:pPr>
        <w:spacing w:after="0" w:line="208"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Name: Rex S. Schuette</w:t>
      </w:r>
    </w:p>
    <w:p>
      <w:pPr>
        <w:spacing w:after="0" w:line="21"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17"/>
          <w:szCs w:val="17"/>
          <w:color w:val="auto"/>
        </w:rPr>
        <w:t>Title:</w:t>
        <w:tab/>
        <w:t>Chief Financial Officer</w:t>
      </w:r>
    </w:p>
    <w:p>
      <w:pPr>
        <w:spacing w:after="0" w:line="204"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/s/ Lori McKay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3437255</wp:posOffset>
            </wp:positionH>
            <wp:positionV relativeFrom="paragraph">
              <wp:posOffset>13970</wp:posOffset>
            </wp:positionV>
            <wp:extent cx="31178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117850" cy="8255"/>
                    </a:xfrm>
                    <a:prstGeom prst="rect">
                      <a:avLst/>
                    </a:prstGeom>
                    <a:noFill/>
                  </pic:spPr>
                </pic:pic>
              </a:graphicData>
            </a:graphic>
          </wp:anchor>
        </w:drawing>
      </w:r>
    </w:p>
    <w:p>
      <w:pPr>
        <w:spacing w:after="0" w:line="208"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Name: Lori McKay</w:t>
      </w:r>
    </w:p>
    <w:p>
      <w:pPr>
        <w:spacing w:after="0" w:line="21"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17"/>
          <w:szCs w:val="17"/>
          <w:color w:val="auto"/>
        </w:rPr>
        <w:t>Title:</w:t>
        <w:tab/>
        <w:t>Corporate Secretary</w:t>
      </w:r>
    </w:p>
    <w:p>
      <w:pPr>
        <w:spacing w:after="0" w:line="16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[Signature Page to Certificate of Rights and Preferences]</w:t>
      </w:r>
    </w:p>
    <w:p>
      <w:pPr>
        <w:spacing w:after="0" w:line="200" w:lineRule="exact"/>
        <w:rPr>
          <w:sz w:val="20"/>
          <w:szCs w:val="20"/>
          <w:color w:val="auto"/>
        </w:rPr>
      </w:pPr>
    </w:p>
    <w:p>
      <w:pPr>
        <w:spacing w:after="0" w:line="361"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180"/>
          </w:cols>
          <w:pgMar w:left="240" w:top="1440" w:right="479" w:bottom="1440" w:gutter="0" w:footer="0" w:header="0"/>
        </w:sectPr>
      </w:pPr>
    </w:p>
    <w:bookmarkStart w:id="165" w:name="page166"/>
    <w:bookmarkEnd w:id="165"/>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DESIGNATION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COMMON STOCK EQUIVALENT JUNIOR PREFERRED STOCK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COMMUNITY BANKS, INC.</w:t>
      </w:r>
    </w:p>
    <w:p>
      <w:pPr>
        <w:spacing w:after="0" w:line="165"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Pursuant to Section 14-2-602 of the</w:t>
      </w:r>
    </w:p>
    <w:p>
      <w:pPr>
        <w:spacing w:after="0" w:line="21"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Georgia Business Corporation Code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United Community Banks, Inc., a corporation organized under the laws of the State of Georgia (the “</w:t>
      </w:r>
      <w:r>
        <w:rPr>
          <w:rFonts w:ascii="Arial" w:cs="Arial" w:eastAsia="Arial" w:hAnsi="Arial"/>
          <w:sz w:val="17"/>
          <w:szCs w:val="17"/>
          <w:u w:val="single" w:color="auto"/>
          <w:color w:val="auto"/>
        </w:rPr>
        <w:t>Corporation</w:t>
      </w:r>
      <w:r>
        <w:rPr>
          <w:rFonts w:ascii="Arial" w:cs="Arial" w:eastAsia="Arial" w:hAnsi="Arial"/>
          <w:sz w:val="17"/>
          <w:szCs w:val="17"/>
          <w:color w:val="auto"/>
        </w:rPr>
        <w:t>”), does hereby certify that:</w:t>
      </w:r>
    </w:p>
    <w:p>
      <w:pPr>
        <w:spacing w:after="0" w:line="176" w:lineRule="exact"/>
        <w:rPr>
          <w:sz w:val="20"/>
          <w:szCs w:val="20"/>
          <w:color w:val="auto"/>
        </w:rPr>
      </w:pPr>
    </w:p>
    <w:p>
      <w:pPr>
        <w:jc w:val="both"/>
        <w:ind w:right="320" w:firstLine="459"/>
        <w:spacing w:after="0" w:line="264" w:lineRule="auto"/>
        <w:tabs>
          <w:tab w:leader="none" w:pos="618" w:val="left"/>
        </w:tabs>
        <w:numPr>
          <w:ilvl w:val="0"/>
          <w:numId w:val="178"/>
        </w:numPr>
        <w:rPr>
          <w:rFonts w:ascii="Arial" w:cs="Arial" w:eastAsia="Arial" w:hAnsi="Arial"/>
          <w:sz w:val="17"/>
          <w:szCs w:val="17"/>
          <w:color w:val="auto"/>
        </w:rPr>
      </w:pPr>
      <w:r>
        <w:rPr>
          <w:rFonts w:ascii="Arial" w:cs="Arial" w:eastAsia="Arial" w:hAnsi="Arial"/>
          <w:sz w:val="17"/>
          <w:szCs w:val="17"/>
          <w:color w:val="auto"/>
        </w:rPr>
        <w:t>At a meeting duly convened and held on March 26, 2010, the Board of Directors of the Corporation (the “</w:t>
      </w:r>
      <w:r>
        <w:rPr>
          <w:rFonts w:ascii="Arial" w:cs="Arial" w:eastAsia="Arial" w:hAnsi="Arial"/>
          <w:sz w:val="17"/>
          <w:szCs w:val="17"/>
          <w:u w:val="single" w:color="auto"/>
          <w:color w:val="auto"/>
        </w:rPr>
        <w:t>Board</w:t>
      </w:r>
      <w:r>
        <w:rPr>
          <w:rFonts w:ascii="Arial" w:cs="Arial" w:eastAsia="Arial" w:hAnsi="Arial"/>
          <w:sz w:val="17"/>
          <w:szCs w:val="17"/>
          <w:color w:val="auto"/>
        </w:rPr>
        <w:t>”) duly adopted the following resolutions authorizing the issuance and sale by the Corporation of a series of the Corporation’s preferred stock, $1.00 par value per share, to be known as the Common Stock Equivalent Junior Preferred Stock:</w:t>
      </w:r>
    </w:p>
    <w:p>
      <w:pPr>
        <w:spacing w:after="0" w:line="133"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RESOLVED</w:t>
      </w:r>
      <w:r>
        <w:rPr>
          <w:rFonts w:ascii="Arial" w:cs="Arial" w:eastAsia="Arial" w:hAnsi="Arial"/>
          <w:sz w:val="15"/>
          <w:szCs w:val="15"/>
          <w:color w:val="auto"/>
        </w:rPr>
        <w:t xml:space="preserve">, that the powers, preferences, participation and other special rights, qualifications, limitations, restrictions and other designations of the Corporation’s Common Stock Equivalent Junior Preferred Stock, including those established by the Board and the number of authorized shares thereof, are authorized and approved as set forth in the Certificate of Designation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which is incorporated herein and made a part of these resolutions by reference.”</w:t>
      </w:r>
    </w:p>
    <w:p>
      <w:pPr>
        <w:spacing w:after="0" w:line="113" w:lineRule="exact"/>
        <w:rPr>
          <w:sz w:val="20"/>
          <w:szCs w:val="20"/>
          <w:color w:val="auto"/>
        </w:rPr>
      </w:pPr>
    </w:p>
    <w:p>
      <w:pPr>
        <w:ind w:left="460" w:hanging="457"/>
        <w:spacing w:after="0" w:line="578" w:lineRule="auto"/>
        <w:tabs>
          <w:tab w:leader="none" w:pos="165" w:val="left"/>
        </w:tabs>
        <w:numPr>
          <w:ilvl w:val="0"/>
          <w:numId w:val="179"/>
        </w:numPr>
        <w:rPr>
          <w:rFonts w:ascii="Arial" w:cs="Arial" w:eastAsia="Arial" w:hAnsi="Arial"/>
          <w:sz w:val="15"/>
          <w:szCs w:val="15"/>
          <w:color w:val="auto"/>
        </w:rPr>
      </w:pPr>
      <w:r>
        <w:rPr>
          <w:rFonts w:ascii="Arial" w:cs="Arial" w:eastAsia="Arial" w:hAnsi="Arial"/>
          <w:sz w:val="15"/>
          <w:szCs w:val="15"/>
          <w:color w:val="auto"/>
        </w:rPr>
        <w:t xml:space="preserve">Attached hereto, and thereby made a part hereof, is such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from the Board’s resolution designating the Common Stock Equivalent Junior Preferred Stock. </w:t>
      </w:r>
      <w:r>
        <w:rPr>
          <w:rFonts w:ascii="Arial" w:cs="Arial" w:eastAsia="Arial" w:hAnsi="Arial"/>
          <w:sz w:val="15"/>
          <w:szCs w:val="15"/>
          <w:b w:val="1"/>
          <w:bCs w:val="1"/>
          <w:color w:val="auto"/>
        </w:rPr>
        <w:t>IN WITNESS WHEREOF</w:t>
      </w:r>
      <w:r>
        <w:rPr>
          <w:rFonts w:ascii="Arial" w:cs="Arial" w:eastAsia="Arial" w:hAnsi="Arial"/>
          <w:sz w:val="15"/>
          <w:szCs w:val="15"/>
          <w:color w:val="auto"/>
        </w:rPr>
        <w:t>, this Certificate of Designation is executed on behalf of the Corporation by its duly authorized officer this 31st day of March, 2010.</w:t>
      </w:r>
    </w:p>
    <w:p>
      <w:pPr>
        <w:spacing w:after="0" w:line="200" w:lineRule="exact"/>
        <w:rPr>
          <w:sz w:val="20"/>
          <w:szCs w:val="20"/>
          <w:color w:val="auto"/>
        </w:rPr>
      </w:pPr>
    </w:p>
    <w:p>
      <w:pPr>
        <w:spacing w:after="0" w:line="388" w:lineRule="exact"/>
        <w:rPr>
          <w:sz w:val="20"/>
          <w:szCs w:val="20"/>
          <w:color w:val="auto"/>
        </w:rPr>
      </w:pPr>
    </w:p>
    <w:p>
      <w:pPr>
        <w:ind w:left="5240"/>
        <w:spacing w:after="0"/>
        <w:rPr>
          <w:sz w:val="20"/>
          <w:szCs w:val="20"/>
          <w:color w:val="auto"/>
        </w:rPr>
      </w:pPr>
      <w:r>
        <w:rPr>
          <w:rFonts w:ascii="Arial" w:cs="Arial" w:eastAsia="Arial" w:hAnsi="Arial"/>
          <w:sz w:val="17"/>
          <w:szCs w:val="17"/>
          <w:b w:val="1"/>
          <w:bCs w:val="1"/>
          <w:color w:val="auto"/>
        </w:rPr>
        <w:t>UNITED COMMUNITY BANKS, INC.</w:t>
      </w: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By:  /s/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13970</wp:posOffset>
            </wp:positionV>
            <wp:extent cx="301244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012440" cy="8255"/>
                    </a:xfrm>
                    <a:prstGeom prst="rect">
                      <a:avLst/>
                    </a:prstGeom>
                    <a:noFill/>
                  </pic:spPr>
                </pic:pic>
              </a:graphicData>
            </a:graphic>
          </wp:anchor>
        </w:drawing>
      </w:r>
    </w:p>
    <w:p>
      <w:pPr>
        <w:spacing w:after="0" w:line="208"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Name: Rex S. Schuette</w:t>
      </w:r>
    </w:p>
    <w:p>
      <w:pPr>
        <w:spacing w:after="0" w:line="21"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7"/>
          <w:szCs w:val="17"/>
          <w:color w:val="auto"/>
        </w:rPr>
        <w:t>Title:</w:t>
        <w:tab/>
        <w:t>Executive Vice President &amp; CFO</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6" w:name="page167"/>
    <w:bookmarkEnd w:id="166"/>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DESIGNATION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COMMON STOCK EQUIVALENT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JUNIOR PREFERRED STOCK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COMMUNITY BANKS, INC.</w:t>
      </w:r>
    </w:p>
    <w:p>
      <w:pPr>
        <w:spacing w:after="0" w:line="178" w:lineRule="exact"/>
        <w:rPr>
          <w:sz w:val="20"/>
          <w:szCs w:val="20"/>
          <w:color w:val="auto"/>
        </w:rPr>
      </w:pPr>
    </w:p>
    <w:p>
      <w:pPr>
        <w:ind w:right="400" w:firstLine="457"/>
        <w:spacing w:after="0" w:line="305" w:lineRule="auto"/>
        <w:rPr>
          <w:sz w:val="20"/>
          <w:szCs w:val="20"/>
          <w:color w:val="auto"/>
        </w:rPr>
      </w:pPr>
      <w:r>
        <w:rPr>
          <w:rFonts w:ascii="Arial" w:cs="Arial" w:eastAsia="Arial" w:hAnsi="Arial"/>
          <w:sz w:val="15"/>
          <w:szCs w:val="15"/>
          <w:color w:val="auto"/>
        </w:rPr>
        <w:t>Pursuant to the authority vested in the Board of Directors (the “</w:t>
      </w:r>
      <w:r>
        <w:rPr>
          <w:rFonts w:ascii="Arial" w:cs="Arial" w:eastAsia="Arial" w:hAnsi="Arial"/>
          <w:sz w:val="15"/>
          <w:szCs w:val="15"/>
          <w:u w:val="single" w:color="auto"/>
          <w:color w:val="auto"/>
        </w:rPr>
        <w:t>Board</w:t>
      </w:r>
      <w:r>
        <w:rPr>
          <w:rFonts w:ascii="Arial" w:cs="Arial" w:eastAsia="Arial" w:hAnsi="Arial"/>
          <w:sz w:val="15"/>
          <w:szCs w:val="15"/>
          <w:color w:val="auto"/>
        </w:rPr>
        <w:t>”) by the Restated Articles of Incorporation of United Community Banks, Inc. (the “</w:t>
      </w:r>
      <w:r>
        <w:rPr>
          <w:rFonts w:ascii="Arial" w:cs="Arial" w:eastAsia="Arial" w:hAnsi="Arial"/>
          <w:sz w:val="15"/>
          <w:szCs w:val="15"/>
          <w:u w:val="single" w:color="auto"/>
          <w:color w:val="auto"/>
        </w:rPr>
        <w:t>Corporation</w:t>
      </w:r>
      <w:r>
        <w:rPr>
          <w:rFonts w:ascii="Arial" w:cs="Arial" w:eastAsia="Arial" w:hAnsi="Arial"/>
          <w:sz w:val="15"/>
          <w:szCs w:val="15"/>
          <w:color w:val="auto"/>
        </w:rPr>
        <w:t>”), as amended (the “</w:t>
      </w:r>
      <w:r>
        <w:rPr>
          <w:rFonts w:ascii="Arial" w:cs="Arial" w:eastAsia="Arial" w:hAnsi="Arial"/>
          <w:sz w:val="15"/>
          <w:szCs w:val="15"/>
          <w:u w:val="single" w:color="auto"/>
          <w:color w:val="auto"/>
        </w:rPr>
        <w:t>Articles of Incorporation</w:t>
      </w:r>
      <w:r>
        <w:rPr>
          <w:rFonts w:ascii="Arial" w:cs="Arial" w:eastAsia="Arial" w:hAnsi="Arial"/>
          <w:sz w:val="15"/>
          <w:szCs w:val="15"/>
          <w:color w:val="auto"/>
        </w:rPr>
        <w:t>”), the Board does hereby designate, create, authorize and provide for the issue of a series of preferred stock, $1.00 par value per share, which shall be designated as “Common Stock Equivalent Junior Preferred Stock” (the “</w:t>
      </w:r>
      <w:r>
        <w:rPr>
          <w:rFonts w:ascii="Arial" w:cs="Arial" w:eastAsia="Arial" w:hAnsi="Arial"/>
          <w:sz w:val="15"/>
          <w:szCs w:val="15"/>
          <w:u w:val="single" w:color="auto"/>
          <w:color w:val="auto"/>
        </w:rPr>
        <w:t>Junior Preferred Stock</w:t>
      </w:r>
      <w:r>
        <w:rPr>
          <w:rFonts w:ascii="Arial" w:cs="Arial" w:eastAsia="Arial" w:hAnsi="Arial"/>
          <w:sz w:val="15"/>
          <w:szCs w:val="15"/>
          <w:color w:val="auto"/>
        </w:rPr>
        <w:t>”), consisting of 1,000,000 shares having the following powers, preferences, participation and other special rights, qualifications, limitations, restrictions and other designations: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I. Definitions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Acquiring Person</w:t>
      </w:r>
      <w:r>
        <w:rPr>
          <w:rFonts w:ascii="Arial" w:cs="Arial" w:eastAsia="Arial" w:hAnsi="Arial"/>
          <w:sz w:val="17"/>
          <w:szCs w:val="17"/>
          <w:color w:val="auto"/>
        </w:rPr>
        <w:t>” has the meaning specified in Section VI(c).</w:t>
      </w:r>
    </w:p>
    <w:p>
      <w:pPr>
        <w:spacing w:after="0" w:line="189" w:lineRule="exact"/>
        <w:rPr>
          <w:sz w:val="20"/>
          <w:szCs w:val="20"/>
          <w:color w:val="auto"/>
        </w:rPr>
      </w:pPr>
    </w:p>
    <w:p>
      <w:pPr>
        <w:ind w:right="70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Conversion Rate</w:t>
      </w:r>
      <w:r>
        <w:rPr>
          <w:rFonts w:ascii="Arial" w:cs="Arial" w:eastAsia="Arial" w:hAnsi="Arial"/>
          <w:sz w:val="17"/>
          <w:szCs w:val="17"/>
          <w:color w:val="auto"/>
        </w:rPr>
        <w:t>” means the Initial Conversion Rate, subject to adjustment pursuant to Section II(b), as applicable, for any such event occurring subsequent to the initial determination of such rate.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has the meaning specified in the preamble.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Articles of Incorporation</w:t>
      </w:r>
      <w:r>
        <w:rPr>
          <w:rFonts w:ascii="Arial" w:cs="Arial" w:eastAsia="Arial" w:hAnsi="Arial"/>
          <w:sz w:val="17"/>
          <w:szCs w:val="17"/>
          <w:color w:val="auto"/>
        </w:rPr>
        <w:t>” has the meaning specified in the preamble.</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Capacity Amendment</w:t>
      </w:r>
      <w:r>
        <w:rPr>
          <w:rFonts w:ascii="Arial" w:cs="Arial" w:eastAsia="Arial" w:hAnsi="Arial"/>
          <w:sz w:val="17"/>
          <w:szCs w:val="17"/>
          <w:color w:val="auto"/>
        </w:rPr>
        <w:t>” means an amendment to the Articles of Incorporation increasing the number of shares of Common Stock that the Corporation is authorized to issue to more than 100,000,000.</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has the meaning specified in Section VI(b).</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Dividend Equivalent Amount</w:t>
      </w:r>
      <w:r>
        <w:rPr>
          <w:rFonts w:ascii="Arial" w:cs="Arial" w:eastAsia="Arial" w:hAnsi="Arial"/>
          <w:sz w:val="17"/>
          <w:szCs w:val="17"/>
          <w:color w:val="auto"/>
        </w:rPr>
        <w:t>” has the meaning specified in Section III(a).</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means the Common Stock, $1.00 par value per share, of the Corporation.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Date</w:t>
      </w:r>
      <w:r>
        <w:rPr>
          <w:rFonts w:ascii="Arial" w:cs="Arial" w:eastAsia="Arial" w:hAnsi="Arial"/>
          <w:sz w:val="17"/>
          <w:szCs w:val="17"/>
          <w:color w:val="auto"/>
        </w:rPr>
        <w:t>” means, with respect to a share of Junior Preferred Stock, the date on which such share is converted into Common Stock.</w:t>
      </w:r>
    </w:p>
    <w:p>
      <w:pPr>
        <w:spacing w:after="0" w:line="176" w:lineRule="exact"/>
        <w:rPr>
          <w:sz w:val="20"/>
          <w:szCs w:val="20"/>
          <w:color w:val="auto"/>
        </w:rPr>
      </w:pPr>
    </w:p>
    <w:p>
      <w:pPr>
        <w:ind w:right="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Convertible Holder</w:t>
      </w:r>
      <w:r>
        <w:rPr>
          <w:rFonts w:ascii="Arial" w:cs="Arial" w:eastAsia="Arial" w:hAnsi="Arial"/>
          <w:sz w:val="17"/>
          <w:szCs w:val="17"/>
          <w:color w:val="auto"/>
        </w:rPr>
        <w:t>” means a Holder, other than the initial Holder or an affiliate thereof, who acquires one or more shares of Junior Preferred Stock following a Permitted Transfer.</w:t>
      </w:r>
    </w:p>
    <w:p>
      <w:pPr>
        <w:spacing w:after="0" w:line="139" w:lineRule="exact"/>
        <w:rPr>
          <w:sz w:val="20"/>
          <w:szCs w:val="20"/>
          <w:color w:val="auto"/>
        </w:rPr>
      </w:pPr>
    </w:p>
    <w:p>
      <w:pPr>
        <w:ind w:right="66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Conversion Notice</w:t>
      </w:r>
      <w:r>
        <w:rPr>
          <w:rFonts w:ascii="Arial" w:cs="Arial" w:eastAsia="Arial" w:hAnsi="Arial"/>
          <w:sz w:val="17"/>
          <w:szCs w:val="17"/>
          <w:color w:val="auto"/>
        </w:rPr>
        <w:t>” shall mean the notice given by a Convertible Holder to the Corporation, specifying the number of shares of Junior Preferred Stock to be converted into Common Stock and certifying that such Person is a Convertible Holder.</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Corporation</w:t>
      </w:r>
      <w:r>
        <w:rPr>
          <w:rFonts w:ascii="Arial" w:cs="Arial" w:eastAsia="Arial" w:hAnsi="Arial"/>
          <w:sz w:val="17"/>
          <w:szCs w:val="17"/>
          <w:color w:val="auto"/>
        </w:rPr>
        <w:t>” has the meaning specified in the preamble.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7" w:name="page168"/>
    <w:bookmarkEnd w:id="167"/>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Property</w:t>
      </w:r>
      <w:r>
        <w:rPr>
          <w:rFonts w:ascii="Arial" w:cs="Arial" w:eastAsia="Arial" w:hAnsi="Arial"/>
          <w:sz w:val="17"/>
          <w:szCs w:val="17"/>
          <w:color w:val="auto"/>
        </w:rPr>
        <w:t>” has the meaning specified in Section VI(a).</w:t>
      </w:r>
    </w:p>
    <w:p>
      <w:pPr>
        <w:spacing w:after="0" w:line="176"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Holder</w:t>
      </w:r>
      <w:r>
        <w:rPr>
          <w:rFonts w:ascii="Arial" w:cs="Arial" w:eastAsia="Arial" w:hAnsi="Arial"/>
          <w:sz w:val="17"/>
          <w:szCs w:val="17"/>
          <w:color w:val="auto"/>
        </w:rPr>
        <w:t>” means a Person in whose name any shares of Junior Preferred Stock are registered, which may be treated by the Corporation as the absolute owner of such shares for all purposes.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Conversion Rate</w:t>
      </w:r>
      <w:r>
        <w:rPr>
          <w:rFonts w:ascii="Arial" w:cs="Arial" w:eastAsia="Arial" w:hAnsi="Arial"/>
          <w:sz w:val="17"/>
          <w:szCs w:val="17"/>
          <w:color w:val="auto"/>
        </w:rPr>
        <w:t>” means, for each share of Junior Preferred Stock, one hundred (100) shares of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 Date</w:t>
      </w:r>
      <w:r>
        <w:rPr>
          <w:rFonts w:ascii="Arial" w:cs="Arial" w:eastAsia="Arial" w:hAnsi="Arial"/>
          <w:sz w:val="17"/>
          <w:szCs w:val="17"/>
          <w:color w:val="auto"/>
        </w:rPr>
        <w:t>” means the date that the Junior Preferred Stock is first issued.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Preferred Stock</w:t>
      </w:r>
      <w:r>
        <w:rPr>
          <w:rFonts w:ascii="Arial" w:cs="Arial" w:eastAsia="Arial" w:hAnsi="Arial"/>
          <w:sz w:val="17"/>
          <w:szCs w:val="17"/>
          <w:color w:val="auto"/>
        </w:rPr>
        <w:t>” has the meaning specified in the preamble.</w:t>
      </w:r>
    </w:p>
    <w:p>
      <w:pPr>
        <w:spacing w:after="0" w:line="189"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Stock</w:t>
      </w:r>
      <w:r>
        <w:rPr>
          <w:rFonts w:ascii="Arial" w:cs="Arial" w:eastAsia="Arial" w:hAnsi="Arial"/>
          <w:sz w:val="17"/>
          <w:szCs w:val="17"/>
          <w:color w:val="auto"/>
        </w:rPr>
        <w:t>” shall mean any class of capital stock or series of Preferred Stock of the Corporation established by the Board after the Issue Date, the terms of which do not expressly provide that such class or series ranks senior to or on parity with the Junior Preferred Stock as to dividend rights or rights upon the liquidation, winding-up or dissolution of the Corporation.</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Liquidation Event</w:t>
      </w:r>
      <w:r>
        <w:rPr>
          <w:rFonts w:ascii="Arial" w:cs="Arial" w:eastAsia="Arial" w:hAnsi="Arial"/>
          <w:sz w:val="17"/>
          <w:szCs w:val="17"/>
          <w:color w:val="auto"/>
        </w:rPr>
        <w:t>” has the meaning specified in Section V(a).</w:t>
      </w:r>
    </w:p>
    <w:p>
      <w:pPr>
        <w:spacing w:after="0" w:line="176" w:lineRule="exact"/>
        <w:rPr>
          <w:sz w:val="20"/>
          <w:szCs w:val="20"/>
          <w:color w:val="auto"/>
        </w:rPr>
      </w:pPr>
    </w:p>
    <w:p>
      <w:pPr>
        <w:ind w:right="260"/>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Parity Stock</w:t>
      </w:r>
      <w:r>
        <w:rPr>
          <w:rFonts w:ascii="Arial" w:cs="Arial" w:eastAsia="Arial" w:hAnsi="Arial"/>
          <w:sz w:val="17"/>
          <w:szCs w:val="17"/>
          <w:color w:val="auto"/>
        </w:rPr>
        <w:t>” shall mean any class of capital stock or series of Preferred Stock established by the Board after the Issue Date, the terms of which expressly provide that such class or series will rank on parity with the Junior Preferred Stock as to dividend rights or rights upon the liquidation, winding-up or dissolution of the Corporation.</w:t>
      </w:r>
    </w:p>
    <w:p>
      <w:pPr>
        <w:spacing w:after="0" w:line="150"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w:t>
      </w:r>
      <w:r>
        <w:rPr>
          <w:rFonts w:ascii="Arial" w:cs="Arial" w:eastAsia="Arial" w:hAnsi="Arial"/>
          <w:sz w:val="16"/>
          <w:szCs w:val="16"/>
          <w:color w:val="auto"/>
        </w:rPr>
        <w:t>” means a sale or other transfer (i) to an affiliate of the initial Holder or to the Corporation; (ii) in a widespread public distribution; (iii) in transfer in which no transferee (or group of associated transferees) would receive 2 percent or more of any class of voting securities of the Corporation; or (iv) to a transferee that would control more than 50 percent of the voting securities of the Corporation without any transfer from the initial Holder.</w:t>
      </w:r>
    </w:p>
    <w:p>
      <w:pPr>
        <w:spacing w:after="0" w:line="120" w:lineRule="exact"/>
        <w:rPr>
          <w:sz w:val="20"/>
          <w:szCs w:val="20"/>
          <w:color w:val="auto"/>
        </w:rPr>
      </w:pPr>
    </w:p>
    <w:p>
      <w:pPr>
        <w:jc w:val="both"/>
        <w:ind w:right="8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 legal person, including any individual, corporation, estate, partnership, joint venture, association, joint-stock company, limited liability company or trust.</w:t>
      </w:r>
    </w:p>
    <w:p>
      <w:pPr>
        <w:spacing w:after="0" w:line="126"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Record Date</w:t>
      </w:r>
      <w:r>
        <w:rPr>
          <w:rFonts w:ascii="Arial" w:cs="Arial" w:eastAsia="Arial" w:hAnsi="Arial"/>
          <w:sz w:val="15"/>
          <w:szCs w:val="15"/>
          <w:color w:val="auto"/>
        </w:rPr>
        <w:t>” means, with respect to any dividend, distribution or other transaction or event in which the holders of the Common Stock (or other applicable security) have the right to receive any cash, securities or other property or in which the Common Stock (or other applicable security) is exchanged for or converted into any combination of cash, securities or other property, the date fixed for determination of holders of the Common Stock (or other applicable security) entitled to receive such cash, securities or other property (whether such date is fixed by the Board or a duly authorized committee of the Board or by statute, contract or otherwise).</w:t>
      </w:r>
    </w:p>
    <w:p>
      <w:pPr>
        <w:spacing w:after="0" w:line="123" w:lineRule="exact"/>
        <w:rPr>
          <w:sz w:val="20"/>
          <w:szCs w:val="20"/>
          <w:color w:val="auto"/>
        </w:rPr>
      </w:pPr>
    </w:p>
    <w:p>
      <w:pPr>
        <w:spacing w:after="0" w:line="34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Senior Stock</w:t>
      </w:r>
      <w:r>
        <w:rPr>
          <w:rFonts w:ascii="Arial" w:cs="Arial" w:eastAsia="Arial" w:hAnsi="Arial"/>
          <w:sz w:val="15"/>
          <w:szCs w:val="15"/>
          <w:color w:val="auto"/>
        </w:rPr>
        <w:t>” shall mean each class of capital stock or series of Preferred Stock established by the Board after the Issue Date, the terms of which expressly provide that such class or series will rank senior to the Junior Preferred Stock as to dividend rights or rights upon the liquidation, winding-up or dissolution of the Corporation.</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Stockholder Approval</w:t>
      </w:r>
      <w:r>
        <w:rPr>
          <w:rFonts w:ascii="Arial" w:cs="Arial" w:eastAsia="Arial" w:hAnsi="Arial"/>
          <w:sz w:val="17"/>
          <w:szCs w:val="17"/>
          <w:color w:val="auto"/>
        </w:rPr>
        <w:t>” means the requisite approval by the stockholders of the Corporation of the Capacity Amendment.</w:t>
      </w:r>
    </w:p>
    <w:p>
      <w:pPr>
        <w:spacing w:after="0" w:line="176"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 Agent</w:t>
      </w:r>
      <w:r>
        <w:rPr>
          <w:rFonts w:ascii="Arial" w:cs="Arial" w:eastAsia="Arial" w:hAnsi="Arial"/>
          <w:sz w:val="17"/>
          <w:szCs w:val="17"/>
          <w:color w:val="auto"/>
        </w:rPr>
        <w:t>” shall mean the Corporation’s duly appointed transfer agent, registrar, redemption, conversion and dividend disbursing agent for the Junior Preferred Stock and transfer agent and registrar for any Common Stock issued upon conversion of the Junior Preferred Stock, or any successor duly appointed by the Corporation.</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68" w:name="page169"/>
    <w:bookmarkEnd w:id="168"/>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II. Conversion</w:t>
      </w:r>
    </w:p>
    <w:p>
      <w:pPr>
        <w:spacing w:after="0" w:line="180" w:lineRule="exact"/>
        <w:rPr>
          <w:sz w:val="20"/>
          <w:szCs w:val="20"/>
          <w:color w:val="auto"/>
        </w:rPr>
      </w:pPr>
    </w:p>
    <w:p>
      <w:pPr>
        <w:ind w:right="120" w:firstLine="459"/>
        <w:spacing w:after="0" w:line="297" w:lineRule="auto"/>
        <w:tabs>
          <w:tab w:leader="none" w:pos="689" w:val="left"/>
        </w:tabs>
        <w:numPr>
          <w:ilvl w:val="0"/>
          <w:numId w:val="180"/>
        </w:numPr>
        <w:rPr>
          <w:rFonts w:ascii="Arial" w:cs="Arial" w:eastAsia="Arial" w:hAnsi="Arial"/>
          <w:sz w:val="15"/>
          <w:szCs w:val="15"/>
          <w:color w:val="auto"/>
        </w:rPr>
      </w:pPr>
      <w:r>
        <w:rPr>
          <w:rFonts w:ascii="Arial" w:cs="Arial" w:eastAsia="Arial" w:hAnsi="Arial"/>
          <w:sz w:val="15"/>
          <w:szCs w:val="15"/>
          <w:color w:val="auto"/>
        </w:rPr>
        <w:t>No share of Junior Preferred Stock (or fraction thereof) may be converted into Common Stock unless held by a Convertible Holder. Each share of Junior Preferred Stock (or fraction thereof) held by a Convertible Holder shall be convertible at any time following the Stockholder Approval into a number of shares of Common Stock equal to the product of (i) the fraction of a share of Junior Preferred Stock converted and (ii) the Applicable Conversion Rate in effect on the Conversion Date, plus cash in lieu of any fractional shares of Common Stock pursuant to Section II(c)(iv). For all purposes with respect to the conversion of Junior Preferred Stock, references herein to “Common Stock” shall include and mean any cash, securities or other property (including payments of cash in lieu of fractional shares of Common Stock) that may be due upon such conversion and references to “Junior Preferred Stock” shall include and mean any fractional shares thereof.</w:t>
      </w:r>
    </w:p>
    <w:p>
      <w:pPr>
        <w:spacing w:after="0" w:line="129" w:lineRule="exact"/>
        <w:rPr>
          <w:rFonts w:ascii="Arial" w:cs="Arial" w:eastAsia="Arial" w:hAnsi="Arial"/>
          <w:sz w:val="15"/>
          <w:szCs w:val="15"/>
          <w:color w:val="auto"/>
        </w:rPr>
      </w:pPr>
    </w:p>
    <w:p>
      <w:pPr>
        <w:ind w:firstLine="459"/>
        <w:spacing w:after="0" w:line="272" w:lineRule="auto"/>
        <w:tabs>
          <w:tab w:leader="none" w:pos="689"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Adjustments to Conversion Rate. If, at any time while Junior Preferred Stock remains outstanding, (i) the Corporation issues to holders of the Common Stock as a class shares of Common Stock or other securities of the Corporation as a dividend or distribution on the Common Stock, or (ii) the Corporation effects a share split or share combination of the Common Stock, (each, an “</w:t>
      </w:r>
      <w:r>
        <w:rPr>
          <w:rFonts w:ascii="Arial" w:cs="Arial" w:eastAsia="Arial" w:hAnsi="Arial"/>
          <w:sz w:val="16"/>
          <w:szCs w:val="16"/>
          <w:u w:val="single" w:color="auto"/>
          <w:color w:val="auto"/>
        </w:rPr>
        <w:t>Adjustment Event</w:t>
      </w:r>
      <w:r>
        <w:rPr>
          <w:rFonts w:ascii="Arial" w:cs="Arial" w:eastAsia="Arial" w:hAnsi="Arial"/>
          <w:sz w:val="16"/>
          <w:szCs w:val="16"/>
          <w:color w:val="auto"/>
        </w:rPr>
        <w:t>”), then the Corporation shall adjust the Initial Conversion Rate or Applicable Conversion Rate, as applicable, or other terms of the Junior Preferred Stock in effect immediately prior to such event so that each Holder of shares of Junior Preferred Stock thereafter surrendered for conversion shall be entitled to receive the number of shares of Common Stock that such Holder would have owned or would have been entitled to receive upon or by reason of any of the events described above, had such shares of the Junior Preferred Stock been converted into shares of Common Stock immediately prior to the occurrence of such event. An adjustment made pursuant to this Section II(b) shall become effective retroactively (x) in the case of any such dividend or distribution, to the day immediately following the close of business on the Record Date for the determination of holders of Common Stock entitled to receive such dividend or distribution or (y) in the case of any such subdivision, split, combination or reclassification, to the close of business on the day upon which such corporate action becomes effective.</w:t>
      </w:r>
    </w:p>
    <w:p>
      <w:pPr>
        <w:spacing w:after="0" w:line="132" w:lineRule="exact"/>
        <w:rPr>
          <w:rFonts w:ascii="Arial" w:cs="Arial" w:eastAsia="Arial" w:hAnsi="Arial"/>
          <w:sz w:val="16"/>
          <w:szCs w:val="16"/>
          <w:color w:val="auto"/>
        </w:rPr>
      </w:pPr>
    </w:p>
    <w:p>
      <w:pPr>
        <w:ind w:left="700" w:hanging="241"/>
        <w:spacing w:after="0"/>
        <w:tabs>
          <w:tab w:leader="none" w:pos="7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Shares of Junior Preferred Stock shall be converted into shares of Common Stock in accordance with the following procedures:</w:t>
      </w:r>
    </w:p>
    <w:p>
      <w:pPr>
        <w:spacing w:after="0" w:line="176" w:lineRule="exact"/>
        <w:rPr>
          <w:sz w:val="20"/>
          <w:szCs w:val="20"/>
          <w:color w:val="auto"/>
        </w:rPr>
      </w:pPr>
    </w:p>
    <w:p>
      <w:pPr>
        <w:ind w:right="40" w:firstLine="459"/>
        <w:spacing w:after="0" w:line="281" w:lineRule="auto"/>
        <w:tabs>
          <w:tab w:leader="none" w:pos="651"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At all times after the Stockholder Approval, a Convertible Holder may exercise a conversion right by the delivery of a Conversion Notice to the office of the Transfer Agent during normal business hours and (if so required by the Corporation or the Transfer Agent) an instrument of transfer, in form satisfactory to the Corporation and to the Transfer Agent, duly executed by such Convertible Holder or his duly authorized attorney, and funds in the amount of any applicable transfer tax (unless provision satisfactory to the Corporation is otherwise made therefor), if required pursuant to Section II(c)(iii).</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69" w:name="page170"/>
    <w:bookmarkEnd w:id="169"/>
    <w:p>
      <w:pPr>
        <w:spacing w:after="0" w:line="200" w:lineRule="exact"/>
        <w:rPr>
          <w:sz w:val="20"/>
          <w:szCs w:val="20"/>
          <w:color w:val="auto"/>
        </w:rPr>
      </w:pPr>
    </w:p>
    <w:p>
      <w:pPr>
        <w:spacing w:after="0" w:line="334" w:lineRule="exact"/>
        <w:rPr>
          <w:sz w:val="20"/>
          <w:szCs w:val="20"/>
          <w:color w:val="auto"/>
        </w:rPr>
      </w:pPr>
    </w:p>
    <w:p>
      <w:pPr>
        <w:ind w:right="20" w:firstLine="459"/>
        <w:spacing w:after="0" w:line="272" w:lineRule="auto"/>
        <w:tabs>
          <w:tab w:leader="none" w:pos="699"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As promptly as practicable after the delivery of a Conversion Notice and the payment in cash of any amount required by the provisions of Sections 2(c)(i) and 2(c)(iii), the Corporation will deliver or cause to be delivered at the office of the Transfer Agent to or upon the written order of the Convertible Holder, certificates or a confirmation of book-entry transfer of shares representing the number of fully paid and non-assessable shares of Common Stock issuable upon such conversion, issued in such name or names as the Convertible Holder may direct. Such conversion shall be deemed to have been made immediately prior to the close of business on the date of the delivery of the Conversion Notice, and all rights of the Convertible Holder shall cease with respect to such shares of Junior Preferred Stock at such time and the Person or Persons in whose name or names the shares of Common Stock issued upon conversion are to be issued shall be treated for all purposes as having become the record holder or holders of such shares of Common Stock at such time; provided, however, that any delivery of a Conversion Notice and payment on any date when the stock transfer books of the Corporation shall be closed shall constitute the Person or Persons in whose name or names the shares of Common Stock are to be issued as the record holder or holders thereof for all purposes immediately prior to the close of business on the next succeeding day on which such stock transfer books are open.</w:t>
      </w:r>
    </w:p>
    <w:p>
      <w:pPr>
        <w:spacing w:after="0" w:line="132" w:lineRule="exact"/>
        <w:rPr>
          <w:rFonts w:ascii="Arial" w:cs="Arial" w:eastAsia="Arial" w:hAnsi="Arial"/>
          <w:sz w:val="16"/>
          <w:szCs w:val="16"/>
          <w:color w:val="auto"/>
        </w:rPr>
      </w:pPr>
    </w:p>
    <w:p>
      <w:pPr>
        <w:ind w:right="20" w:firstLine="459"/>
        <w:spacing w:after="0" w:line="281" w:lineRule="auto"/>
        <w:tabs>
          <w:tab w:leader="none" w:pos="753"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issuance of shares of Common Stock upon conversion of shares of Junior Preferred Stock shall be made without charge for any stamp or other similar tax in respect of such issuance. However, if any such shares to be issued upon conversion are to be issued in a name other than that of the Holder of the share or shares of Junior Preferred Stock converted, the person or persons requesting the issuance thereof shall pay to the Corporation the amount of any tax which may be payable in respect of any transfer involved in such issuance, or shall establish to the satisfaction of the Corporation that such tax has been paid.</w:t>
      </w:r>
    </w:p>
    <w:p>
      <w:pPr>
        <w:spacing w:after="0" w:line="138" w:lineRule="exact"/>
        <w:rPr>
          <w:rFonts w:ascii="Arial" w:cs="Arial" w:eastAsia="Arial" w:hAnsi="Arial"/>
          <w:sz w:val="16"/>
          <w:szCs w:val="16"/>
          <w:color w:val="auto"/>
        </w:rPr>
      </w:pPr>
    </w:p>
    <w:p>
      <w:pPr>
        <w:ind w:firstLine="459"/>
        <w:spacing w:after="0" w:line="255" w:lineRule="auto"/>
        <w:tabs>
          <w:tab w:leader="none" w:pos="746" w:val="left"/>
        </w:tabs>
        <w:numPr>
          <w:ilvl w:val="0"/>
          <w:numId w:val="182"/>
        </w:numPr>
        <w:rPr>
          <w:rFonts w:ascii="Arial" w:cs="Arial" w:eastAsia="Arial" w:hAnsi="Arial"/>
          <w:sz w:val="17"/>
          <w:szCs w:val="17"/>
          <w:color w:val="auto"/>
        </w:rPr>
      </w:pPr>
      <w:r>
        <w:rPr>
          <w:rFonts w:ascii="Arial" w:cs="Arial" w:eastAsia="Arial" w:hAnsi="Arial"/>
          <w:sz w:val="17"/>
          <w:szCs w:val="17"/>
          <w:color w:val="auto"/>
        </w:rPr>
        <w:t>No fractional shares of Common Stock or scrip shall be issued upon conversion of shares of Junior Preferred Stock. If more than one share of Junior Preferred Stock shall be surrendered for conversion at any one time by the same Holder, the number of full shares of Common Stock issuable upon conversion thereof shall be computed on the basis of the aggregate number of shares of Junior Preferred Stock so surrendered. Instead of any fractional shares of Common Stock that would otherwise be issuable upon conversion of any shares of Junior Preferred Stock, the Corporation shall pay to the Holder an amount in cash in respect of such fractional interest equal to the value of such fractional interest based on the closing sales price of the Common Stock on such national securities exchange or automated quotation system on which the Common Stock is then listed or authorized for quotation or, if the Common Stock is not so listed or authorized for quotation, an amount determined in good faith by the Board to be the fair value of the Common Stock at the close of business on the business day immediately preceding the applicable Conversion Date.</w:t>
      </w:r>
    </w:p>
    <w:p>
      <w:pPr>
        <w:spacing w:after="0" w:line="146" w:lineRule="exact"/>
        <w:rPr>
          <w:rFonts w:ascii="Arial" w:cs="Arial" w:eastAsia="Arial" w:hAnsi="Arial"/>
          <w:sz w:val="17"/>
          <w:szCs w:val="17"/>
          <w:color w:val="auto"/>
        </w:rPr>
      </w:pPr>
    </w:p>
    <w:p>
      <w:pPr>
        <w:ind w:right="60" w:firstLine="459"/>
        <w:spacing w:after="0" w:line="281" w:lineRule="auto"/>
        <w:tabs>
          <w:tab w:leader="none" w:pos="689"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At all times after the Stockholder Approval, the Corporation shall be required to reserve or keep available, out of its authorized but unissued Common Stock, or have sufficient authorized Common Stock to cover, the shares of Common Stock deliverable upon the conversion of the Junior Preferred Stock The Corporation shall take all action necessary so that all shares of Common Stock that may be issued upon conversion of shares of Junior Preferred Stock will upon issue be validly issued, fully paid and nonassessable, and free from all liens and charges in respect of the issuance or delivery thereof.</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0" w:name="page171"/>
    <w:bookmarkEnd w:id="170"/>
    <w:p>
      <w:pPr>
        <w:spacing w:after="0" w:line="200" w:lineRule="exact"/>
        <w:rPr>
          <w:sz w:val="20"/>
          <w:szCs w:val="20"/>
          <w:color w:val="auto"/>
        </w:rPr>
      </w:pPr>
    </w:p>
    <w:p>
      <w:pPr>
        <w:spacing w:after="0" w:line="334" w:lineRule="exact"/>
        <w:rPr>
          <w:sz w:val="20"/>
          <w:szCs w:val="20"/>
          <w:color w:val="auto"/>
        </w:rPr>
      </w:pPr>
    </w:p>
    <w:p>
      <w:pPr>
        <w:ind w:right="80" w:firstLine="459"/>
        <w:spacing w:after="0" w:line="315" w:lineRule="auto"/>
        <w:tabs>
          <w:tab w:leader="none" w:pos="699" w:val="left"/>
        </w:tabs>
        <w:numPr>
          <w:ilvl w:val="0"/>
          <w:numId w:val="183"/>
        </w:numPr>
        <w:rPr>
          <w:rFonts w:ascii="Arial" w:cs="Arial" w:eastAsia="Arial" w:hAnsi="Arial"/>
          <w:sz w:val="15"/>
          <w:szCs w:val="15"/>
          <w:color w:val="auto"/>
        </w:rPr>
      </w:pPr>
      <w:r>
        <w:rPr>
          <w:rFonts w:ascii="Arial" w:cs="Arial" w:eastAsia="Arial" w:hAnsi="Arial"/>
          <w:sz w:val="15"/>
          <w:szCs w:val="15"/>
          <w:color w:val="auto"/>
        </w:rPr>
        <w:t>From and after a Conversion Date, dividends hereunder shall no longer accrue with respect to shares of Junior Preferred Stock converted on such date, and such converted shares of Junior Preferred Stock shall cease to be outstanding, subject to the rights of Holders of such Junior Preferred Stock to receive any previously accrued and unpaid dividends on such shares and any other payments to which they are otherwise entitled pursuant to Section III or Section VI.</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III. Dividend Rights</w:t>
      </w:r>
    </w:p>
    <w:p>
      <w:pPr>
        <w:spacing w:after="0" w:line="193" w:lineRule="exact"/>
        <w:rPr>
          <w:sz w:val="20"/>
          <w:szCs w:val="20"/>
          <w:color w:val="auto"/>
        </w:rPr>
      </w:pPr>
    </w:p>
    <w:p>
      <w:pPr>
        <w:ind w:firstLine="459"/>
        <w:spacing w:after="0" w:line="291" w:lineRule="auto"/>
        <w:tabs>
          <w:tab w:leader="none" w:pos="689" w:val="left"/>
        </w:tabs>
        <w:numPr>
          <w:ilvl w:val="0"/>
          <w:numId w:val="184"/>
        </w:numPr>
        <w:rPr>
          <w:rFonts w:ascii="Arial" w:cs="Arial" w:eastAsia="Arial" w:hAnsi="Arial"/>
          <w:sz w:val="15"/>
          <w:szCs w:val="15"/>
          <w:color w:val="auto"/>
        </w:rPr>
      </w:pPr>
      <w:r>
        <w:rPr>
          <w:rFonts w:ascii="Arial" w:cs="Arial" w:eastAsia="Arial" w:hAnsi="Arial"/>
          <w:sz w:val="15"/>
          <w:szCs w:val="15"/>
          <w:color w:val="auto"/>
        </w:rPr>
        <w:t>From and after the Issue Date, (i) Holders shall be entitled to receive, when, as and if declared by the Board or any duly authorized committee of the Board, but only out of assets legally available therefor, all dividends or other distributions in the form of cash or assets (other than shares of Common Stock) declared and paid or made in respect of the shares of Common Stock, at the same time and on the same terms as holders of Common Stock, in an amount per one-hundredth of a share of Junior Preferred Stock equal to the product of (A) the Applicable Conversion Rate then in effect and (B) any per share dividend or other distribution in the form of cash or assets (other than shares of Common Stock) declared and paid or made in respect of each share of Common Stock (the “</w:t>
      </w:r>
      <w:r>
        <w:rPr>
          <w:rFonts w:ascii="Arial" w:cs="Arial" w:eastAsia="Arial" w:hAnsi="Arial"/>
          <w:sz w:val="15"/>
          <w:szCs w:val="15"/>
          <w:u w:val="single" w:color="auto"/>
          <w:color w:val="auto"/>
        </w:rPr>
        <w:t>Common Equivalent Dividend</w:t>
      </w:r>
      <w:r>
        <w:rPr>
          <w:rFonts w:ascii="Arial" w:cs="Arial" w:eastAsia="Arial" w:hAnsi="Arial"/>
          <w:sz w:val="15"/>
          <w:szCs w:val="15"/>
          <w:color w:val="auto"/>
        </w:rPr>
        <w:t xml:space="preserve"> </w:t>
      </w:r>
      <w:r>
        <w:rPr>
          <w:rFonts w:ascii="Arial" w:cs="Arial" w:eastAsia="Arial" w:hAnsi="Arial"/>
          <w:sz w:val="15"/>
          <w:szCs w:val="15"/>
          <w:u w:val="single" w:color="auto"/>
          <w:color w:val="auto"/>
        </w:rPr>
        <w:t>Amount</w:t>
      </w:r>
      <w:r>
        <w:rPr>
          <w:rFonts w:ascii="Arial" w:cs="Arial" w:eastAsia="Arial" w:hAnsi="Arial"/>
          <w:sz w:val="15"/>
          <w:szCs w:val="15"/>
          <w:color w:val="auto"/>
        </w:rPr>
        <w:t>”), and (ii) no cash dividend or other cash distribution shall be declared and paid or made in respect of Common Stock unless the Board or any duly authorized committee of the Board declares and pays to Holders of the Junior Preferred Stock, at the same time and on the same terms as holders of Common Stock, the Common Equivalent Dividend Amount per one-hundredth of a share of Junior Preferred Stock. Notwithstanding any provision in this Section III(a) to the contrary, Holders of the Junior Preferred Stock shall not be entitled to receive any dividend or other distribution in the form of cash or assets (other than shares of Common Stock) paid or made with respect to the Common Stock after the Issue Date (x) if the Record Date for determination of holders of Common Stock entitled to receive such dividend or distribution occurs prior to the Issue Date, or (y) with respect to shares of Junior Preferred Stock converted on or prior to such Record Date.</w:t>
      </w:r>
    </w:p>
    <w:p>
      <w:pPr>
        <w:spacing w:after="0" w:line="122" w:lineRule="exact"/>
        <w:rPr>
          <w:rFonts w:ascii="Arial" w:cs="Arial" w:eastAsia="Arial" w:hAnsi="Arial"/>
          <w:sz w:val="15"/>
          <w:szCs w:val="15"/>
          <w:color w:val="auto"/>
        </w:rPr>
      </w:pPr>
    </w:p>
    <w:p>
      <w:pPr>
        <w:ind w:right="380" w:firstLine="459"/>
        <w:spacing w:after="0" w:line="346" w:lineRule="auto"/>
        <w:tabs>
          <w:tab w:leader="none" w:pos="699" w:val="left"/>
        </w:tabs>
        <w:numPr>
          <w:ilvl w:val="0"/>
          <w:numId w:val="184"/>
        </w:numPr>
        <w:rPr>
          <w:rFonts w:ascii="Arial" w:cs="Arial" w:eastAsia="Arial" w:hAnsi="Arial"/>
          <w:sz w:val="15"/>
          <w:szCs w:val="15"/>
          <w:color w:val="auto"/>
        </w:rPr>
      </w:pPr>
      <w:r>
        <w:rPr>
          <w:rFonts w:ascii="Arial" w:cs="Arial" w:eastAsia="Arial" w:hAnsi="Arial"/>
          <w:sz w:val="15"/>
          <w:szCs w:val="15"/>
          <w:color w:val="auto"/>
        </w:rPr>
        <w:t>Each dividend or other distribution pursuant to Section III(a) above will be payable to Holders of record of Junior Preferred Stock as they appear in the records of the Corporation at the close of business on the Record Date for the corresponding dividend or distribution to the holders of shares of Common Stock.</w:t>
      </w:r>
    </w:p>
    <w:p>
      <w:pPr>
        <w:spacing w:after="0" w:line="79" w:lineRule="exact"/>
        <w:rPr>
          <w:rFonts w:ascii="Arial" w:cs="Arial" w:eastAsia="Arial" w:hAnsi="Arial"/>
          <w:sz w:val="15"/>
          <w:szCs w:val="15"/>
          <w:color w:val="auto"/>
        </w:rPr>
      </w:pPr>
    </w:p>
    <w:p>
      <w:pPr>
        <w:ind w:right="160" w:firstLine="459"/>
        <w:spacing w:after="0" w:line="258" w:lineRule="auto"/>
        <w:tabs>
          <w:tab w:leader="none" w:pos="686"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To the extent the Corporation declares dividends on the Junior Preferred Stock and Common Stock but does not make full payment of such declared dividends, the Corporation will allocate the dividend payments on a pro rata basis among the holders of shares of Junior Preferred Stock and the holders of Common Stock so that the amount of dividends actually paid per share on the Junior Preferred Stock and Common Stock shall in all cases bear to each other the same ratio as the then Applicable Conversion Rate. The foregoing right shall not be cumulative and shall not in any way create any claim or right in favor of Holders in the event that dividends have not been declared or paid in respect of any prior calendar quarter.</w:t>
      </w:r>
    </w:p>
    <w:p>
      <w:pPr>
        <w:spacing w:after="0" w:line="154" w:lineRule="exact"/>
        <w:rPr>
          <w:rFonts w:ascii="Arial" w:cs="Arial" w:eastAsia="Arial" w:hAnsi="Arial"/>
          <w:sz w:val="17"/>
          <w:szCs w:val="17"/>
          <w:color w:val="auto"/>
        </w:rPr>
      </w:pPr>
    </w:p>
    <w:p>
      <w:pPr>
        <w:jc w:val="both"/>
        <w:ind w:right="120" w:firstLine="459"/>
        <w:spacing w:after="0" w:line="264" w:lineRule="auto"/>
        <w:tabs>
          <w:tab w:leader="none" w:pos="699" w:val="left"/>
        </w:tabs>
        <w:numPr>
          <w:ilvl w:val="0"/>
          <w:numId w:val="184"/>
        </w:numPr>
        <w:rPr>
          <w:rFonts w:ascii="Arial" w:cs="Arial" w:eastAsia="Arial" w:hAnsi="Arial"/>
          <w:sz w:val="17"/>
          <w:szCs w:val="17"/>
          <w:color w:val="auto"/>
        </w:rPr>
      </w:pPr>
      <w:r>
        <w:rPr>
          <w:rFonts w:ascii="Arial" w:cs="Arial" w:eastAsia="Arial" w:hAnsi="Arial"/>
          <w:sz w:val="17"/>
          <w:szCs w:val="17"/>
          <w:color w:val="auto"/>
        </w:rPr>
        <w:t>Holders of Junior Preferred Stock shall not be entitled to any dividends, whether payable in cash, securities or other property, on the Junior Preferred Stock other than dividends (if any) declared and payable on Junior Preferred Stock as specified in this Section III and dividends of Common Stock or other securities of the Corporation pursuant to Section II(b).</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1" w:name="page172"/>
    <w:bookmarkEnd w:id="171"/>
    <w:p>
      <w:pPr>
        <w:spacing w:after="0" w:line="200" w:lineRule="exact"/>
        <w:rPr>
          <w:sz w:val="20"/>
          <w:szCs w:val="20"/>
          <w:color w:val="auto"/>
        </w:rPr>
      </w:pPr>
    </w:p>
    <w:p>
      <w:pPr>
        <w:spacing w:after="0" w:line="334" w:lineRule="exact"/>
        <w:rPr>
          <w:sz w:val="20"/>
          <w:szCs w:val="20"/>
          <w:color w:val="auto"/>
        </w:rPr>
      </w:pPr>
    </w:p>
    <w:p>
      <w:pPr>
        <w:ind w:right="280" w:firstLine="459"/>
        <w:spacing w:after="0" w:line="315" w:lineRule="auto"/>
        <w:tabs>
          <w:tab w:leader="none" w:pos="689" w:val="left"/>
        </w:tabs>
        <w:numPr>
          <w:ilvl w:val="0"/>
          <w:numId w:val="185"/>
        </w:numPr>
        <w:rPr>
          <w:rFonts w:ascii="Arial" w:cs="Arial" w:eastAsia="Arial" w:hAnsi="Arial"/>
          <w:sz w:val="15"/>
          <w:szCs w:val="15"/>
          <w:color w:val="auto"/>
        </w:rPr>
      </w:pPr>
      <w:r>
        <w:rPr>
          <w:rFonts w:ascii="Arial" w:cs="Arial" w:eastAsia="Arial" w:hAnsi="Arial"/>
          <w:sz w:val="15"/>
          <w:szCs w:val="15"/>
          <w:color w:val="auto"/>
        </w:rPr>
        <w:t>Notwithstanding any provision in this Certificate of Designation to the contrary, Holders of Junior Preferred Stock shall not be entitled to receive any dividends with respect to any such shares converted into Common Stock, except to the extent that any such dividends have been declared by the Board or any duly authorized committee of the Board (and the Record Date for such dividend occurs) after the Issue Date and prior to the applicable Conversion Date of such shares.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IV. Voting</w:t>
      </w:r>
    </w:p>
    <w:p>
      <w:pPr>
        <w:spacing w:after="0" w:line="193" w:lineRule="exact"/>
        <w:rPr>
          <w:sz w:val="20"/>
          <w:szCs w:val="20"/>
          <w:color w:val="auto"/>
        </w:rPr>
      </w:pPr>
    </w:p>
    <w:p>
      <w:pPr>
        <w:ind w:right="140" w:firstLine="459"/>
        <w:spacing w:after="0" w:line="346" w:lineRule="auto"/>
        <w:tabs>
          <w:tab w:leader="none" w:pos="689" w:val="left"/>
        </w:tabs>
        <w:numPr>
          <w:ilvl w:val="0"/>
          <w:numId w:val="186"/>
        </w:numPr>
        <w:rPr>
          <w:rFonts w:ascii="Arial" w:cs="Arial" w:eastAsia="Arial" w:hAnsi="Arial"/>
          <w:sz w:val="15"/>
          <w:szCs w:val="15"/>
          <w:color w:val="auto"/>
        </w:rPr>
      </w:pPr>
      <w:r>
        <w:rPr>
          <w:rFonts w:ascii="Arial" w:cs="Arial" w:eastAsia="Arial" w:hAnsi="Arial"/>
          <w:sz w:val="15"/>
          <w:szCs w:val="15"/>
          <w:color w:val="auto"/>
        </w:rPr>
        <w:t>Shares of Junior Preferred Stock shall have no voting rights except as set forth in Section IV(b) or as otherwise required by Georgia law from time to time. In exercising the voting rights set forth in Section IV(b), each Holder shall be entitled to one vote for each share of Junior Preferred Stock held by such Holder.</w:t>
      </w:r>
    </w:p>
    <w:p>
      <w:pPr>
        <w:spacing w:after="0" w:line="79" w:lineRule="exact"/>
        <w:rPr>
          <w:rFonts w:ascii="Arial" w:cs="Arial" w:eastAsia="Arial" w:hAnsi="Arial"/>
          <w:sz w:val="15"/>
          <w:szCs w:val="15"/>
          <w:color w:val="auto"/>
        </w:rPr>
      </w:pPr>
    </w:p>
    <w:p>
      <w:pPr>
        <w:ind w:right="120" w:firstLine="459"/>
        <w:spacing w:after="0" w:line="274" w:lineRule="auto"/>
        <w:tabs>
          <w:tab w:leader="none" w:pos="699" w:val="left"/>
        </w:tabs>
        <w:numPr>
          <w:ilvl w:val="0"/>
          <w:numId w:val="186"/>
        </w:numPr>
        <w:rPr>
          <w:rFonts w:ascii="Arial" w:cs="Arial" w:eastAsia="Arial" w:hAnsi="Arial"/>
          <w:sz w:val="16"/>
          <w:szCs w:val="16"/>
          <w:color w:val="auto"/>
        </w:rPr>
      </w:pPr>
      <w:r>
        <w:rPr>
          <w:rFonts w:ascii="Arial" w:cs="Arial" w:eastAsia="Arial" w:hAnsi="Arial"/>
          <w:sz w:val="16"/>
          <w:szCs w:val="16"/>
          <w:color w:val="auto"/>
        </w:rPr>
        <w:t>So long as any shares of Junior Preferred Stock remain outstanding, unless a greater percentage shall then be required by law, the Corporation shall not, without the affirmative vote or written consent of the Holders (voting or consenting separately as one class) of at least a majority of the outstanding shares of Junior Preferred Stock, amend, alter or repeal or otherwise change (including in connection with any merger, consolidation or other similar transaction) any provision of the Articles of Incorporation, including this Certificate of Designation, if the amendment, authorization or repeal would significantly and adversely affect the rights or preferences of the Junior Preferred Stock. Notwithstanding the foregoing, except as otherwise required by law, the Corporation may, without the consent of any Holder, authorize, increase the authorized amount of, or issue shares of Senior Stock or Parity Stock, and in taking such actions, the Corporation shall not be deemed to have significantly adversely affected the existing terms of the Junior Preferred Stock.</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V. Liquidation</w:t>
      </w:r>
    </w:p>
    <w:p>
      <w:pPr>
        <w:spacing w:after="0" w:line="193" w:lineRule="exact"/>
        <w:rPr>
          <w:sz w:val="20"/>
          <w:szCs w:val="20"/>
          <w:color w:val="auto"/>
        </w:rPr>
      </w:pPr>
    </w:p>
    <w:p>
      <w:pPr>
        <w:ind w:firstLine="459"/>
        <w:spacing w:after="0" w:line="278" w:lineRule="auto"/>
        <w:tabs>
          <w:tab w:leader="none" w:pos="68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In the event of any liquidation, dissolution or winding up of the affairs of the Corporation, whether voluntary or involuntary, which occurs while any Junior Preferred Stock remains outstanding (each a “</w:t>
      </w:r>
      <w:r>
        <w:rPr>
          <w:rFonts w:ascii="Arial" w:cs="Arial" w:eastAsia="Arial" w:hAnsi="Arial"/>
          <w:sz w:val="16"/>
          <w:szCs w:val="16"/>
          <w:u w:val="single" w:color="auto"/>
          <w:color w:val="auto"/>
        </w:rPr>
        <w:t>Liquidation Event</w:t>
      </w:r>
      <w:r>
        <w:rPr>
          <w:rFonts w:ascii="Arial" w:cs="Arial" w:eastAsia="Arial" w:hAnsi="Arial"/>
          <w:sz w:val="16"/>
          <w:szCs w:val="16"/>
          <w:color w:val="auto"/>
        </w:rPr>
        <w:t>”), Holders of shares of Junior Preferred Stock shall, subject to the prior rights of any holders of Senior Stock, be entitled to receive and be paid out of the assets of the Corporation available for distribution to its stockholders, for each such share (or fraction thereof), a liquidating distribution in an amount equal to that received by holders of the Common Stock for each share of Common Stock into which such share of Junior Preferred Stock (or fraction thereof) was convertible at the Applicable Conversion Rate immediately prior to such Liquidation Event.</w:t>
      </w:r>
    </w:p>
    <w:p>
      <w:pPr>
        <w:spacing w:after="0" w:line="126" w:lineRule="exact"/>
        <w:rPr>
          <w:rFonts w:ascii="Arial" w:cs="Arial" w:eastAsia="Arial" w:hAnsi="Arial"/>
          <w:sz w:val="16"/>
          <w:szCs w:val="16"/>
          <w:color w:val="auto"/>
        </w:rPr>
      </w:pPr>
    </w:p>
    <w:p>
      <w:pPr>
        <w:jc w:val="both"/>
        <w:ind w:right="20" w:firstLine="459"/>
        <w:spacing w:after="0" w:line="260" w:lineRule="auto"/>
        <w:tabs>
          <w:tab w:leader="none" w:pos="699" w:val="left"/>
        </w:tabs>
        <w:numPr>
          <w:ilvl w:val="0"/>
          <w:numId w:val="187"/>
        </w:numPr>
        <w:rPr>
          <w:rFonts w:ascii="Arial" w:cs="Arial" w:eastAsia="Arial" w:hAnsi="Arial"/>
          <w:sz w:val="17"/>
          <w:szCs w:val="17"/>
          <w:color w:val="auto"/>
        </w:rPr>
      </w:pPr>
      <w:r>
        <w:rPr>
          <w:rFonts w:ascii="Arial" w:cs="Arial" w:eastAsia="Arial" w:hAnsi="Arial"/>
          <w:sz w:val="17"/>
          <w:szCs w:val="17"/>
          <w:color w:val="auto"/>
        </w:rPr>
        <w:t>If, in any distribution described in Section V(a) above, the assets of the Corporation or proceeds thereof are not sufficient to pay in full the amounts payable with respect to all outstanding shares of Junior Preferred Stock and the corresponding amounts payable with respect to the Common Stock or any other Parity Stock as to such distribution, Holders of Junior Preferred Stock and the holders of Common Stock or any other Parity Stock shall share ratably in any such distribution in proportion to the full respective distributions to which they are entitled.</w:t>
      </w:r>
    </w:p>
    <w:p>
      <w:pPr>
        <w:spacing w:after="0" w:line="140" w:lineRule="exact"/>
        <w:rPr>
          <w:rFonts w:ascii="Arial" w:cs="Arial" w:eastAsia="Arial" w:hAnsi="Arial"/>
          <w:sz w:val="17"/>
          <w:szCs w:val="17"/>
          <w:color w:val="auto"/>
        </w:rPr>
      </w:pPr>
    </w:p>
    <w:p>
      <w:pPr>
        <w:ind w:right="120" w:firstLine="459"/>
        <w:spacing w:after="0" w:line="281" w:lineRule="auto"/>
        <w:tabs>
          <w:tab w:leader="none" w:pos="68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For purposes of this Section V, neither the sale, conveyance, exchange or transfer (for cash, shares of stock, securities or other consideration) of all or substantially all of the property and assets of the Corporation (other than in connection with the voluntary or involuntary liquidation, winding up or dissolution of the Corporation) nor the merger, consolidation or any other business combination transaction of the Corporation into or with any other corporation or Person shall be deemed to be a voluntary or involuntary dissolution, liquidation or winding up of the affairs of the Corporation.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2" w:name="page173"/>
    <w:bookmarkEnd w:id="172"/>
    <w:p>
      <w:pPr>
        <w:spacing w:after="0" w:line="200" w:lineRule="exact"/>
        <w:rPr>
          <w:sz w:val="20"/>
          <w:szCs w:val="20"/>
          <w:color w:val="auto"/>
        </w:rPr>
      </w:pPr>
    </w:p>
    <w:p>
      <w:pPr>
        <w:spacing w:after="0" w:line="334" w:lineRule="exact"/>
        <w:rPr>
          <w:sz w:val="20"/>
          <w:szCs w:val="20"/>
          <w:color w:val="auto"/>
        </w:rPr>
      </w:pPr>
    </w:p>
    <w:p>
      <w:pPr>
        <w:ind w:right="180" w:firstLine="459"/>
        <w:spacing w:after="0" w:line="293" w:lineRule="auto"/>
        <w:tabs>
          <w:tab w:leader="none" w:pos="699" w:val="left"/>
        </w:tabs>
        <w:numPr>
          <w:ilvl w:val="1"/>
          <w:numId w:val="188"/>
        </w:numPr>
        <w:rPr>
          <w:rFonts w:ascii="Arial" w:cs="Arial" w:eastAsia="Arial" w:hAnsi="Arial"/>
          <w:sz w:val="15"/>
          <w:szCs w:val="15"/>
          <w:color w:val="auto"/>
        </w:rPr>
      </w:pPr>
      <w:r>
        <w:rPr>
          <w:rFonts w:ascii="Arial" w:cs="Arial" w:eastAsia="Arial" w:hAnsi="Arial"/>
          <w:sz w:val="15"/>
          <w:szCs w:val="15"/>
          <w:color w:val="auto"/>
        </w:rPr>
        <w:t>In the event of any voluntary or involuntary liquidation, dissolution or winding up of the Corporation, the Corporation shall, within ten (10) days after the date the Board approves such action, or at least twenty (20) days prior to any stockholder’s meeting called to approve such action, if applicable, or within twenty</w:t>
      </w:r>
    </w:p>
    <w:p>
      <w:pPr>
        <w:ind w:right="380" w:firstLine="3"/>
        <w:spacing w:after="0" w:line="263" w:lineRule="auto"/>
        <w:tabs>
          <w:tab w:leader="none" w:pos="327" w:val="left"/>
        </w:tabs>
        <w:numPr>
          <w:ilvl w:val="0"/>
          <w:numId w:val="189"/>
        </w:numPr>
        <w:rPr>
          <w:rFonts w:ascii="Arial" w:cs="Arial" w:eastAsia="Arial" w:hAnsi="Arial"/>
          <w:sz w:val="17"/>
          <w:szCs w:val="17"/>
          <w:color w:val="auto"/>
        </w:rPr>
      </w:pPr>
      <w:r>
        <w:rPr>
          <w:rFonts w:ascii="Arial" w:cs="Arial" w:eastAsia="Arial" w:hAnsi="Arial"/>
          <w:sz w:val="17"/>
          <w:szCs w:val="17"/>
          <w:color w:val="auto"/>
        </w:rPr>
        <w:t>days after the commencement of any involuntary proceeding, whichever is earlier, give each Holder initial written notice of the proposed action. Such initial written notice shall describe the material terms and conditions of such proposed action.</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VI. Adjustments for Change of Control</w:t>
      </w:r>
    </w:p>
    <w:p>
      <w:pPr>
        <w:spacing w:after="0" w:line="193" w:lineRule="exact"/>
        <w:rPr>
          <w:sz w:val="20"/>
          <w:szCs w:val="20"/>
          <w:color w:val="auto"/>
        </w:rPr>
      </w:pPr>
    </w:p>
    <w:p>
      <w:pPr>
        <w:ind w:right="20" w:firstLine="459"/>
        <w:spacing w:after="0" w:line="272" w:lineRule="auto"/>
        <w:tabs>
          <w:tab w:leader="none" w:pos="689" w:val="left"/>
        </w:tabs>
        <w:numPr>
          <w:ilvl w:val="0"/>
          <w:numId w:val="190"/>
        </w:numPr>
        <w:rPr>
          <w:rFonts w:ascii="Arial" w:cs="Arial" w:eastAsia="Arial" w:hAnsi="Arial"/>
          <w:sz w:val="16"/>
          <w:szCs w:val="16"/>
          <w:color w:val="auto"/>
        </w:rPr>
      </w:pPr>
      <w:r>
        <w:rPr>
          <w:rFonts w:ascii="Arial" w:cs="Arial" w:eastAsia="Arial" w:hAnsi="Arial"/>
          <w:sz w:val="16"/>
          <w:szCs w:val="16"/>
          <w:color w:val="auto"/>
        </w:rPr>
        <w:t>Upon the occurrence of a Change of Control (as defined herein) while any shares of Junior Preferred Stock remain outstanding, each share of Junior Preferred Stock (or fraction thereof) outstanding immediately prior to such Change of Control shall, without the consent of Holders, become convertible into the types and amounts of securities, cash, and other property that is or was receivable in such Change of Control by a holder of the number of shares of Common Stock into which such share of Junior Preferred Stock (or fraction thereof) was convertible immediately prior to such Change of Control (such securities, cash, and other property, the “</w:t>
      </w:r>
      <w:r>
        <w:rPr>
          <w:rFonts w:ascii="Arial" w:cs="Arial" w:eastAsia="Arial" w:hAnsi="Arial"/>
          <w:sz w:val="16"/>
          <w:szCs w:val="16"/>
          <w:u w:val="single" w:color="auto"/>
          <w:color w:val="auto"/>
        </w:rPr>
        <w:t>Exchange Property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receipt of the Exchange Property would cause the Holder to the Holder to acquire control of a bank, as “control” is defined in Section 2(a)(2) of the Bank Holding Company Act of 1956, as amended, and the implementing regulations of the Board of Governors of the Federal Reserve System, require the Holder to file a Change in Bank Control Act notice or require the Holder to make any similar regulatory filing, proper provision shall be made for such Holder to receive shares of non-voting securities in lieu of any voting securities included in the Exchange Property, the terms of which non-voting securities shall be as nearly equivalent as practicable to those of the Junior Preferred Stock.</w:t>
      </w:r>
    </w:p>
    <w:p>
      <w:pPr>
        <w:spacing w:after="0" w:line="136" w:lineRule="exact"/>
        <w:rPr>
          <w:rFonts w:ascii="Arial" w:cs="Arial" w:eastAsia="Arial" w:hAnsi="Arial"/>
          <w:sz w:val="16"/>
          <w:szCs w:val="16"/>
          <w:color w:val="auto"/>
        </w:rPr>
      </w:pPr>
    </w:p>
    <w:p>
      <w:pPr>
        <w:ind w:left="700" w:hanging="241"/>
        <w:spacing w:after="0"/>
        <w:tabs>
          <w:tab w:leader="none" w:pos="7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Change of Control</w:t>
      </w:r>
      <w:r>
        <w:rPr>
          <w:rFonts w:ascii="Arial" w:cs="Arial" w:eastAsia="Arial" w:hAnsi="Arial"/>
          <w:sz w:val="17"/>
          <w:szCs w:val="17"/>
          <w:color w:val="auto"/>
        </w:rPr>
        <w:t>” shall mean:</w:t>
      </w:r>
    </w:p>
    <w:p>
      <w:pPr>
        <w:spacing w:after="0" w:line="176" w:lineRule="exact"/>
        <w:rPr>
          <w:rFonts w:ascii="Arial" w:cs="Arial" w:eastAsia="Arial" w:hAnsi="Arial"/>
          <w:sz w:val="17"/>
          <w:szCs w:val="17"/>
          <w:color w:val="auto"/>
        </w:rPr>
      </w:pPr>
    </w:p>
    <w:p>
      <w:pPr>
        <w:ind w:right="100" w:firstLine="916"/>
        <w:spacing w:after="0" w:line="288" w:lineRule="auto"/>
        <w:tabs>
          <w:tab w:leader="none" w:pos="1118" w:val="left"/>
        </w:tabs>
        <w:numPr>
          <w:ilvl w:val="1"/>
          <w:numId w:val="190"/>
        </w:numPr>
        <w:rPr>
          <w:rFonts w:ascii="Arial" w:cs="Arial" w:eastAsia="Arial" w:hAnsi="Arial"/>
          <w:sz w:val="16"/>
          <w:szCs w:val="16"/>
          <w:color w:val="auto"/>
        </w:rPr>
      </w:pPr>
      <w:r>
        <w:rPr>
          <w:rFonts w:ascii="Arial" w:cs="Arial" w:eastAsia="Arial" w:hAnsi="Arial"/>
          <w:sz w:val="16"/>
          <w:szCs w:val="16"/>
          <w:color w:val="auto"/>
        </w:rPr>
        <w:t>an acquisition of more than fifty percent (50%) of the equity securities of the Corporation (measured by vote or value) by means of merger or other form of corporate reorganization in which outstanding shares of the Corporation are exchanged for securities or other consideration issued, or caused to be issued, by the Acquiring Person (as defined below) or its Parent, Subsidiary or Affiliate (each as defined in Rule 12b-2 of the Exchange Act);</w:t>
      </w:r>
    </w:p>
    <w:p>
      <w:pPr>
        <w:spacing w:after="0" w:line="132" w:lineRule="exact"/>
        <w:rPr>
          <w:rFonts w:ascii="Arial" w:cs="Arial" w:eastAsia="Arial" w:hAnsi="Arial"/>
          <w:sz w:val="16"/>
          <w:szCs w:val="16"/>
          <w:color w:val="auto"/>
        </w:rPr>
      </w:pPr>
    </w:p>
    <w:p>
      <w:pPr>
        <w:ind w:left="1160" w:hanging="244"/>
        <w:spacing w:after="0"/>
        <w:tabs>
          <w:tab w:leader="none" w:pos="1160" w:val="left"/>
        </w:tabs>
        <w:numPr>
          <w:ilvl w:val="1"/>
          <w:numId w:val="190"/>
        </w:numPr>
        <w:rPr>
          <w:rFonts w:ascii="Arial" w:cs="Arial" w:eastAsia="Arial" w:hAnsi="Arial"/>
          <w:sz w:val="15"/>
          <w:szCs w:val="15"/>
          <w:color w:val="auto"/>
        </w:rPr>
      </w:pPr>
      <w:r>
        <w:rPr>
          <w:rFonts w:ascii="Arial" w:cs="Arial" w:eastAsia="Arial" w:hAnsi="Arial"/>
          <w:sz w:val="15"/>
          <w:szCs w:val="15"/>
          <w:color w:val="auto"/>
        </w:rPr>
        <w:t>a sale or other disposition of all or substantially all of the assets of the Corporation (on a consolidated basis) in a single transaction or series of related</w:t>
      </w:r>
    </w:p>
    <w:p>
      <w:pPr>
        <w:spacing w:after="0" w:line="4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transactions;</w:t>
      </w:r>
    </w:p>
    <w:p>
      <w:pPr>
        <w:spacing w:after="0" w:line="165" w:lineRule="exact"/>
        <w:rPr>
          <w:rFonts w:ascii="Arial" w:cs="Arial" w:eastAsia="Arial" w:hAnsi="Arial"/>
          <w:sz w:val="15"/>
          <w:szCs w:val="15"/>
          <w:color w:val="auto"/>
        </w:rPr>
      </w:pPr>
    </w:p>
    <w:p>
      <w:pPr>
        <w:ind w:right="600" w:firstLine="916"/>
        <w:spacing w:after="0" w:line="264" w:lineRule="auto"/>
        <w:tabs>
          <w:tab w:leader="none" w:pos="1213" w:val="left"/>
        </w:tabs>
        <w:numPr>
          <w:ilvl w:val="1"/>
          <w:numId w:val="190"/>
        </w:numPr>
        <w:rPr>
          <w:rFonts w:ascii="Arial" w:cs="Arial" w:eastAsia="Arial" w:hAnsi="Arial"/>
          <w:sz w:val="17"/>
          <w:szCs w:val="17"/>
          <w:color w:val="auto"/>
        </w:rPr>
      </w:pPr>
      <w:r>
        <w:rPr>
          <w:rFonts w:ascii="Arial" w:cs="Arial" w:eastAsia="Arial" w:hAnsi="Arial"/>
          <w:sz w:val="17"/>
          <w:szCs w:val="17"/>
          <w:color w:val="auto"/>
        </w:rPr>
        <w:t>any tender offer, exchange offer, stock purchase or other transaction or event or series of related transactions or events by or involving the Corporation in which a single entity or group becomes the direct or indirect owner of more than fifty percent (50%) of the equity securities of the Corporation (measured by vote or value);</w:t>
      </w:r>
    </w:p>
    <w:p>
      <w:pPr>
        <w:spacing w:after="0" w:line="136" w:lineRule="exact"/>
        <w:rPr>
          <w:rFonts w:ascii="Arial" w:cs="Arial" w:eastAsia="Arial" w:hAnsi="Arial"/>
          <w:sz w:val="17"/>
          <w:szCs w:val="17"/>
          <w:color w:val="auto"/>
        </w:rPr>
      </w:pPr>
    </w:p>
    <w:p>
      <w:pPr>
        <w:ind w:left="1200" w:hanging="284"/>
        <w:spacing w:after="0"/>
        <w:tabs>
          <w:tab w:leader="none" w:pos="1200" w:val="left"/>
        </w:tabs>
        <w:numPr>
          <w:ilvl w:val="1"/>
          <w:numId w:val="190"/>
        </w:numPr>
        <w:rPr>
          <w:rFonts w:ascii="Arial" w:cs="Arial" w:eastAsia="Arial" w:hAnsi="Arial"/>
          <w:sz w:val="17"/>
          <w:szCs w:val="17"/>
          <w:color w:val="auto"/>
        </w:rPr>
      </w:pPr>
      <w:r>
        <w:rPr>
          <w:rFonts w:ascii="Arial" w:cs="Arial" w:eastAsia="Arial" w:hAnsi="Arial"/>
          <w:sz w:val="17"/>
          <w:szCs w:val="17"/>
          <w:color w:val="auto"/>
        </w:rPr>
        <w:t>a capital reorganization or reclassification of the Common Stock or other securities.</w:t>
      </w:r>
    </w:p>
    <w:p>
      <w:pPr>
        <w:spacing w:after="0" w:line="189"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color w:val="auto"/>
        </w:rPr>
        <w:t>Notwithstanding anything contained herein to the contrary, a change in the state of incorporation of the Corporation shall not in and of itself constitute a Change of Control.</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73" w:name="page174"/>
    <w:bookmarkEnd w:id="173"/>
    <w:p>
      <w:pPr>
        <w:spacing w:after="0" w:line="200" w:lineRule="exact"/>
        <w:rPr>
          <w:sz w:val="20"/>
          <w:szCs w:val="20"/>
          <w:color w:val="auto"/>
        </w:rPr>
      </w:pPr>
    </w:p>
    <w:p>
      <w:pPr>
        <w:spacing w:after="0" w:line="334" w:lineRule="exact"/>
        <w:rPr>
          <w:sz w:val="20"/>
          <w:szCs w:val="20"/>
          <w:color w:val="auto"/>
        </w:rPr>
      </w:pPr>
    </w:p>
    <w:p>
      <w:pPr>
        <w:ind w:firstLine="459"/>
        <w:spacing w:after="0" w:line="272" w:lineRule="auto"/>
        <w:tabs>
          <w:tab w:leader="none" w:pos="689" w:val="left"/>
        </w:tabs>
        <w:numPr>
          <w:ilvl w:val="0"/>
          <w:numId w:val="1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Acquiring Person</w:t>
      </w:r>
      <w:r>
        <w:rPr>
          <w:rFonts w:ascii="Arial" w:cs="Arial" w:eastAsia="Arial" w:hAnsi="Arial"/>
          <w:sz w:val="16"/>
          <w:szCs w:val="16"/>
          <w:color w:val="auto"/>
        </w:rPr>
        <w:t>” means, in connection with any Change of Control any of the following, at the Holder’s election, (i) the continuing or surviving Person of a consolidation or merger with the Corporation (if other than the Corporation), (ii) the transferee of all or substantially all of the properties or assets of the Corporation, (iii) the corporation consolidating with or merging into the Corporation in a consolidation or merger in connection with which the Common Stock is changed into or exchanged for stock or other securities of any other Person or cash or any other property, (iv) the entity or group acting in concert acquiring or possessing the power to cast the majority of the eligible votes at a meeting of the Corporation’s stockholders at which directors are elected, or, (v) in the case of a capital reorganization or reclassification, the Corporation, or (vi) at the Holder’s election, any Person that (x) controls the Acquiring Person directly or indirectly through one or more intermediaries, (y) is required to include the Acquiring Person in the consolidated financial statements contained in such Person’s Annual Report on Form 10 K (if such Person is required to file such a report) or would be required to so include the Acquiring Person in such Person’s consolidated financial statements if they were prepared in accordance with U.S. generally accepted accounting principles and (z) is not itself included in the consolidated financial statements of any other Person (other than its consolidated subsidiaries).</w:t>
      </w:r>
    </w:p>
    <w:p>
      <w:pPr>
        <w:spacing w:after="0" w:line="132" w:lineRule="exact"/>
        <w:rPr>
          <w:rFonts w:ascii="Arial" w:cs="Arial" w:eastAsia="Arial" w:hAnsi="Arial"/>
          <w:sz w:val="16"/>
          <w:szCs w:val="16"/>
          <w:color w:val="auto"/>
        </w:rPr>
      </w:pPr>
    </w:p>
    <w:p>
      <w:pPr>
        <w:ind w:right="200" w:firstLine="459"/>
        <w:spacing w:after="0" w:line="277" w:lineRule="auto"/>
        <w:tabs>
          <w:tab w:leader="none" w:pos="699" w:val="left"/>
        </w:tabs>
        <w:numPr>
          <w:ilvl w:val="0"/>
          <w:numId w:val="191"/>
        </w:numPr>
        <w:rPr>
          <w:rFonts w:ascii="Arial" w:cs="Arial" w:eastAsia="Arial" w:hAnsi="Arial"/>
          <w:sz w:val="17"/>
          <w:szCs w:val="17"/>
          <w:color w:val="auto"/>
        </w:rPr>
      </w:pPr>
      <w:r>
        <w:rPr>
          <w:rFonts w:ascii="Arial" w:cs="Arial" w:eastAsia="Arial" w:hAnsi="Arial"/>
          <w:sz w:val="17"/>
          <w:szCs w:val="17"/>
          <w:color w:val="auto"/>
        </w:rPr>
        <w:t>If holders of shares of Common Stock have the opportunity to elect the form of consideration to be received in a Change of Control, the Holders of Junior Preferred Stock shall be entitled to receive the same election.</w:t>
      </w:r>
    </w:p>
    <w:p>
      <w:pPr>
        <w:spacing w:after="0" w:line="138" w:lineRule="exact"/>
        <w:rPr>
          <w:rFonts w:ascii="Arial" w:cs="Arial" w:eastAsia="Arial" w:hAnsi="Arial"/>
          <w:sz w:val="17"/>
          <w:szCs w:val="17"/>
          <w:color w:val="auto"/>
        </w:rPr>
      </w:pPr>
    </w:p>
    <w:p>
      <w:pPr>
        <w:ind w:right="140" w:firstLine="459"/>
        <w:spacing w:after="0" w:line="264" w:lineRule="auto"/>
        <w:tabs>
          <w:tab w:leader="none" w:pos="686"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Corporation (or any successor) shall, within 20 days of the occurrence of any Change of Control or, if earlier, the date on which similar notice is given to holders of Common Stock, provide written notice to the Holders of such occurrence and of the type and amount of the cash, securities or other property that constitutes the Exchange Property. Failure to deliver such notice shall not affect the operation of this Section VI.</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VII. Reports as to Adjustments</w:t>
      </w:r>
    </w:p>
    <w:p>
      <w:pPr>
        <w:spacing w:after="0" w:line="180"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Whenever the number of shares of Common Stock into which the shares of Junior Preferred Stock are convertible is adjusted as provided in Section II(b), the Corporation shall, as soon as is reasonable practicable, compute such adjustment and furnish to the Holders a certificate of the Corporation, setting forth the number of shares of Common Stock into which each share of Junior Preferred Stock (or fraction thereof) is convertible as a result of such adjustment, a brief statement of the facts requiring such adjustment, the computation thereof and when such adjustment will become effective.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VIII. Transfer Restrictions</w:t>
      </w:r>
    </w:p>
    <w:p>
      <w:pPr>
        <w:spacing w:after="0" w:line="180"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Shares of Junior Preferred Stock may not be transferred to any Person other than pursuant to a Permitted Transfer, and any attempt to transfer one or more shares of Junior Preferred Stock (or fraction thereof) to a Person other than pursuant to a Permitted Transfer shall be void and of no effect.</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IX. Exclusion of Other Rights</w:t>
      </w:r>
    </w:p>
    <w:p>
      <w:pPr>
        <w:spacing w:after="0" w:line="193"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Except as may otherwise be required by law, shares of Junior Preferred Stock shall not have any powers, preferences, participation and other special rights, qualifications, limitations, restrictions and other designations, other than those specifically set forth herein (as this Certificate of Designation may be amended from time to time) and in the Articles of Incorporation. The shares of Junior Preferred Stock shall have no preemptive or subscription rights.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4" w:name="page175"/>
    <w:bookmarkEnd w:id="174"/>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X. Severability of Provisions</w:t>
      </w:r>
    </w:p>
    <w:p>
      <w:pPr>
        <w:spacing w:after="0" w:line="18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If any powers, preferences, participation and other special rights, qualifications, limitations, restrictions and other designations of the Junior Preferred Stock set forth in this Certificate of Designation (as this Certificate of Designation may be amended from time to time) is invalid, unlawful or incapable of being enforced by reason of any rule of law or public policy, all other powers, preferences, participation and other special rights, qualifications, limitations, restrictions and other designations of the Junior Preferred Stock set forth in this Certificate of Designation (as so amended) which can be given effect without the invalid, unlawful or unenforceable powers, preferences, participation and other special rights, qualifications, limitations, restrictions and other designations of the Junior Preferred Stock shall, nevertheless, remain in full force and effect, and no powers, preferences, participation and other special rights, qualifications, limitations, restrictions and other designations of the Junior Preferred Stock herein set forth shall be deemed dependent upon any other such powers, preferences, participation and other special rights, qualifications, limitations, restrictions and other designations of the Junior Preferred Stock unless so expressed herein.</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XI. Rank</w:t>
      </w:r>
    </w:p>
    <w:p>
      <w:pPr>
        <w:spacing w:after="0" w:line="180"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Notwithstanding anything set forth in the Articles of Incorporation or this Certificate of Designation to the contrary, the Board or any authorized committee of the Board, without the vote of Holders of the Junior Preferred Stock, may authorize and issue additional shares of stock ranking junior or senior to, or on parity with, the Junior Preferred Stock as to dividends and the distribution of assets upon any voluntary or involuntary liquidation, dissolution or winding up of the affairs of the Corporation or any other powers, preferences, participation and other special rights, qualifications, limitations, restrictions and other designations.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XII. No Redemption</w:t>
      </w:r>
    </w:p>
    <w:p>
      <w:pPr>
        <w:spacing w:after="0" w:line="193" w:lineRule="exact"/>
        <w:rPr>
          <w:sz w:val="20"/>
          <w:szCs w:val="20"/>
          <w:color w:val="auto"/>
        </w:rPr>
      </w:pPr>
    </w:p>
    <w:p>
      <w:pPr>
        <w:ind w:right="740"/>
        <w:spacing w:after="0" w:line="277" w:lineRule="auto"/>
        <w:rPr>
          <w:sz w:val="20"/>
          <w:szCs w:val="20"/>
          <w:color w:val="auto"/>
        </w:rPr>
      </w:pPr>
      <w:r>
        <w:rPr>
          <w:rFonts w:ascii="Arial" w:cs="Arial" w:eastAsia="Arial" w:hAnsi="Arial"/>
          <w:sz w:val="17"/>
          <w:szCs w:val="17"/>
          <w:color w:val="auto"/>
        </w:rPr>
        <w:t>The Corporation may not, at any time, redeem the outstanding shares of the Junior Preferred Stock, except upon the unanimous consent of the Holders of all outstanding shares of Junior Preferred Stock.</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XIII. Repurchases</w:t>
      </w:r>
    </w:p>
    <w:p>
      <w:pPr>
        <w:spacing w:after="0" w:line="180" w:lineRule="exact"/>
        <w:rPr>
          <w:sz w:val="20"/>
          <w:szCs w:val="20"/>
          <w:color w:val="auto"/>
        </w:rPr>
      </w:pPr>
    </w:p>
    <w:p>
      <w:pPr>
        <w:ind w:right="480"/>
        <w:spacing w:after="0" w:line="277" w:lineRule="auto"/>
        <w:rPr>
          <w:sz w:val="20"/>
          <w:szCs w:val="20"/>
          <w:color w:val="auto"/>
        </w:rPr>
      </w:pPr>
      <w:r>
        <w:rPr>
          <w:rFonts w:ascii="Arial" w:cs="Arial" w:eastAsia="Arial" w:hAnsi="Arial"/>
          <w:sz w:val="17"/>
          <w:szCs w:val="17"/>
          <w:color w:val="auto"/>
        </w:rPr>
        <w:t>Subject to the limitations imposed herein, the Corporation may purchase and sell shares of Junior Preferred Stock (or fraction thereof) from time to time to such extent, in such manner, and upon such terms as the Board or any duly authorized committee of the Board may determine.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XIV. No Sinking Fund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Shares of Junior Preferred Stock are not subject to the operation of a sinking fund or any similar provisions.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XV. Notices</w:t>
      </w:r>
    </w:p>
    <w:p>
      <w:pPr>
        <w:spacing w:after="0" w:line="193" w:lineRule="exact"/>
        <w:rPr>
          <w:sz w:val="20"/>
          <w:szCs w:val="20"/>
          <w:color w:val="auto"/>
        </w:rPr>
      </w:pPr>
    </w:p>
    <w:p>
      <w:pPr>
        <w:jc w:val="both"/>
        <w:ind w:right="220"/>
        <w:spacing w:after="0" w:line="260" w:lineRule="auto"/>
        <w:rPr>
          <w:sz w:val="20"/>
          <w:szCs w:val="20"/>
          <w:color w:val="auto"/>
        </w:rPr>
      </w:pPr>
      <w:r>
        <w:rPr>
          <w:rFonts w:ascii="Arial" w:cs="Arial" w:eastAsia="Arial" w:hAnsi="Arial"/>
          <w:sz w:val="17"/>
          <w:szCs w:val="17"/>
          <w:color w:val="auto"/>
        </w:rPr>
        <w:t>All notices, requests and other communications to a Holder of Junior Preferred Stock shall be in writing (including facsimile transmission) and shall be given at the address of such Holder as shown on the books of the Corporation. A Holder of Junior Preferred Stock may waive any notice required hereunder by a writing signed before or after the time required for notice or the action in question. Notice shall be deemed given on the earlier of the date received or three business days after the date such notice is mailed by first-class mail, postage prepaid.</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5" w:name="page176"/>
    <w:bookmarkEnd w:id="175"/>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ARTICLES OF AMENDMENT</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OF</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UNITED COMMUNITY BANKS, INC.</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name of the corporation is United Community Banks, Inc.</w:t>
      </w:r>
    </w:p>
    <w:p>
      <w:pPr>
        <w:spacing w:after="0" w:line="18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2.</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Restated Articles of Incorporation of the corporation are amended by striking the first paragraph of Article V thereof and inserting the following:</w:t>
      </w:r>
    </w:p>
    <w:p>
      <w:pPr>
        <w:spacing w:after="0" w:line="176"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corporation shall have authority to issue 200,000,000 shares of common stock, $1.00 par value (the “Common Stock”)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the by the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14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3.</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Restated Articles of Incorporation of the corporation are further amended by striking Article XI in its entirety and insert in lieu the following:</w:t>
      </w:r>
    </w:p>
    <w:p>
      <w:pPr>
        <w:spacing w:after="0" w:line="176"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“Except as otherwise provided by law, any amendment or repeal of any provision of the Articles of Incorporation or Article II (Stockholders’ Meetings) or III (Board of Directors) of the Bylaws of the corporation requires the affirmative vote of holders of a majority of the shares of capital stock of the corporation then issued and outstanding and entitled to vote on such matters.”</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pacing w:after="0" w:line="176"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This amendment to the Restated Articles of Incorporation was adopted on February 10, 2010, and was duly approved by the shareholders entitled to vote thereon in accordance with the provisions of Section 14-2-1003 of the Georgia Business Corporation Code.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has executed these Articles of Amendment to the Restated Articles of Incorporation of United Community Banks, Inc.</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this 27th day of May,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20"/>
        <w:spacing w:after="0"/>
        <w:rPr>
          <w:sz w:val="20"/>
          <w:szCs w:val="20"/>
          <w:color w:val="auto"/>
        </w:rPr>
      </w:pPr>
      <w:r>
        <w:rPr>
          <w:rFonts w:ascii="Arial" w:cs="Arial" w:eastAsia="Arial" w:hAnsi="Arial"/>
          <w:sz w:val="17"/>
          <w:szCs w:val="17"/>
          <w:b w:val="1"/>
          <w:bCs w:val="1"/>
          <w:color w:val="auto"/>
        </w:rPr>
        <w:t>UNITED COMMUNITY BANKS, INC.</w:t>
      </w:r>
    </w:p>
    <w:p>
      <w:pPr>
        <w:spacing w:after="0" w:line="219" w:lineRule="exact"/>
        <w:rPr>
          <w:sz w:val="20"/>
          <w:szCs w:val="20"/>
          <w:color w:val="auto"/>
        </w:rPr>
      </w:pPr>
    </w:p>
    <w:p>
      <w:pPr>
        <w:jc w:val="right"/>
        <w:ind w:right="2840"/>
        <w:spacing w:after="0"/>
        <w:rPr>
          <w:sz w:val="20"/>
          <w:szCs w:val="20"/>
          <w:color w:val="auto"/>
        </w:rPr>
      </w:pPr>
      <w:r>
        <w:rPr>
          <w:rFonts w:ascii="Arial" w:cs="Arial" w:eastAsia="Arial" w:hAnsi="Arial"/>
          <w:sz w:val="17"/>
          <w:szCs w:val="17"/>
          <w:color w:val="auto"/>
        </w:rPr>
        <w:t>By:  /s/ Jimmy C. Tallent Jimmy C. Tallent</w:t>
      </w:r>
    </w:p>
    <w:p>
      <w:pPr>
        <w:spacing w:after="0" w:line="21" w:lineRule="exact"/>
        <w:rPr>
          <w:sz w:val="20"/>
          <w:szCs w:val="20"/>
          <w:color w:val="auto"/>
        </w:rPr>
      </w:pPr>
    </w:p>
    <w:p>
      <w:pPr>
        <w:jc w:val="right"/>
        <w:ind w:right="2880"/>
        <w:spacing w:after="0"/>
        <w:rPr>
          <w:sz w:val="20"/>
          <w:szCs w:val="20"/>
          <w:color w:val="auto"/>
        </w:rPr>
      </w:pPr>
      <w:r>
        <w:rPr>
          <w:rFonts w:ascii="Arial" w:cs="Arial" w:eastAsia="Arial" w:hAnsi="Arial"/>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615315</wp:posOffset>
            </wp:positionV>
            <wp:extent cx="7258050"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76" w:name="page177"/>
    <w:bookmarkEnd w:id="176"/>
    <w:p>
      <w:pPr>
        <w:spacing w:after="0" w:line="200" w:lineRule="exact"/>
        <w:rPr>
          <w:sz w:val="20"/>
          <w:szCs w:val="20"/>
          <w:color w:val="auto"/>
        </w:rPr>
      </w:pPr>
    </w:p>
    <w:p>
      <w:pPr>
        <w:spacing w:after="0" w:line="330"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ARTICLES OF AMENDMENT</w:t>
      </w:r>
    </w:p>
    <w:p>
      <w:pPr>
        <w:spacing w:after="0" w:line="2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OF</w:t>
      </w:r>
    </w:p>
    <w:p>
      <w:pPr>
        <w:spacing w:after="0" w:line="10"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UNITED COMMUNITY BANKS, INC.</w:t>
      </w:r>
    </w:p>
    <w:p>
      <w:pPr>
        <w:spacing w:after="0" w:line="16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name of the corporation is United Community Banks, Inc.</w:t>
      </w:r>
    </w:p>
    <w:p>
      <w:pPr>
        <w:spacing w:after="0" w:line="17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w:t>
      </w:r>
    </w:p>
    <w:p>
      <w:pPr>
        <w:spacing w:after="0" w:line="176" w:lineRule="exact"/>
        <w:rPr>
          <w:sz w:val="20"/>
          <w:szCs w:val="20"/>
          <w:color w:val="auto"/>
        </w:rPr>
      </w:pPr>
    </w:p>
    <w:p>
      <w:pPr>
        <w:ind w:firstLine="457"/>
        <w:spacing w:after="0" w:line="346" w:lineRule="auto"/>
        <w:rPr>
          <w:sz w:val="20"/>
          <w:szCs w:val="20"/>
          <w:color w:val="auto"/>
        </w:rPr>
      </w:pPr>
      <w:r>
        <w:rPr>
          <w:rFonts w:ascii="Arial" w:cs="Arial" w:eastAsia="Arial" w:hAnsi="Arial"/>
          <w:sz w:val="15"/>
          <w:szCs w:val="15"/>
          <w:color w:val="auto"/>
        </w:rPr>
        <w:t xml:space="preserve">The Restated Articles of Incorporation, as amended, of the corporation are amended by adding the powers, rights, and preferences, and the qualifications, limitations, and restrictions thereof, of the Fixed Rate Cumulative Perpetual Preferred Stock, Series B as set forth in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attached hereto.</w:t>
      </w:r>
    </w:p>
    <w:p>
      <w:pPr>
        <w:spacing w:after="0" w:line="9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w:t>
      </w:r>
    </w:p>
    <w:p>
      <w:pPr>
        <w:spacing w:after="0" w:line="176" w:lineRule="exact"/>
        <w:rPr>
          <w:sz w:val="20"/>
          <w:szCs w:val="20"/>
          <w:color w:val="auto"/>
        </w:rPr>
      </w:pPr>
    </w:p>
    <w:p>
      <w:pPr>
        <w:ind w:right="180" w:firstLine="457"/>
        <w:spacing w:after="0" w:line="277" w:lineRule="auto"/>
        <w:rPr>
          <w:sz w:val="20"/>
          <w:szCs w:val="20"/>
          <w:color w:val="auto"/>
        </w:rPr>
      </w:pPr>
      <w:r>
        <w:rPr>
          <w:rFonts w:ascii="Arial" w:cs="Arial" w:eastAsia="Arial" w:hAnsi="Arial"/>
          <w:sz w:val="17"/>
          <w:szCs w:val="17"/>
          <w:color w:val="auto"/>
        </w:rPr>
        <w:t>The amendment was adopted by the board of directors of the corporation at a meeting held on October 23, 2008. Pursuant to O.C.G.A. § 14-2-602 and Article V of the Restated Articles of Incorporation, as amended, of the corporation, shareholder consent was not required.</w:t>
      </w:r>
    </w:p>
    <w:p>
      <w:pPr>
        <w:spacing w:after="0" w:line="126" w:lineRule="exact"/>
        <w:rPr>
          <w:sz w:val="20"/>
          <w:szCs w:val="20"/>
          <w:color w:val="auto"/>
        </w:rPr>
      </w:pPr>
    </w:p>
    <w:p>
      <w:pPr>
        <w:ind w:right="100" w:firstLine="457"/>
        <w:spacing w:after="0" w:line="277" w:lineRule="auto"/>
        <w:rPr>
          <w:sz w:val="20"/>
          <w:szCs w:val="20"/>
          <w:color w:val="auto"/>
        </w:rPr>
      </w:pPr>
      <w:r>
        <w:rPr>
          <w:rFonts w:ascii="Arial" w:cs="Arial" w:eastAsia="Arial" w:hAnsi="Arial"/>
          <w:sz w:val="17"/>
          <w:szCs w:val="17"/>
          <w:color w:val="auto"/>
        </w:rPr>
        <w:t>IN WITNESS WHEREOF, the undersigned has executed these Articles of Amendment to the Restated Articles of Incorporation, as amended, of United Community Bank, Inc. this 4th day of December,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UNITED COMMUNITY BANK, INC.</w:t>
      </w:r>
    </w:p>
    <w:p>
      <w:pPr>
        <w:spacing w:after="0" w:line="21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By:  /s/ Jimmy C. Tallent Jimmy C. Tallent</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President and Chief</w:t>
      </w:r>
    </w:p>
    <w:p>
      <w:pPr>
        <w:spacing w:after="0" w:line="10"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615315</wp:posOffset>
            </wp:positionV>
            <wp:extent cx="7258050"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0940"/>
          </w:cols>
          <w:pgMar w:left="240" w:top="1440" w:right="719" w:bottom="1440" w:gutter="0" w:footer="0" w:header="0"/>
        </w:sectPr>
      </w:pPr>
    </w:p>
    <w:bookmarkStart w:id="177" w:name="page178"/>
    <w:bookmarkEnd w:id="177"/>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DESIGNATIONS, POWERS, PREFERENCES,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LIMITATIONS, RESTRICTIONS, AND RELATIVE RIGHTS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FIXED RATE CUMULATIVE PERPETUAL PREFERRED STOCK, SERIES B</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COMMUNITY BANKS, INC.</w:t>
      </w:r>
    </w:p>
    <w:p>
      <w:pPr>
        <w:spacing w:after="0" w:line="180" w:lineRule="exact"/>
        <w:rPr>
          <w:sz w:val="20"/>
          <w:szCs w:val="20"/>
          <w:color w:val="auto"/>
        </w:rPr>
      </w:pPr>
    </w:p>
    <w:p>
      <w:pPr>
        <w:jc w:val="both"/>
        <w:ind w:right="160" w:firstLine="457"/>
        <w:spacing w:after="0" w:line="264" w:lineRule="auto"/>
        <w:rPr>
          <w:sz w:val="20"/>
          <w:szCs w:val="20"/>
          <w:color w:val="auto"/>
        </w:rPr>
      </w:pPr>
      <w:r>
        <w:rPr>
          <w:rFonts w:ascii="Arial" w:cs="Arial" w:eastAsia="Arial" w:hAnsi="Arial"/>
          <w:sz w:val="17"/>
          <w:szCs w:val="17"/>
          <w:color w:val="auto"/>
        </w:rPr>
        <w:t xml:space="preserve">Part 1. </w:t>
      </w:r>
      <w:r>
        <w:rPr>
          <w:rFonts w:ascii="Arial" w:cs="Arial" w:eastAsia="Arial" w:hAnsi="Arial"/>
          <w:sz w:val="17"/>
          <w:szCs w:val="17"/>
          <w:u w:val="single" w:color="auto"/>
          <w:color w:val="auto"/>
        </w:rPr>
        <w:t>Designation and Number of Shares</w:t>
      </w:r>
      <w:r>
        <w:rPr>
          <w:rFonts w:ascii="Arial" w:cs="Arial" w:eastAsia="Arial" w:hAnsi="Arial"/>
          <w:sz w:val="17"/>
          <w:szCs w:val="17"/>
          <w:color w:val="auto"/>
        </w:rPr>
        <w:t>. There is hereby created out of the authorized and unissued shares of preferred stock of the Corporation a series of preferred stock designated as the “Fixed Rate Cumulative Perpetual Preferred Stock, Series B” (the “</w:t>
      </w:r>
      <w:r>
        <w:rPr>
          <w:rFonts w:ascii="Arial" w:cs="Arial" w:eastAsia="Arial" w:hAnsi="Arial"/>
          <w:sz w:val="17"/>
          <w:szCs w:val="17"/>
          <w:u w:val="single" w:color="auto"/>
          <w:color w:val="auto"/>
        </w:rPr>
        <w:t>Designated Preferred Stock”</w:t>
      </w:r>
      <w:r>
        <w:rPr>
          <w:rFonts w:ascii="Arial" w:cs="Arial" w:eastAsia="Arial" w:hAnsi="Arial"/>
          <w:sz w:val="17"/>
          <w:szCs w:val="17"/>
          <w:color w:val="auto"/>
        </w:rPr>
        <w:t>). The authorized number of shares of Designated Preferred Stock shall be 180,000.</w:t>
      </w:r>
    </w:p>
    <w:p>
      <w:pPr>
        <w:spacing w:after="0" w:line="150" w:lineRule="exact"/>
        <w:rPr>
          <w:sz w:val="20"/>
          <w:szCs w:val="20"/>
          <w:color w:val="auto"/>
        </w:rPr>
      </w:pPr>
    </w:p>
    <w:p>
      <w:pPr>
        <w:ind w:right="240" w:firstLine="457"/>
        <w:spacing w:after="0" w:line="277" w:lineRule="auto"/>
        <w:rPr>
          <w:sz w:val="20"/>
          <w:szCs w:val="20"/>
          <w:color w:val="auto"/>
        </w:rPr>
      </w:pPr>
      <w:r>
        <w:rPr>
          <w:rFonts w:ascii="Arial" w:cs="Arial" w:eastAsia="Arial" w:hAnsi="Arial"/>
          <w:sz w:val="17"/>
          <w:szCs w:val="17"/>
          <w:color w:val="auto"/>
        </w:rPr>
        <w:t xml:space="preserve">Part 2. </w:t>
      </w:r>
      <w:r>
        <w:rPr>
          <w:rFonts w:ascii="Arial" w:cs="Arial" w:eastAsia="Arial" w:hAnsi="Arial"/>
          <w:sz w:val="17"/>
          <w:szCs w:val="17"/>
          <w:u w:val="single" w:color="auto"/>
          <w:color w:val="auto"/>
        </w:rPr>
        <w:t>Standard Provisions</w:t>
      </w:r>
      <w:r>
        <w:rPr>
          <w:rFonts w:ascii="Arial" w:cs="Arial" w:eastAsia="Arial" w:hAnsi="Arial"/>
          <w:sz w:val="17"/>
          <w:szCs w:val="17"/>
          <w:color w:val="auto"/>
        </w:rPr>
        <w:t>. The Standard Provisions contained in Annex A attached hereto are incorporated herein by reference in their entirety and shall be deemed to be a part of this Certificate of Designations to the same extent as if such provisions had been set forth in full herein.</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Part 3. </w:t>
      </w:r>
      <w:r>
        <w:rPr>
          <w:rFonts w:ascii="Arial" w:cs="Arial" w:eastAsia="Arial" w:hAnsi="Arial"/>
          <w:sz w:val="16"/>
          <w:szCs w:val="16"/>
          <w:u w:val="single" w:color="auto"/>
          <w:color w:val="auto"/>
        </w:rPr>
        <w:t>Definitions</w:t>
      </w:r>
      <w:r>
        <w:rPr>
          <w:rFonts w:ascii="Arial" w:cs="Arial" w:eastAsia="Arial" w:hAnsi="Arial"/>
          <w:sz w:val="16"/>
          <w:szCs w:val="16"/>
          <w:color w:val="auto"/>
        </w:rPr>
        <w:t>. The following terms are used in this Certificate of Designations (including the Standard Provisions in Annex A hereto) as defined below:</w:t>
      </w:r>
    </w:p>
    <w:p>
      <w:pPr>
        <w:spacing w:after="0" w:line="188" w:lineRule="exact"/>
        <w:rPr>
          <w:sz w:val="20"/>
          <w:szCs w:val="20"/>
          <w:color w:val="auto"/>
        </w:rPr>
      </w:pPr>
    </w:p>
    <w:p>
      <w:pPr>
        <w:ind w:left="700" w:hanging="241"/>
        <w:spacing w:after="0"/>
        <w:tabs>
          <w:tab w:leader="none" w:pos="7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means the common stock, par value $1.00 per share, of the Corporation.</w:t>
      </w:r>
    </w:p>
    <w:p>
      <w:pPr>
        <w:spacing w:after="0" w:line="189" w:lineRule="exact"/>
        <w:rPr>
          <w:rFonts w:ascii="Arial" w:cs="Arial" w:eastAsia="Arial" w:hAnsi="Arial"/>
          <w:sz w:val="17"/>
          <w:szCs w:val="17"/>
          <w:color w:val="auto"/>
        </w:rPr>
      </w:pPr>
    </w:p>
    <w:p>
      <w:pPr>
        <w:ind w:left="700" w:hanging="241"/>
        <w:spacing w:after="0"/>
        <w:tabs>
          <w:tab w:leader="none" w:pos="7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Dividend Payment Date</w:t>
      </w:r>
      <w:r>
        <w:rPr>
          <w:rFonts w:ascii="Arial" w:cs="Arial" w:eastAsia="Arial" w:hAnsi="Arial"/>
          <w:sz w:val="17"/>
          <w:szCs w:val="17"/>
          <w:color w:val="auto"/>
        </w:rPr>
        <w:t>” means February 15, May 15, August 15 and November 15 of each year.</w:t>
      </w:r>
    </w:p>
    <w:p>
      <w:pPr>
        <w:spacing w:after="0" w:line="176" w:lineRule="exact"/>
        <w:rPr>
          <w:rFonts w:ascii="Arial" w:cs="Arial" w:eastAsia="Arial" w:hAnsi="Arial"/>
          <w:sz w:val="17"/>
          <w:szCs w:val="17"/>
          <w:color w:val="auto"/>
        </w:rPr>
      </w:pPr>
    </w:p>
    <w:p>
      <w:pPr>
        <w:ind w:right="140" w:firstLine="459"/>
        <w:spacing w:after="0" w:line="277" w:lineRule="auto"/>
        <w:tabs>
          <w:tab w:leader="none" w:pos="689" w:val="left"/>
        </w:tabs>
        <w:numPr>
          <w:ilvl w:val="0"/>
          <w:numId w:val="19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Stock</w:t>
      </w:r>
      <w:r>
        <w:rPr>
          <w:rFonts w:ascii="Arial" w:cs="Arial" w:eastAsia="Arial" w:hAnsi="Arial"/>
          <w:sz w:val="17"/>
          <w:szCs w:val="17"/>
          <w:color w:val="auto"/>
        </w:rPr>
        <w:t>” means the Common Stock and any other class or series of stock of the Corporation the terms of which expressly provide that it ranks junior to Designated Preferred Stock as to dividend rights and/or as to rights on liquidation, dissolution or winding up of the Corporation.</w:t>
      </w:r>
    </w:p>
    <w:p>
      <w:pPr>
        <w:spacing w:after="0" w:line="125" w:lineRule="exact"/>
        <w:rPr>
          <w:rFonts w:ascii="Arial" w:cs="Arial" w:eastAsia="Arial" w:hAnsi="Arial"/>
          <w:sz w:val="17"/>
          <w:szCs w:val="17"/>
          <w:color w:val="auto"/>
        </w:rPr>
      </w:pPr>
    </w:p>
    <w:p>
      <w:pPr>
        <w:ind w:left="700" w:hanging="241"/>
        <w:spacing w:after="0"/>
        <w:tabs>
          <w:tab w:leader="none" w:pos="7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Liquidation Amount</w:t>
      </w:r>
      <w:r>
        <w:rPr>
          <w:rFonts w:ascii="Arial" w:cs="Arial" w:eastAsia="Arial" w:hAnsi="Arial"/>
          <w:sz w:val="17"/>
          <w:szCs w:val="17"/>
          <w:color w:val="auto"/>
        </w:rPr>
        <w:t>” means $1,000.00 per share of Designated Preferred Stock.</w:t>
      </w:r>
    </w:p>
    <w:p>
      <w:pPr>
        <w:spacing w:after="0" w:line="189" w:lineRule="exact"/>
        <w:rPr>
          <w:rFonts w:ascii="Arial" w:cs="Arial" w:eastAsia="Arial" w:hAnsi="Arial"/>
          <w:sz w:val="17"/>
          <w:szCs w:val="17"/>
          <w:color w:val="auto"/>
        </w:rPr>
      </w:pPr>
    </w:p>
    <w:p>
      <w:pPr>
        <w:ind w:left="700" w:hanging="241"/>
        <w:spacing w:after="0"/>
        <w:tabs>
          <w:tab w:leader="none" w:pos="7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Amount</w:t>
      </w:r>
      <w:r>
        <w:rPr>
          <w:rFonts w:ascii="Arial" w:cs="Arial" w:eastAsia="Arial" w:hAnsi="Arial"/>
          <w:sz w:val="17"/>
          <w:szCs w:val="17"/>
          <w:color w:val="auto"/>
        </w:rPr>
        <w:t>” means $45,000,000.</w:t>
      </w:r>
    </w:p>
    <w:p>
      <w:pPr>
        <w:spacing w:after="0" w:line="176" w:lineRule="exact"/>
        <w:rPr>
          <w:rFonts w:ascii="Arial" w:cs="Arial" w:eastAsia="Arial" w:hAnsi="Arial"/>
          <w:sz w:val="17"/>
          <w:szCs w:val="17"/>
          <w:color w:val="auto"/>
        </w:rPr>
      </w:pPr>
    </w:p>
    <w:p>
      <w:pPr>
        <w:jc w:val="both"/>
        <w:ind w:right="240" w:firstLine="459"/>
        <w:spacing w:after="0" w:line="260" w:lineRule="auto"/>
        <w:tabs>
          <w:tab w:leader="none" w:pos="67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Parity Stock</w:t>
      </w:r>
      <w:r>
        <w:rPr>
          <w:rFonts w:ascii="Arial" w:cs="Arial" w:eastAsia="Arial" w:hAnsi="Arial"/>
          <w:sz w:val="17"/>
          <w:szCs w:val="17"/>
          <w:color w:val="auto"/>
        </w:rPr>
        <w:t>” means any class or series of stock of the Corporation (other than Designated Preferred Stock) the terms of which do not expressly provide that such class or series will rank senior or junior to Designated Preferred Stock as to dividend rights and/or as to rights on liquidation, dissolution or winding up of the Corporation (in each case without regard to whether dividends accrue cumulatively or non-cumulatively). Without limiting the foregoing, Parity Stock shall include the Corporation’s Series A Non-Cumulative Preferred Stock.</w:t>
      </w:r>
    </w:p>
    <w:p>
      <w:pPr>
        <w:spacing w:after="0" w:line="140" w:lineRule="exact"/>
        <w:rPr>
          <w:rFonts w:ascii="Arial" w:cs="Arial" w:eastAsia="Arial" w:hAnsi="Arial"/>
          <w:sz w:val="17"/>
          <w:szCs w:val="17"/>
          <w:color w:val="auto"/>
        </w:rPr>
      </w:pPr>
    </w:p>
    <w:p>
      <w:pPr>
        <w:ind w:left="700" w:hanging="241"/>
        <w:spacing w:after="0"/>
        <w:tabs>
          <w:tab w:leader="none" w:pos="7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Signing Date</w:t>
      </w:r>
      <w:r>
        <w:rPr>
          <w:rFonts w:ascii="Arial" w:cs="Arial" w:eastAsia="Arial" w:hAnsi="Arial"/>
          <w:sz w:val="17"/>
          <w:szCs w:val="17"/>
          <w:color w:val="auto"/>
        </w:rPr>
        <w:t>” means the Original Issue Date.</w:t>
      </w:r>
    </w:p>
    <w:p>
      <w:pPr>
        <w:spacing w:after="0" w:line="189" w:lineRule="exact"/>
        <w:rPr>
          <w:sz w:val="20"/>
          <w:szCs w:val="20"/>
          <w:color w:val="auto"/>
        </w:rPr>
      </w:pPr>
    </w:p>
    <w:p>
      <w:pPr>
        <w:ind w:right="100" w:firstLine="457"/>
        <w:spacing w:after="0" w:line="277" w:lineRule="auto"/>
        <w:rPr>
          <w:sz w:val="20"/>
          <w:szCs w:val="20"/>
          <w:color w:val="auto"/>
        </w:rPr>
      </w:pPr>
      <w:r>
        <w:rPr>
          <w:rFonts w:ascii="Arial" w:cs="Arial" w:eastAsia="Arial" w:hAnsi="Arial"/>
          <w:sz w:val="17"/>
          <w:szCs w:val="17"/>
          <w:color w:val="auto"/>
        </w:rPr>
        <w:t xml:space="preserve">Part 4. </w:t>
      </w:r>
      <w:r>
        <w:rPr>
          <w:rFonts w:ascii="Arial" w:cs="Arial" w:eastAsia="Arial" w:hAnsi="Arial"/>
          <w:sz w:val="17"/>
          <w:szCs w:val="17"/>
          <w:u w:val="single" w:color="auto"/>
          <w:color w:val="auto"/>
        </w:rPr>
        <w:t>Certain Voting Matters</w:t>
      </w:r>
      <w:r>
        <w:rPr>
          <w:rFonts w:ascii="Arial" w:cs="Arial" w:eastAsia="Arial" w:hAnsi="Arial"/>
          <w:sz w:val="17"/>
          <w:szCs w:val="17"/>
          <w:color w:val="auto"/>
        </w:rPr>
        <w:t>. Holders of shares of Designated Preferred Stock will be entitled to one vote for each such share on any matter on which holders of Designated Preferred Stock are entitled to vote, including any action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582295</wp:posOffset>
            </wp:positionV>
            <wp:extent cx="7258050"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8" w:name="page179"/>
    <w:bookmarkEnd w:id="178"/>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ANNEX 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STANDARD PROVISIONS</w:t>
      </w:r>
    </w:p>
    <w:p>
      <w:pPr>
        <w:spacing w:after="0" w:line="193"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General Matters</w:t>
      </w:r>
      <w:r>
        <w:rPr>
          <w:rFonts w:ascii="Arial" w:cs="Arial" w:eastAsia="Arial" w:hAnsi="Arial"/>
          <w:sz w:val="17"/>
          <w:szCs w:val="17"/>
          <w:color w:val="auto"/>
        </w:rPr>
        <w:t>. Each share of Designated Preferred Stock shall be identical in all respects to every other share of Designated Preferred Stock. The Designated Preferred Stock shall be perpetual, subject to the provisions of Section 5 of these Standard Provisions that form a part of the Certificate of Designations. The Designated Preferred Stock shall rank equally with Parity Stock and shall rank senior to Junior Stock with respect to the payment of dividends and the distribution of assets in the event of any dissolution, liquidation or winding up of the Corporation.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Standard Definitions</w:t>
      </w:r>
      <w:r>
        <w:rPr>
          <w:rFonts w:ascii="Arial" w:cs="Arial" w:eastAsia="Arial" w:hAnsi="Arial"/>
          <w:sz w:val="17"/>
          <w:szCs w:val="17"/>
          <w:color w:val="auto"/>
        </w:rPr>
        <w:t>. As used herein with respect to Designated Preferred Stock:</w:t>
      </w:r>
    </w:p>
    <w:p>
      <w:pPr>
        <w:spacing w:after="0" w:line="176" w:lineRule="exact"/>
        <w:rPr>
          <w:sz w:val="20"/>
          <w:szCs w:val="20"/>
          <w:color w:val="auto"/>
        </w:rPr>
      </w:pPr>
    </w:p>
    <w:p>
      <w:pPr>
        <w:ind w:left="700" w:hanging="241"/>
        <w:spacing w:after="0"/>
        <w:tabs>
          <w:tab w:leader="none" w:pos="70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Dividend Rate</w:t>
      </w:r>
      <w:r>
        <w:rPr>
          <w:rFonts w:ascii="Arial" w:cs="Arial" w:eastAsia="Arial" w:hAnsi="Arial"/>
          <w:sz w:val="17"/>
          <w:szCs w:val="17"/>
          <w:color w:val="auto"/>
        </w:rPr>
        <w:t>” means (i) during the period from the Original Issue Date to, but excluding, the first day of the first Dividend Period</w:t>
      </w:r>
    </w:p>
    <w:p>
      <w:pPr>
        <w:spacing w:after="0" w:line="20" w:lineRule="exact"/>
        <w:rPr>
          <w:rFonts w:ascii="Arial" w:cs="Arial" w:eastAsia="Arial" w:hAnsi="Arial"/>
          <w:sz w:val="17"/>
          <w:szCs w:val="17"/>
          <w:color w:val="auto"/>
        </w:rPr>
      </w:pPr>
    </w:p>
    <w:p>
      <w:pPr>
        <w:ind w:right="200"/>
        <w:spacing w:after="0" w:line="263" w:lineRule="auto"/>
        <w:rPr>
          <w:rFonts w:ascii="Arial" w:cs="Arial" w:eastAsia="Arial" w:hAnsi="Arial"/>
          <w:sz w:val="17"/>
          <w:szCs w:val="17"/>
          <w:color w:val="auto"/>
        </w:rPr>
      </w:pPr>
      <w:r>
        <w:rPr>
          <w:rFonts w:ascii="Arial" w:cs="Arial" w:eastAsia="Arial" w:hAnsi="Arial"/>
          <w:sz w:val="17"/>
          <w:szCs w:val="17"/>
          <w:color w:val="auto"/>
        </w:rPr>
        <w:t>commencing on or after the fifth anniversary of the Original Issue Date, 5% per annum and (ii) from and after the first day of the first Dividend Period commencing on or after the fifth anniversary of the Original Issue Date, 9% per annum.</w:t>
      </w:r>
    </w:p>
    <w:p>
      <w:pPr>
        <w:spacing w:after="0" w:line="150" w:lineRule="exact"/>
        <w:rPr>
          <w:rFonts w:ascii="Arial" w:cs="Arial" w:eastAsia="Arial" w:hAnsi="Arial"/>
          <w:sz w:val="17"/>
          <w:szCs w:val="17"/>
          <w:color w:val="auto"/>
        </w:rPr>
      </w:pPr>
    </w:p>
    <w:p>
      <w:pPr>
        <w:ind w:right="220" w:firstLine="459"/>
        <w:spacing w:after="0" w:line="277" w:lineRule="auto"/>
        <w:tabs>
          <w:tab w:leader="none" w:pos="699" w:val="left"/>
        </w:tabs>
        <w:numPr>
          <w:ilvl w:val="0"/>
          <w:numId w:val="1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Appropriate Federal Banking Agency</w:t>
      </w:r>
      <w:r>
        <w:rPr>
          <w:rFonts w:ascii="Arial" w:cs="Arial" w:eastAsia="Arial" w:hAnsi="Arial"/>
          <w:sz w:val="17"/>
          <w:szCs w:val="17"/>
          <w:color w:val="auto"/>
        </w:rPr>
        <w:t>” means the “appropriate Federal banking agency“ with respect to the Corporation as defined in Section 3(q) of the Federal Deposit Insurance Act (12 U.S.C. Section 1813(q)), or any successor provision.</w:t>
      </w:r>
    </w:p>
    <w:p>
      <w:pPr>
        <w:spacing w:after="0" w:line="125" w:lineRule="exact"/>
        <w:rPr>
          <w:rFonts w:ascii="Arial" w:cs="Arial" w:eastAsia="Arial" w:hAnsi="Arial"/>
          <w:sz w:val="17"/>
          <w:szCs w:val="17"/>
          <w:color w:val="auto"/>
        </w:rPr>
      </w:pPr>
    </w:p>
    <w:p>
      <w:pPr>
        <w:ind w:right="420" w:firstLine="459"/>
        <w:spacing w:after="0" w:line="277" w:lineRule="auto"/>
        <w:tabs>
          <w:tab w:leader="none" w:pos="689" w:val="left"/>
        </w:tabs>
        <w:numPr>
          <w:ilvl w:val="0"/>
          <w:numId w:val="1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Combination</w:t>
      </w:r>
      <w:r>
        <w:rPr>
          <w:rFonts w:ascii="Arial" w:cs="Arial" w:eastAsia="Arial" w:hAnsi="Arial"/>
          <w:sz w:val="17"/>
          <w:szCs w:val="17"/>
          <w:color w:val="auto"/>
        </w:rPr>
        <w:t>” means a merger, consolidation, statutory share exchange or similar transaction that requires the approval of the Corporation“s stockholders.</w:t>
      </w:r>
    </w:p>
    <w:p>
      <w:pPr>
        <w:spacing w:after="0" w:line="125" w:lineRule="exact"/>
        <w:rPr>
          <w:rFonts w:ascii="Arial" w:cs="Arial" w:eastAsia="Arial" w:hAnsi="Arial"/>
          <w:sz w:val="17"/>
          <w:szCs w:val="17"/>
          <w:color w:val="auto"/>
        </w:rPr>
      </w:pPr>
    </w:p>
    <w:p>
      <w:pPr>
        <w:ind w:right="300" w:firstLine="459"/>
        <w:spacing w:after="0" w:line="277" w:lineRule="auto"/>
        <w:tabs>
          <w:tab w:leader="none" w:pos="699" w:val="left"/>
        </w:tabs>
        <w:numPr>
          <w:ilvl w:val="0"/>
          <w:numId w:val="1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Saturday, Sunday and any day on which banking institutions in the State of New York generally are authorized or required by law or other governmental actions to close.</w:t>
      </w:r>
    </w:p>
    <w:p>
      <w:pPr>
        <w:spacing w:after="0" w:line="138" w:lineRule="exact"/>
        <w:rPr>
          <w:rFonts w:ascii="Arial" w:cs="Arial" w:eastAsia="Arial" w:hAnsi="Arial"/>
          <w:sz w:val="17"/>
          <w:szCs w:val="17"/>
          <w:color w:val="auto"/>
        </w:rPr>
      </w:pPr>
    </w:p>
    <w:p>
      <w:pPr>
        <w:ind w:left="700" w:hanging="241"/>
        <w:spacing w:after="0"/>
        <w:tabs>
          <w:tab w:leader="none" w:pos="70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Bylaws</w:t>
      </w:r>
      <w:r>
        <w:rPr>
          <w:rFonts w:ascii="Arial" w:cs="Arial" w:eastAsia="Arial" w:hAnsi="Arial"/>
          <w:sz w:val="17"/>
          <w:szCs w:val="17"/>
          <w:color w:val="auto"/>
        </w:rPr>
        <w:t>”means the bylaws of the Corporation, as they may be amended from time to time.</w:t>
      </w:r>
    </w:p>
    <w:p>
      <w:pPr>
        <w:spacing w:after="0" w:line="176" w:lineRule="exact"/>
        <w:rPr>
          <w:rFonts w:ascii="Arial" w:cs="Arial" w:eastAsia="Arial" w:hAnsi="Arial"/>
          <w:sz w:val="17"/>
          <w:szCs w:val="17"/>
          <w:color w:val="auto"/>
        </w:rPr>
      </w:pPr>
    </w:p>
    <w:p>
      <w:pPr>
        <w:ind w:right="340" w:firstLine="459"/>
        <w:spacing w:after="0" w:line="277" w:lineRule="auto"/>
        <w:tabs>
          <w:tab w:leader="none" w:pos="67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Certificate of Designations</w:t>
      </w:r>
      <w:r>
        <w:rPr>
          <w:rFonts w:ascii="Arial" w:cs="Arial" w:eastAsia="Arial" w:hAnsi="Arial"/>
          <w:sz w:val="17"/>
          <w:szCs w:val="17"/>
          <w:color w:val="auto"/>
        </w:rPr>
        <w:t>” means the Certificate of Designations or comparable instrument relating to the Designated Preferred Stock, of which these Standard Provisions form a part, as it may be amended from time to time.</w:t>
      </w:r>
    </w:p>
    <w:p>
      <w:pPr>
        <w:spacing w:after="0" w:line="125" w:lineRule="exact"/>
        <w:rPr>
          <w:rFonts w:ascii="Arial" w:cs="Arial" w:eastAsia="Arial" w:hAnsi="Arial"/>
          <w:sz w:val="17"/>
          <w:szCs w:val="17"/>
          <w:color w:val="auto"/>
        </w:rPr>
      </w:pPr>
    </w:p>
    <w:p>
      <w:pPr>
        <w:ind w:left="700" w:hanging="241"/>
        <w:spacing w:after="0"/>
        <w:tabs>
          <w:tab w:leader="none" w:pos="70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Charter”</w:t>
      </w:r>
      <w:r>
        <w:rPr>
          <w:rFonts w:ascii="Arial" w:cs="Arial" w:eastAsia="Arial" w:hAnsi="Arial"/>
          <w:sz w:val="17"/>
          <w:szCs w:val="17"/>
          <w:color w:val="auto"/>
        </w:rPr>
        <w:t xml:space="preserve"> means the Corporation“s certificate or articles of incorporation, articles of association, or similar organizational document.</w:t>
      </w:r>
    </w:p>
    <w:p>
      <w:pPr>
        <w:spacing w:after="0" w:line="189" w:lineRule="exact"/>
        <w:rPr>
          <w:rFonts w:ascii="Arial" w:cs="Arial" w:eastAsia="Arial" w:hAnsi="Arial"/>
          <w:sz w:val="17"/>
          <w:szCs w:val="17"/>
          <w:color w:val="auto"/>
        </w:rPr>
      </w:pPr>
    </w:p>
    <w:p>
      <w:pPr>
        <w:ind w:left="700" w:hanging="241"/>
        <w:spacing w:after="0"/>
        <w:tabs>
          <w:tab w:leader="none" w:pos="70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Dividend Period</w:t>
      </w:r>
      <w:r>
        <w:rPr>
          <w:rFonts w:ascii="Arial" w:cs="Arial" w:eastAsia="Arial" w:hAnsi="Arial"/>
          <w:sz w:val="17"/>
          <w:szCs w:val="17"/>
          <w:color w:val="auto"/>
        </w:rPr>
        <w:t>” has the meaning set forth in Section 3(a).</w:t>
      </w:r>
    </w:p>
    <w:p>
      <w:pPr>
        <w:spacing w:after="0" w:line="176" w:lineRule="exact"/>
        <w:rPr>
          <w:rFonts w:ascii="Arial" w:cs="Arial" w:eastAsia="Arial" w:hAnsi="Arial"/>
          <w:sz w:val="17"/>
          <w:szCs w:val="17"/>
          <w:color w:val="auto"/>
        </w:rPr>
      </w:pPr>
    </w:p>
    <w:p>
      <w:pPr>
        <w:ind w:left="660" w:hanging="201"/>
        <w:spacing w:after="0"/>
        <w:tabs>
          <w:tab w:leader="none" w:pos="66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Dividend Record Date</w:t>
      </w:r>
      <w:r>
        <w:rPr>
          <w:rFonts w:ascii="Arial" w:cs="Arial" w:eastAsia="Arial" w:hAnsi="Arial"/>
          <w:sz w:val="17"/>
          <w:szCs w:val="17"/>
          <w:color w:val="auto"/>
        </w:rPr>
        <w:t>” has the meaning set forth in Section 3(a).</w:t>
      </w:r>
    </w:p>
    <w:p>
      <w:pPr>
        <w:spacing w:after="0" w:line="176" w:lineRule="exact"/>
        <w:rPr>
          <w:rFonts w:ascii="Arial" w:cs="Arial" w:eastAsia="Arial" w:hAnsi="Arial"/>
          <w:sz w:val="17"/>
          <w:szCs w:val="17"/>
          <w:color w:val="auto"/>
        </w:rPr>
      </w:pPr>
    </w:p>
    <w:p>
      <w:pPr>
        <w:ind w:left="660" w:hanging="201"/>
        <w:spacing w:after="0"/>
        <w:tabs>
          <w:tab w:leader="none" w:pos="66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Liquidation Preference</w:t>
      </w:r>
      <w:r>
        <w:rPr>
          <w:rFonts w:ascii="Arial" w:cs="Arial" w:eastAsia="Arial" w:hAnsi="Arial"/>
          <w:sz w:val="17"/>
          <w:szCs w:val="17"/>
          <w:color w:val="auto"/>
        </w:rPr>
        <w:t>” has the meaning set forth in Section 4(a).</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9" w:name="page180"/>
    <w:bookmarkEnd w:id="179"/>
    <w:p>
      <w:pPr>
        <w:spacing w:after="0" w:line="200" w:lineRule="exact"/>
        <w:rPr>
          <w:sz w:val="20"/>
          <w:szCs w:val="20"/>
          <w:color w:val="auto"/>
        </w:rPr>
      </w:pPr>
    </w:p>
    <w:p>
      <w:pPr>
        <w:spacing w:after="0" w:line="334" w:lineRule="exact"/>
        <w:rPr>
          <w:sz w:val="20"/>
          <w:szCs w:val="20"/>
          <w:color w:val="auto"/>
        </w:rPr>
      </w:pPr>
    </w:p>
    <w:p>
      <w:pPr>
        <w:ind w:left="680" w:hanging="241"/>
        <w:spacing w:after="0"/>
        <w:tabs>
          <w:tab w:leader="none" w:pos="6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Original Issue Date</w:t>
      </w:r>
      <w:r>
        <w:rPr>
          <w:rFonts w:ascii="Arial" w:cs="Arial" w:eastAsia="Arial" w:hAnsi="Arial"/>
          <w:sz w:val="17"/>
          <w:szCs w:val="17"/>
          <w:color w:val="auto"/>
        </w:rPr>
        <w:t>” means the date on which shares of Designated Preferred Stock are first issued.</w:t>
      </w:r>
    </w:p>
    <w:p>
      <w:pPr>
        <w:spacing w:after="0" w:line="176" w:lineRule="exact"/>
        <w:rPr>
          <w:rFonts w:ascii="Arial" w:cs="Arial" w:eastAsia="Arial" w:hAnsi="Arial"/>
          <w:sz w:val="17"/>
          <w:szCs w:val="17"/>
          <w:color w:val="auto"/>
        </w:rPr>
      </w:pPr>
    </w:p>
    <w:p>
      <w:pPr>
        <w:ind w:left="640" w:hanging="201"/>
        <w:spacing w:after="0"/>
        <w:tabs>
          <w:tab w:leader="none" w:pos="64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Preferred Director</w:t>
      </w:r>
      <w:r>
        <w:rPr>
          <w:rFonts w:ascii="Arial" w:cs="Arial" w:eastAsia="Arial" w:hAnsi="Arial"/>
          <w:sz w:val="17"/>
          <w:szCs w:val="17"/>
          <w:color w:val="auto"/>
        </w:rPr>
        <w:t>” has the meaning set forth in Section 7(b).</w:t>
      </w:r>
    </w:p>
    <w:p>
      <w:pPr>
        <w:spacing w:after="0" w:line="189" w:lineRule="exact"/>
        <w:rPr>
          <w:rFonts w:ascii="Arial" w:cs="Arial" w:eastAsia="Arial" w:hAnsi="Arial"/>
          <w:sz w:val="17"/>
          <w:szCs w:val="17"/>
          <w:color w:val="auto"/>
        </w:rPr>
      </w:pPr>
    </w:p>
    <w:p>
      <w:pPr>
        <w:ind w:left="720" w:hanging="281"/>
        <w:spacing w:after="0"/>
        <w:tabs>
          <w:tab w:leader="none" w:pos="72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Preferred Stock”</w:t>
      </w:r>
      <w:r>
        <w:rPr>
          <w:rFonts w:ascii="Arial" w:cs="Arial" w:eastAsia="Arial" w:hAnsi="Arial"/>
          <w:sz w:val="17"/>
          <w:szCs w:val="17"/>
          <w:color w:val="auto"/>
        </w:rPr>
        <w:t xml:space="preserve"> means any and all series of preferred stock of the Corporation, including the Designated Preferred Stock.</w:t>
      </w:r>
    </w:p>
    <w:p>
      <w:pPr>
        <w:spacing w:after="0" w:line="176" w:lineRule="exact"/>
        <w:rPr>
          <w:rFonts w:ascii="Arial" w:cs="Arial" w:eastAsia="Arial" w:hAnsi="Arial"/>
          <w:sz w:val="17"/>
          <w:szCs w:val="17"/>
          <w:color w:val="auto"/>
        </w:rPr>
      </w:pPr>
    </w:p>
    <w:p>
      <w:pPr>
        <w:ind w:left="-20" w:firstLine="459"/>
        <w:spacing w:after="0" w:line="258" w:lineRule="auto"/>
        <w:tabs>
          <w:tab w:leader="none" w:pos="679" w:val="left"/>
        </w:tabs>
        <w:numPr>
          <w:ilvl w:val="0"/>
          <w:numId w:val="1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Qualified Equity Offering</w:t>
      </w:r>
      <w:r>
        <w:rPr>
          <w:rFonts w:ascii="Arial" w:cs="Arial" w:eastAsia="Arial" w:hAnsi="Arial"/>
          <w:sz w:val="17"/>
          <w:szCs w:val="17"/>
          <w:color w:val="auto"/>
        </w:rPr>
        <w:t>” means the sale and issuance for cash by the Corporation to persons other than the Corporation or any of its subsidiaries after the Original Issue Date of shares of perpetual Preferred Stock, Common Stock or any combination of such stock, that, in each case, qualify as and may be included in Tier 1 capital of the Corporation at the time of issuance under the applicable risk-based capital guidelines of the Corporation’s Appropriate Federal Banking Agency (other than any such sales and issuances made pursuant to agreements or arrangements entered into, or pursuant to financing plans which were publicly announced, on or prior to October 13, 2008).</w:t>
      </w:r>
    </w:p>
    <w:p>
      <w:pPr>
        <w:spacing w:after="0" w:line="141" w:lineRule="exact"/>
        <w:rPr>
          <w:rFonts w:ascii="Arial" w:cs="Arial" w:eastAsia="Arial" w:hAnsi="Arial"/>
          <w:sz w:val="17"/>
          <w:szCs w:val="17"/>
          <w:color w:val="auto"/>
        </w:rPr>
      </w:pPr>
    </w:p>
    <w:p>
      <w:pPr>
        <w:ind w:left="680" w:hanging="241"/>
        <w:spacing w:after="0"/>
        <w:tabs>
          <w:tab w:leader="none" w:pos="6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 Dilution Amount</w:t>
      </w:r>
      <w:r>
        <w:rPr>
          <w:rFonts w:ascii="Arial" w:cs="Arial" w:eastAsia="Arial" w:hAnsi="Arial"/>
          <w:sz w:val="17"/>
          <w:szCs w:val="17"/>
          <w:color w:val="auto"/>
        </w:rPr>
        <w:t>” has the meaning set forth in Section 3(b).</w:t>
      </w:r>
    </w:p>
    <w:p>
      <w:pPr>
        <w:spacing w:after="0" w:line="189" w:lineRule="exact"/>
        <w:rPr>
          <w:rFonts w:ascii="Arial" w:cs="Arial" w:eastAsia="Arial" w:hAnsi="Arial"/>
          <w:sz w:val="17"/>
          <w:szCs w:val="17"/>
          <w:color w:val="auto"/>
        </w:rPr>
      </w:pPr>
    </w:p>
    <w:p>
      <w:pPr>
        <w:ind w:left="680" w:hanging="241"/>
        <w:spacing w:after="0"/>
        <w:tabs>
          <w:tab w:leader="none" w:pos="68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Standard Provisions</w:t>
      </w:r>
      <w:r>
        <w:rPr>
          <w:rFonts w:ascii="Arial" w:cs="Arial" w:eastAsia="Arial" w:hAnsi="Arial"/>
          <w:sz w:val="16"/>
          <w:szCs w:val="16"/>
          <w:color w:val="auto"/>
        </w:rPr>
        <w:t>” mean these Standard Provisions that form a part of the Certificate of Designations relating to the Designated Preferred Stock.</w:t>
      </w:r>
    </w:p>
    <w:p>
      <w:pPr>
        <w:spacing w:after="0" w:line="187" w:lineRule="exact"/>
        <w:rPr>
          <w:rFonts w:ascii="Arial" w:cs="Arial" w:eastAsia="Arial" w:hAnsi="Arial"/>
          <w:sz w:val="16"/>
          <w:szCs w:val="16"/>
          <w:color w:val="auto"/>
        </w:rPr>
      </w:pPr>
    </w:p>
    <w:p>
      <w:pPr>
        <w:ind w:left="680" w:hanging="241"/>
        <w:spacing w:after="0"/>
        <w:tabs>
          <w:tab w:leader="none" w:pos="6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Successor Preferred Stock”</w:t>
      </w:r>
      <w:r>
        <w:rPr>
          <w:rFonts w:ascii="Arial" w:cs="Arial" w:eastAsia="Arial" w:hAnsi="Arial"/>
          <w:sz w:val="17"/>
          <w:szCs w:val="17"/>
          <w:color w:val="auto"/>
        </w:rPr>
        <w:t xml:space="preserve"> has the meaning set forth in Section 5(a).</w:t>
      </w:r>
    </w:p>
    <w:p>
      <w:pPr>
        <w:spacing w:after="0" w:line="176" w:lineRule="exact"/>
        <w:rPr>
          <w:rFonts w:ascii="Arial" w:cs="Arial" w:eastAsia="Arial" w:hAnsi="Arial"/>
          <w:sz w:val="17"/>
          <w:szCs w:val="17"/>
          <w:color w:val="auto"/>
        </w:rPr>
      </w:pPr>
    </w:p>
    <w:p>
      <w:pPr>
        <w:ind w:left="-20" w:right="260" w:firstLine="459"/>
        <w:spacing w:after="0" w:line="264" w:lineRule="auto"/>
        <w:tabs>
          <w:tab w:leader="none" w:pos="65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Parity Stock</w:t>
      </w:r>
      <w:r>
        <w:rPr>
          <w:rFonts w:ascii="Arial" w:cs="Arial" w:eastAsia="Arial" w:hAnsi="Arial"/>
          <w:sz w:val="17"/>
          <w:szCs w:val="17"/>
          <w:color w:val="auto"/>
        </w:rPr>
        <w:t>” means, with regard to any matter as to which the holders of Designated Preferred Stock are entitled to vote as specified in Sections 7(a) and 7(b) of these Standard Provisions that form a part of the Certificate of Designations, any and all series of Parity Stock upon which like voting rights have been conferred and are exercisable with respect to such matter.</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Section 3. Dividends.</w:t>
      </w:r>
    </w:p>
    <w:p>
      <w:pPr>
        <w:spacing w:after="0" w:line="176" w:lineRule="exact"/>
        <w:rPr>
          <w:sz w:val="20"/>
          <w:szCs w:val="20"/>
          <w:color w:val="auto"/>
        </w:rPr>
      </w:pPr>
    </w:p>
    <w:p>
      <w:pPr>
        <w:ind w:left="-20" w:right="20" w:firstLine="459"/>
        <w:spacing w:after="0" w:line="271" w:lineRule="auto"/>
        <w:tabs>
          <w:tab w:leader="none" w:pos="669"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t>Rate</w:t>
      </w:r>
      <w:r>
        <w:rPr>
          <w:rFonts w:ascii="Arial" w:cs="Arial" w:eastAsia="Arial" w:hAnsi="Arial"/>
          <w:sz w:val="16"/>
          <w:szCs w:val="16"/>
          <w:color w:val="auto"/>
        </w:rPr>
        <w:t>. Holders of Designated Preferred Stock shall be entitled to receive, on each share of Designated Preferred Stock if, as and when declared by the Board of Directors or any duly authorized committee of the Board of Directors, but only out of assets legally available therefor, cumulative cash dividends with respect to each Dividend Period (as defined below) at a rate per annum equal to the Applicable Dividend Rate on (i) the Liquidation Amount per share of Designated Preferred Stock and (ii) the amount of accrued and unpaid dividends for any prior Dividend Period on such share of Designated Preferred Stock, if any. Such dividends shall begin to accrue and be cumulative from the Original Issue Date, shall compound on each subsequent Dividend Payment Date (</w:t>
      </w:r>
      <w:r>
        <w:rPr>
          <w:rFonts w:ascii="Arial" w:cs="Arial" w:eastAsia="Arial" w:hAnsi="Arial"/>
          <w:sz w:val="16"/>
          <w:szCs w:val="16"/>
          <w:i w:val="1"/>
          <w:iCs w:val="1"/>
          <w:color w:val="auto"/>
        </w:rPr>
        <w:t>i.e.</w:t>
      </w:r>
      <w:r>
        <w:rPr>
          <w:rFonts w:ascii="Arial" w:cs="Arial" w:eastAsia="Arial" w:hAnsi="Arial"/>
          <w:sz w:val="16"/>
          <w:szCs w:val="16"/>
          <w:color w:val="auto"/>
        </w:rPr>
        <w:t>, no dividends shall accrue on other dividends unless and until the first Dividend Payment Date for such other dividends has passed without such other dividends having been paid on such date) and shall be payable quarterly in arrears on each Dividend Payment Date, commencing with the first such Dividend Payment Date to occur at least 20 calendar days after the Original Issue Date. In the event that any Dividend Payment Date would otherwise fall on a day that is not a Business Day, the dividend payment due on that date will be postponed to the next day that is a Business Day and no additional dividends will accrue as a result of that postponement. The period from and including any Dividend Payment Date to, but excluding, the next Dividend Payment Date is a “</w:t>
      </w:r>
      <w:r>
        <w:rPr>
          <w:rFonts w:ascii="Arial" w:cs="Arial" w:eastAsia="Arial" w:hAnsi="Arial"/>
          <w:sz w:val="16"/>
          <w:szCs w:val="16"/>
          <w:u w:val="single" w:color="auto"/>
          <w:color w:val="auto"/>
        </w:rPr>
        <w:t>Dividend Period</w:t>
      </w:r>
      <w:r>
        <w:rPr>
          <w:rFonts w:ascii="Arial" w:cs="Arial" w:eastAsia="Arial" w:hAnsi="Arial"/>
          <w:sz w:val="16"/>
          <w:szCs w:val="16"/>
          <w:color w:val="auto"/>
        </w:rPr>
        <w:t>,” provided that the initial Dividend Period shall be the period from and including the Original Issue Date to, but excluding, the next Dividend Payment Date.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142240</wp:posOffset>
            </wp:positionV>
            <wp:extent cx="7258050"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80"/>
          </w:cols>
          <w:pgMar w:left="260" w:top="1440" w:right="259" w:bottom="1440" w:gutter="0" w:footer="0" w:header="0"/>
        </w:sectPr>
      </w:pPr>
    </w:p>
    <w:bookmarkStart w:id="180" w:name="page181"/>
    <w:bookmarkEnd w:id="180"/>
    <w:p>
      <w:pPr>
        <w:spacing w:after="0" w:line="200" w:lineRule="exact"/>
        <w:rPr>
          <w:sz w:val="20"/>
          <w:szCs w:val="20"/>
          <w:color w:val="auto"/>
        </w:rPr>
      </w:pPr>
    </w:p>
    <w:p>
      <w:pPr>
        <w:spacing w:after="0" w:line="334" w:lineRule="exact"/>
        <w:rPr>
          <w:sz w:val="20"/>
          <w:szCs w:val="20"/>
          <w:color w:val="auto"/>
        </w:rPr>
      </w:pPr>
    </w:p>
    <w:p>
      <w:pPr>
        <w:ind w:right="40" w:firstLine="457"/>
        <w:spacing w:after="0" w:line="288" w:lineRule="auto"/>
        <w:rPr>
          <w:sz w:val="20"/>
          <w:szCs w:val="20"/>
          <w:color w:val="auto"/>
        </w:rPr>
      </w:pPr>
      <w:r>
        <w:rPr>
          <w:rFonts w:ascii="Arial" w:cs="Arial" w:eastAsia="Arial" w:hAnsi="Arial"/>
          <w:sz w:val="16"/>
          <w:szCs w:val="16"/>
          <w:color w:val="auto"/>
        </w:rPr>
        <w:t>Dividends that are payable on Designated Preferred Stock in respect of any Dividend Period shall be computed on the basis of a 360-day year consisting of twelve 30-day months. The amount of dividends payable on Designated Preferred Stock on any date prior to the end of a Dividend Period, and for the initial Dividend Period, shall be computed on the basis of a 360-day year consisting of twelve 30-day months, and actual days elapsed over a 30-day month.</w:t>
      </w:r>
    </w:p>
    <w:p>
      <w:pPr>
        <w:spacing w:after="0" w:line="120"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Dividends that are payable on Designated Preferred Stock on any Dividend Payment Date will be payable to holders of record of Designated Preferred Stock as they appear on the stock register of the Corporation on the applicable record date, which shall be the 15th calendar day immediately preceding such Dividend Payment Date or such other record date fixed by the Board of Directors or any duly authorized committee of the Board of Directors that is not more than 60 nor less than 10 days prior to such Dividend Payment Date (each, a “</w:t>
      </w:r>
      <w:r>
        <w:rPr>
          <w:rFonts w:ascii="Arial" w:cs="Arial" w:eastAsia="Arial" w:hAnsi="Arial"/>
          <w:sz w:val="17"/>
          <w:szCs w:val="17"/>
          <w:u w:val="single" w:color="auto"/>
          <w:color w:val="auto"/>
        </w:rPr>
        <w:t>Dividend Record Date”</w:t>
      </w:r>
      <w:r>
        <w:rPr>
          <w:rFonts w:ascii="Arial" w:cs="Arial" w:eastAsia="Arial" w:hAnsi="Arial"/>
          <w:sz w:val="17"/>
          <w:szCs w:val="17"/>
          <w:color w:val="auto"/>
        </w:rPr>
        <w:t>). Any such day that is a Dividend Record Date shall be a Dividend Record Date whether or not such day is a Business Day.</w:t>
      </w:r>
    </w:p>
    <w:p>
      <w:pPr>
        <w:spacing w:after="0" w:line="154" w:lineRule="exact"/>
        <w:rPr>
          <w:sz w:val="20"/>
          <w:szCs w:val="20"/>
          <w:color w:val="auto"/>
        </w:rPr>
      </w:pPr>
    </w:p>
    <w:p>
      <w:pPr>
        <w:ind w:right="60" w:firstLine="457"/>
        <w:spacing w:after="0" w:line="309" w:lineRule="auto"/>
        <w:rPr>
          <w:sz w:val="20"/>
          <w:szCs w:val="20"/>
          <w:color w:val="auto"/>
        </w:rPr>
      </w:pPr>
      <w:r>
        <w:rPr>
          <w:rFonts w:ascii="Arial" w:cs="Arial" w:eastAsia="Arial" w:hAnsi="Arial"/>
          <w:sz w:val="16"/>
          <w:szCs w:val="16"/>
          <w:color w:val="auto"/>
        </w:rPr>
        <w:t>Holders of Designated Preferred Stock shall not be entitled to any dividends, whether payable in cash, securities or other property, other than dividends (if any) declared and payable on Designated Preferred Stock as specified in this Section 3 (subject to the other provisions of the Certificate of Designations).</w:t>
      </w:r>
    </w:p>
    <w:p>
      <w:pPr>
        <w:spacing w:after="0" w:line="103" w:lineRule="exact"/>
        <w:rPr>
          <w:sz w:val="20"/>
          <w:szCs w:val="20"/>
          <w:color w:val="auto"/>
        </w:rPr>
      </w:pPr>
    </w:p>
    <w:p>
      <w:pPr>
        <w:ind w:firstLine="459"/>
        <w:spacing w:after="0" w:line="288" w:lineRule="auto"/>
        <w:tabs>
          <w:tab w:leader="none" w:pos="698" w:val="left"/>
        </w:tabs>
        <w:numPr>
          <w:ilvl w:val="0"/>
          <w:numId w:val="196"/>
        </w:numPr>
        <w:rPr>
          <w:rFonts w:ascii="Arial" w:cs="Arial" w:eastAsia="Arial" w:hAnsi="Arial"/>
          <w:sz w:val="15"/>
          <w:szCs w:val="15"/>
          <w:color w:val="auto"/>
        </w:rPr>
      </w:pPr>
      <w:r>
        <w:rPr>
          <w:rFonts w:ascii="Arial" w:cs="Arial" w:eastAsia="Arial" w:hAnsi="Arial"/>
          <w:sz w:val="15"/>
          <w:szCs w:val="15"/>
          <w:u w:val="single" w:color="auto"/>
          <w:color w:val="auto"/>
        </w:rPr>
        <w:t>Priority of Dividends</w:t>
      </w:r>
      <w:r>
        <w:rPr>
          <w:rFonts w:ascii="Arial" w:cs="Arial" w:eastAsia="Arial" w:hAnsi="Arial"/>
          <w:sz w:val="15"/>
          <w:szCs w:val="15"/>
          <w:color w:val="auto"/>
        </w:rPr>
        <w:t xml:space="preserve">. So long as any share of Designated Preferred Stock remains outstanding, no dividend or distribution shall be declared or paid on the Common Stock or any other shares of Junior Stock (other than dividends payable solely in shares of Common Stock) or Parity Stock, subject to the immediately following paragraph in the case of Parity Stock, and no Common Stock, Junior Stock or Parity Stock shall be, directly or indirectly, purchased, redeemed or otherwise acquired for consideration by the Corporation or any of its subsidiaries unless all accrued and unpaid dividends for all past Dividend Periods, including the latest completed Dividend Period (including, if applicable as provided in Section 3(a) above, dividends on such amount), on all outstanding shares of Designated Preferred Stock have been or are contemporaneously declared and paid in full (or have been declared and a sum sufficient for the payment thereof has been set aside for the benefit of the holders of shares of Designated Preferred Stock on the applicable record date). The foregoing limitation shall not apply to (i) redemptions, purchases or other acquisitions of shares of Common Stock or other Junior Stock in connection with the administration of any employee benefit plan in the ordinary course of business (including purchases to offset the Share Dilution Amount (as defined below) pursuant to a publicly announced repurchase plan) and consistent with past practice,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purchases to offset the Share Dilution Amount shall in no event exceed the Share Dilution Amount; (ii) purchases or other acquisitions by a broker-dealer subsidiary of the Corporation solely for the purpose of market-making, stabilization or customer facilitation transactions in Junior Stock or Parity Stock in the ordinary course of its business; (iii) purchases by a broker-dealer subsidiary of the Corporation of capital stock of the Corporation for resale pursuant to an offering by the Corporation of such capital stock underwritten by such broker-dealer subsidiary; (iv) any dividends or distributions of rights or Junior Stock in connection with a stockholders’ rights plan or any redemption or repurchase of rights pursuant to any stockholders’ rights plan; (v) the acquisition by the Corporation or any of its subsidiaries of record ownership in Junior Stock or Parity Stock for the beneficial ownership of any other persons (other than the Corporation or any of its subsidiaries), including as trustees or custodians; and (vi) the exchange or conversion of Junior Stock for or into other Junior Stock or of Parity Stock for or into other Parity Stock (with the same or lesser aggregate liquidation amount) or Junior Stock, in each case, solely to the extent required pursuant to binding contractual agreements entered into prior to the Signing Date or any subsequent agreement for the accelerated exercise, settlement or exchange thereof for Common Stock. “</w:t>
      </w:r>
      <w:r>
        <w:rPr>
          <w:rFonts w:ascii="Arial" w:cs="Arial" w:eastAsia="Arial" w:hAnsi="Arial"/>
          <w:sz w:val="15"/>
          <w:szCs w:val="15"/>
          <w:u w:val="single" w:color="auto"/>
          <w:color w:val="auto"/>
        </w:rPr>
        <w:t>Share</w:t>
      </w:r>
      <w:r>
        <w:rPr>
          <w:rFonts w:ascii="Arial" w:cs="Arial" w:eastAsia="Arial" w:hAnsi="Arial"/>
          <w:sz w:val="15"/>
          <w:szCs w:val="15"/>
          <w:color w:val="auto"/>
        </w:rPr>
        <w:t xml:space="preserve"> </w:t>
      </w:r>
      <w:r>
        <w:rPr>
          <w:rFonts w:ascii="Arial" w:cs="Arial" w:eastAsia="Arial" w:hAnsi="Arial"/>
          <w:sz w:val="15"/>
          <w:szCs w:val="15"/>
          <w:u w:val="single" w:color="auto"/>
          <w:color w:val="auto"/>
        </w:rPr>
        <w:t>Dilution Amount</w:t>
      </w:r>
      <w:r>
        <w:rPr>
          <w:rFonts w:ascii="Arial" w:cs="Arial" w:eastAsia="Arial" w:hAnsi="Arial"/>
          <w:sz w:val="15"/>
          <w:szCs w:val="15"/>
          <w:color w:val="auto"/>
        </w:rPr>
        <w:t>” means the increase in the number of diluted shares outstanding (determined in accordance with generally accepted accounting principles in the United States, and as measured from the date of the Corporation’s consolidated financial statements most recently filed with the Securities and Exchange Commission prior to the Original Issue Date) resulting from the grant, vesting or exercise of equity-based compensation to employees and equitably adjusted for any stock split, stock dividend, reverse stock split, reclassification or similar transaction.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81" w:name="page182"/>
    <w:bookmarkEnd w:id="181"/>
    <w:p>
      <w:pPr>
        <w:spacing w:after="0" w:line="200" w:lineRule="exact"/>
        <w:rPr>
          <w:sz w:val="20"/>
          <w:szCs w:val="20"/>
          <w:color w:val="auto"/>
        </w:rPr>
      </w:pPr>
    </w:p>
    <w:p>
      <w:pPr>
        <w:spacing w:after="0" w:line="334" w:lineRule="exact"/>
        <w:rPr>
          <w:sz w:val="20"/>
          <w:szCs w:val="20"/>
          <w:color w:val="auto"/>
        </w:rPr>
      </w:pPr>
    </w:p>
    <w:p>
      <w:pPr>
        <w:ind w:firstLine="457"/>
        <w:spacing w:after="0" w:line="290" w:lineRule="auto"/>
        <w:rPr>
          <w:sz w:val="20"/>
          <w:szCs w:val="20"/>
          <w:color w:val="auto"/>
        </w:rPr>
      </w:pPr>
      <w:r>
        <w:rPr>
          <w:rFonts w:ascii="Arial" w:cs="Arial" w:eastAsia="Arial" w:hAnsi="Arial"/>
          <w:sz w:val="15"/>
          <w:szCs w:val="15"/>
          <w:color w:val="auto"/>
        </w:rPr>
        <w:t xml:space="preserve">When dividends are not paid (or declared and a sum sufficient for payment thereof set aside for the benefit of the holders thereof on the applicable record date) on any Dividend Payment Date (or, in the case of Parity Stock having dividend payment dates different from the Dividend Payment Dates, on a dividend payment date falling within a Dividend Period related to such Dividend Payment Date) in full upon Designated Preferred Stock and any shares of Parity Stock, all dividends declared on Designated Preferred Stock and all such Parity Stock and payable on such Dividend Payment Date (or, in the case of Parity Stock having dividend payment dates different from the Dividend Payment Dates, on a dividend payment date falling within the Dividend Period related to such Dividend Payment Date) shall be declared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so that the respective amounts of such dividends declared shall bear the same ratio to each other as all accrued and unpaid dividends per share on the shares of Designated Preferred Stock (including, if applicable as provided in Section 3(a) above, dividends on such amount) and all Parity Stock payable on such Dividend Payment Date (or, in the case of Parity Stock having dividend payment dates different from the Dividend Payment Dates, on a dividend payment date falling within the Dividend Period related to such Dividend Payment Date) (subject to their having been declared by the Board of Directors or a duly authorized committee of the Board of Directors out of legally available funds and including, in the case of Parity Stock that bears cumulative dividends, all accrued but unpaid dividends) bear to each other. If the Board of Directors or a duly authorized committee of the Board of Directors determines not to pay any dividend or a full dividend on a Dividend Payment Date, the Corporation will provide written notice to the holders of Designated Preferred Stock prior to such Dividend Payment Date.</w:t>
      </w:r>
    </w:p>
    <w:p>
      <w:pPr>
        <w:spacing w:after="0" w:line="127" w:lineRule="exact"/>
        <w:rPr>
          <w:sz w:val="20"/>
          <w:szCs w:val="20"/>
          <w:color w:val="auto"/>
        </w:rPr>
      </w:pPr>
    </w:p>
    <w:p>
      <w:pPr>
        <w:jc w:val="both"/>
        <w:ind w:right="180" w:firstLine="457"/>
        <w:spacing w:after="0" w:line="315" w:lineRule="auto"/>
        <w:rPr>
          <w:sz w:val="20"/>
          <w:szCs w:val="20"/>
          <w:color w:val="auto"/>
        </w:rPr>
      </w:pPr>
      <w:r>
        <w:rPr>
          <w:rFonts w:ascii="Arial" w:cs="Arial" w:eastAsia="Arial" w:hAnsi="Arial"/>
          <w:sz w:val="15"/>
          <w:szCs w:val="15"/>
          <w:color w:val="auto"/>
        </w:rPr>
        <w:t>Subject to the foregoing, and not otherwise, such dividends (payable in cash, securities or other property) as may be determined by the Board of Directors or any duly authorized committee of the Board of Directors may be declared and paid on any securities, including Common Stock and other Junior Stock, from time to time out of any funds legally available for such payment, and holders of Designated Preferred Stock shall not be entitled to participate in any such dividends.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82" w:name="page183"/>
    <w:bookmarkEnd w:id="182"/>
    <w:p>
      <w:pPr>
        <w:spacing w:after="0" w:line="200" w:lineRule="exact"/>
        <w:rPr>
          <w:sz w:val="20"/>
          <w:szCs w:val="20"/>
          <w:color w:val="auto"/>
        </w:rPr>
      </w:pPr>
    </w:p>
    <w:p>
      <w:pPr>
        <w:spacing w:after="0" w:line="33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Liquidation Rights</w:t>
      </w:r>
      <w:r>
        <w:rPr>
          <w:rFonts w:ascii="Arial" w:cs="Arial" w:eastAsia="Arial" w:hAnsi="Arial"/>
          <w:sz w:val="17"/>
          <w:szCs w:val="17"/>
          <w:color w:val="auto"/>
        </w:rPr>
        <w:t>.</w:t>
      </w:r>
    </w:p>
    <w:p>
      <w:pPr>
        <w:spacing w:after="0" w:line="176" w:lineRule="exact"/>
        <w:rPr>
          <w:sz w:val="20"/>
          <w:szCs w:val="20"/>
          <w:color w:val="auto"/>
        </w:rPr>
      </w:pPr>
    </w:p>
    <w:p>
      <w:pPr>
        <w:ind w:left="-20" w:right="100" w:firstLine="459"/>
        <w:spacing w:after="0" w:line="256" w:lineRule="auto"/>
        <w:tabs>
          <w:tab w:leader="none" w:pos="669"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Voluntary or Involuntary Liquidation</w:t>
      </w:r>
      <w:r>
        <w:rPr>
          <w:rFonts w:ascii="Arial" w:cs="Arial" w:eastAsia="Arial" w:hAnsi="Arial"/>
          <w:sz w:val="17"/>
          <w:szCs w:val="17"/>
          <w:color w:val="auto"/>
        </w:rPr>
        <w:t>. In the event of any liquidation, dissolution or winding up of the affairs of the Corporation, whether voluntary or involuntary, holders of Designated Preferred Stock shall be entitled to receive for each share of Designated Preferred Stock, out of the assets of the Corporation or proceeds thereof (whether capital or surplus) available for distribution to stockholders of the Corporation, subject to the rights of any creditors of the Corporation, before any distribution of such assets or proceeds is made to or set aside for the holders of Common Stock and any other stock of the Corporation ranking junior to Designated Preferred Stock as to such distribution, payment in full in an amount equal to the sum of (i) the Liquidation Amount per share and (ii) the amount of any accrued and unpaid dividends (including, if applicable as provided in Section 3(a) above, dividends on such amount), whether or not declared, to the date of payment (such amounts collectively, the “</w:t>
      </w:r>
      <w:r>
        <w:rPr>
          <w:rFonts w:ascii="Arial" w:cs="Arial" w:eastAsia="Arial" w:hAnsi="Arial"/>
          <w:sz w:val="17"/>
          <w:szCs w:val="17"/>
          <w:u w:val="single" w:color="auto"/>
          <w:color w:val="auto"/>
        </w:rPr>
        <w:t>Liquidation Preference”</w:t>
      </w:r>
      <w:r>
        <w:rPr>
          <w:rFonts w:ascii="Arial" w:cs="Arial" w:eastAsia="Arial" w:hAnsi="Arial"/>
          <w:sz w:val="17"/>
          <w:szCs w:val="17"/>
          <w:color w:val="auto"/>
        </w:rPr>
        <w:t>).</w:t>
      </w:r>
    </w:p>
    <w:p>
      <w:pPr>
        <w:spacing w:after="0" w:line="155" w:lineRule="exact"/>
        <w:rPr>
          <w:rFonts w:ascii="Arial" w:cs="Arial" w:eastAsia="Arial" w:hAnsi="Arial"/>
          <w:sz w:val="17"/>
          <w:szCs w:val="17"/>
          <w:color w:val="auto"/>
        </w:rPr>
      </w:pPr>
    </w:p>
    <w:p>
      <w:pPr>
        <w:jc w:val="both"/>
        <w:ind w:left="-20" w:right="160" w:firstLine="459"/>
        <w:spacing w:after="0" w:line="281" w:lineRule="auto"/>
        <w:tabs>
          <w:tab w:leader="none" w:pos="678" w:val="left"/>
        </w:tabs>
        <w:numPr>
          <w:ilvl w:val="0"/>
          <w:numId w:val="197"/>
        </w:numPr>
        <w:rPr>
          <w:rFonts w:ascii="Arial" w:cs="Arial" w:eastAsia="Arial" w:hAnsi="Arial"/>
          <w:sz w:val="16"/>
          <w:szCs w:val="16"/>
          <w:color w:val="auto"/>
        </w:rPr>
      </w:pPr>
      <w:r>
        <w:rPr>
          <w:rFonts w:ascii="Arial" w:cs="Arial" w:eastAsia="Arial" w:hAnsi="Arial"/>
          <w:sz w:val="16"/>
          <w:szCs w:val="16"/>
          <w:u w:val="single" w:color="auto"/>
          <w:color w:val="auto"/>
        </w:rPr>
        <w:t>Partial Payment</w:t>
      </w:r>
      <w:r>
        <w:rPr>
          <w:rFonts w:ascii="Arial" w:cs="Arial" w:eastAsia="Arial" w:hAnsi="Arial"/>
          <w:sz w:val="16"/>
          <w:szCs w:val="16"/>
          <w:color w:val="auto"/>
        </w:rPr>
        <w:t>. If in any distribution described in Section 4(a) above the assets of the Corporation or proceeds thereof are not sufficient to pay in full the amounts payable with respect to all outstanding shares of Designated Preferred Stock and the corresponding amounts payable with respect of any other stock of the Corporation ranking equally with Designated Preferred Stock as to such distribution, holders of Designated Preferred Stock and the holders of such other stock shall share ratably in any such distribution in proportion to the full respective distributions to which they are entitled.</w:t>
      </w:r>
    </w:p>
    <w:p>
      <w:pPr>
        <w:spacing w:after="0" w:line="125" w:lineRule="exact"/>
        <w:rPr>
          <w:rFonts w:ascii="Arial" w:cs="Arial" w:eastAsia="Arial" w:hAnsi="Arial"/>
          <w:sz w:val="16"/>
          <w:szCs w:val="16"/>
          <w:color w:val="auto"/>
        </w:rPr>
      </w:pPr>
    </w:p>
    <w:p>
      <w:pPr>
        <w:ind w:left="-20" w:right="40" w:firstLine="459"/>
        <w:spacing w:after="0" w:line="260" w:lineRule="auto"/>
        <w:tabs>
          <w:tab w:leader="none" w:pos="669"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Residual Distributions</w:t>
      </w:r>
      <w:r>
        <w:rPr>
          <w:rFonts w:ascii="Arial" w:cs="Arial" w:eastAsia="Arial" w:hAnsi="Arial"/>
          <w:sz w:val="17"/>
          <w:szCs w:val="17"/>
          <w:color w:val="auto"/>
        </w:rPr>
        <w:t>. If the Liquidation Preference has been paid in full to all holders of Designated Preferred Stock and the corresponding amounts payable with respect of any other stock of the Corporation ranking equally with Designated Preferred Stock as to such distribution has been paid in full, the holders of other stock of the Corporation shall be entitled to receive all remaining assets of the Corporation (or proceeds thereof) according to their respective rights and preferences.</w:t>
      </w:r>
    </w:p>
    <w:p>
      <w:pPr>
        <w:spacing w:after="0" w:line="140" w:lineRule="exact"/>
        <w:rPr>
          <w:rFonts w:ascii="Arial" w:cs="Arial" w:eastAsia="Arial" w:hAnsi="Arial"/>
          <w:sz w:val="17"/>
          <w:szCs w:val="17"/>
          <w:color w:val="auto"/>
        </w:rPr>
      </w:pPr>
    </w:p>
    <w:p>
      <w:pPr>
        <w:ind w:left="-20" w:right="40" w:firstLine="459"/>
        <w:spacing w:after="0" w:line="260" w:lineRule="auto"/>
        <w:tabs>
          <w:tab w:leader="none" w:pos="678"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Merger, Consolidation and Sale of Assets Not Liquidation</w:t>
      </w:r>
      <w:r>
        <w:rPr>
          <w:rFonts w:ascii="Arial" w:cs="Arial" w:eastAsia="Arial" w:hAnsi="Arial"/>
          <w:sz w:val="17"/>
          <w:szCs w:val="17"/>
          <w:color w:val="auto"/>
        </w:rPr>
        <w:t>. For purposes of this Section 4, the merger or consolidation of the Corporation with any other corporation or other entity, including a merger or consolidation in which the holders of Designated Preferred Stock receive cash, securities or other property for their shares, or the sale, lease or exchange (for cash, securities or other property) of all or substantially all of the assets of the Corporation, shall not constitute a liquidation, dissolution or winding up of the Corporation.</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Redemption</w:t>
      </w:r>
      <w:r>
        <w:rPr>
          <w:rFonts w:ascii="Arial" w:cs="Arial" w:eastAsia="Arial" w:hAnsi="Arial"/>
          <w:sz w:val="17"/>
          <w:szCs w:val="17"/>
          <w:color w:val="auto"/>
        </w:rPr>
        <w:t>.</w:t>
      </w:r>
    </w:p>
    <w:p>
      <w:pPr>
        <w:spacing w:after="0" w:line="176" w:lineRule="exact"/>
        <w:rPr>
          <w:sz w:val="20"/>
          <w:szCs w:val="20"/>
          <w:color w:val="auto"/>
        </w:rPr>
      </w:pPr>
    </w:p>
    <w:p>
      <w:pPr>
        <w:ind w:left="-20" w:firstLine="459"/>
        <w:spacing w:after="0" w:line="256" w:lineRule="auto"/>
        <w:tabs>
          <w:tab w:leader="none" w:pos="669" w:val="left"/>
        </w:tabs>
        <w:numPr>
          <w:ilvl w:val="0"/>
          <w:numId w:val="198"/>
        </w:numPr>
        <w:rPr>
          <w:rFonts w:ascii="Arial" w:cs="Arial" w:eastAsia="Arial" w:hAnsi="Arial"/>
          <w:sz w:val="17"/>
          <w:szCs w:val="17"/>
          <w:color w:val="auto"/>
        </w:rPr>
      </w:pPr>
      <w:r>
        <w:rPr>
          <w:rFonts w:ascii="Arial" w:cs="Arial" w:eastAsia="Arial" w:hAnsi="Arial"/>
          <w:sz w:val="17"/>
          <w:szCs w:val="17"/>
          <w:u w:val="single" w:color="auto"/>
          <w:color w:val="auto"/>
        </w:rPr>
        <w:t>Optional Redemption</w:t>
      </w:r>
      <w:r>
        <w:rPr>
          <w:rFonts w:ascii="Arial" w:cs="Arial" w:eastAsia="Arial" w:hAnsi="Arial"/>
          <w:sz w:val="17"/>
          <w:szCs w:val="17"/>
          <w:color w:val="auto"/>
        </w:rPr>
        <w:t>. Except as provided below, the Designated Preferred Stock may not be redeemed prior to the first Dividend Payment Date falling on or after the third anniversary of the Original Issue Date. On or after the first Dividend Payment Date falling on or after the third anniversary of the Original Issue Date, the Corporation, at its option, subject to the approval of the Appropriate Federal Banking Agency, may redeem, in whole or in part, at any time and from time to time, out of funds legally available therefor, the shares of Designated Preferred Stock at the time outstanding, upon notice given as provided in Section 5(c) below, at a redemption price equal to the sum of (i) the Liquidation Amount per share and (ii) except as otherwise provided below, any accrued and unpaid dividends (including, if applicable as provided in Section 3(a) above, dividends on such amount) (regardless of whether any dividends are actually declared) to, but excluding, the date fixed for redemption.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142240</wp:posOffset>
            </wp:positionV>
            <wp:extent cx="7258050"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80"/>
          </w:cols>
          <w:pgMar w:left="260" w:top="1440" w:right="259" w:bottom="1440" w:gutter="0" w:footer="0" w:header="0"/>
        </w:sectPr>
      </w:pPr>
    </w:p>
    <w:bookmarkStart w:id="183" w:name="page184"/>
    <w:bookmarkEnd w:id="183"/>
    <w:p>
      <w:pPr>
        <w:spacing w:after="0" w:line="200" w:lineRule="exact"/>
        <w:rPr>
          <w:sz w:val="20"/>
          <w:szCs w:val="20"/>
          <w:color w:val="auto"/>
        </w:rPr>
      </w:pPr>
    </w:p>
    <w:p>
      <w:pPr>
        <w:spacing w:after="0" w:line="334"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 xml:space="preserve">Notwithstanding the foregoing, prior to the first Dividend Payment Date falling on or after the third anniversary of the Original Issue Date, the Corporation, at its option, subject to the approval of the Appropriate Federal Banking Agency, may redeem, in whole or in part, at any time and from time to time, the shares of Designated Preferred Stock at the time outstanding, upon notice given as provided in Section 5(c) below, at a redemption price equal to the sum of (i) the Liquidation Amount per share and (ii) except as otherwise provided below, any accrued and unpaid dividends (including, if applicable as provided in Section 3(a) above, dividends on such amount) (regardless of whether any dividends are actually declared) to, but excluding, the date fixed for redemption;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(x) the Corporation (or any successor by Business Combination) has received aggregate gross proceeds of not less than the Minimum Amount (plus the “Minimum Amount” as defined in the relevant certificate of designations for each other outstanding series of preferred stock of such successor that was originally issued to the United States Department of the Treasury (the “</w:t>
      </w:r>
      <w:r>
        <w:rPr>
          <w:rFonts w:ascii="Arial" w:cs="Arial" w:eastAsia="Arial" w:hAnsi="Arial"/>
          <w:sz w:val="15"/>
          <w:szCs w:val="15"/>
          <w:u w:val="single" w:color="auto"/>
          <w:color w:val="auto"/>
        </w:rPr>
        <w:t>Successor Preferred Stock”</w:t>
      </w:r>
      <w:r>
        <w:rPr>
          <w:rFonts w:ascii="Arial" w:cs="Arial" w:eastAsia="Arial" w:hAnsi="Arial"/>
          <w:sz w:val="15"/>
          <w:szCs w:val="15"/>
          <w:color w:val="auto"/>
        </w:rPr>
        <w:t>) in connection with the Troubled Asset Relief Program Capital Purchase Program) from one or more Qualified Equity Offerings (including Qualified Equity Offerings of such successor), and (y) the aggregate redemption price of the Designated Preferred Stock (and any Successor Preferred Stock) redeemed pursuant to this paragraph may not exceed the aggregate net cash proceeds received by the Corporation (or any successor by Business Combination) from such Qualified Equity Offerings (including Qualified Equity Offerings of such successor).</w:t>
      </w:r>
    </w:p>
    <w:p>
      <w:pPr>
        <w:spacing w:after="0" w:line="123" w:lineRule="exact"/>
        <w:rPr>
          <w:sz w:val="20"/>
          <w:szCs w:val="20"/>
          <w:color w:val="auto"/>
        </w:rPr>
      </w:pPr>
    </w:p>
    <w:p>
      <w:pPr>
        <w:ind w:right="60" w:firstLine="457"/>
        <w:spacing w:after="0" w:line="305" w:lineRule="auto"/>
        <w:rPr>
          <w:sz w:val="20"/>
          <w:szCs w:val="20"/>
          <w:color w:val="auto"/>
        </w:rPr>
      </w:pPr>
      <w:r>
        <w:rPr>
          <w:rFonts w:ascii="Arial" w:cs="Arial" w:eastAsia="Arial" w:hAnsi="Arial"/>
          <w:sz w:val="15"/>
          <w:szCs w:val="15"/>
          <w:color w:val="auto"/>
        </w:rPr>
        <w:t>The redemption price for any shares of Designated Preferred Stock shall be payable on the redemption date to the holder of such shares against surrender of the certificate(s) evidencing such shares to the Corporation or its agent. Any declared but unpaid dividends payable on a redemption date that occurs subsequent to the Dividend Record Date for a Dividend Period shall not be paid to the holder entitled to receive the redemption price on the redemption date, but rather shall be paid to the holder of record of the redeemed shares on such Dividend Record Date relating to the Dividend Payment Date as provided in Section 3 above.</w:t>
      </w:r>
    </w:p>
    <w:p>
      <w:pPr>
        <w:spacing w:after="0" w:line="123" w:lineRule="exact"/>
        <w:rPr>
          <w:sz w:val="20"/>
          <w:szCs w:val="20"/>
          <w:color w:val="auto"/>
        </w:rPr>
      </w:pPr>
    </w:p>
    <w:p>
      <w:pPr>
        <w:ind w:right="300" w:firstLine="459"/>
        <w:spacing w:after="0" w:line="309" w:lineRule="auto"/>
        <w:tabs>
          <w:tab w:leader="none" w:pos="698" w:val="left"/>
        </w:tabs>
        <w:numPr>
          <w:ilvl w:val="0"/>
          <w:numId w:val="199"/>
        </w:numPr>
        <w:rPr>
          <w:rFonts w:ascii="Arial" w:cs="Arial" w:eastAsia="Arial" w:hAnsi="Arial"/>
          <w:sz w:val="16"/>
          <w:szCs w:val="16"/>
          <w:color w:val="auto"/>
        </w:rPr>
      </w:pPr>
      <w:r>
        <w:rPr>
          <w:rFonts w:ascii="Arial" w:cs="Arial" w:eastAsia="Arial" w:hAnsi="Arial"/>
          <w:sz w:val="16"/>
          <w:szCs w:val="16"/>
          <w:u w:val="single" w:color="auto"/>
          <w:color w:val="auto"/>
        </w:rPr>
        <w:t>No Sinking Fund</w:t>
      </w:r>
      <w:r>
        <w:rPr>
          <w:rFonts w:ascii="Arial" w:cs="Arial" w:eastAsia="Arial" w:hAnsi="Arial"/>
          <w:sz w:val="16"/>
          <w:szCs w:val="16"/>
          <w:color w:val="auto"/>
        </w:rPr>
        <w:t>. The Designated Preferred Stock will not be subject to any mandatory redemption, sinking fund or other similar provisions. Holders of Designated Preferred Stock will have no right to require redemption or repurchase of any shares of Designated Preferred Stock.</w:t>
      </w:r>
    </w:p>
    <w:p>
      <w:pPr>
        <w:spacing w:after="0" w:line="103" w:lineRule="exact"/>
        <w:rPr>
          <w:rFonts w:ascii="Arial" w:cs="Arial" w:eastAsia="Arial" w:hAnsi="Arial"/>
          <w:sz w:val="16"/>
          <w:szCs w:val="16"/>
          <w:color w:val="auto"/>
        </w:rPr>
      </w:pPr>
    </w:p>
    <w:p>
      <w:pPr>
        <w:ind w:right="40" w:firstLine="459"/>
        <w:spacing w:after="0" w:line="292" w:lineRule="auto"/>
        <w:tabs>
          <w:tab w:leader="none" w:pos="689" w:val="left"/>
        </w:tabs>
        <w:numPr>
          <w:ilvl w:val="0"/>
          <w:numId w:val="199"/>
        </w:numPr>
        <w:rPr>
          <w:rFonts w:ascii="Arial" w:cs="Arial" w:eastAsia="Arial" w:hAnsi="Arial"/>
          <w:sz w:val="15"/>
          <w:szCs w:val="15"/>
          <w:color w:val="auto"/>
        </w:rPr>
      </w:pPr>
      <w:r>
        <w:rPr>
          <w:rFonts w:ascii="Arial" w:cs="Arial" w:eastAsia="Arial" w:hAnsi="Arial"/>
          <w:sz w:val="15"/>
          <w:szCs w:val="15"/>
          <w:u w:val="single" w:color="auto"/>
          <w:color w:val="auto"/>
        </w:rPr>
        <w:t>Notice of Redemption</w:t>
      </w:r>
      <w:r>
        <w:rPr>
          <w:rFonts w:ascii="Arial" w:cs="Arial" w:eastAsia="Arial" w:hAnsi="Arial"/>
          <w:sz w:val="15"/>
          <w:szCs w:val="15"/>
          <w:color w:val="auto"/>
        </w:rPr>
        <w:t>. Notice of every redemption of shares of Designated Preferred Stock shall be given by first class mail, postage prepaid, addressed to the holders of record of the shares to be redeemed at their respective last addresses appearing on the books of the Corporation. Such mailing shall be at least 30 days and not more than 60 days before the date fixed for redemption. Any notice mailed as provided in this Subsection shall be conclusively presumed to have been duly given, whether or not the holder receives such notice, but failure duly to give such notice by mail, or any defect in such notice or in the mailing thereof, to any holder of shares of Designated Preferred Stock designated for redemption shall not affect the validity of the proceedings for the redemption of any other shares of Designated Preferred Stock. Notwithstanding the foregoing, if shares of Designated Preferred Stock are issued in book-entry form through The Depository Trust Corporation or any other similar facility, notice of redemption may be given to the holders of Designated Preferred Stock at such time and in any manner permitted by such facility. Each notice of redemption given to a holder shall state: (1) the redemption date; (2) the number of shares of Designated Preferred Stock to be redeemed and, if less than all the shares held by such holder are to be redeemed, the number of such shares to be redeemed from such holder; (3) the redemption price; and (4) the place or places where certificates for such shares are to be surrendered for payment of the redemption price.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4" w:name="page185"/>
    <w:bookmarkEnd w:id="184"/>
    <w:p>
      <w:pPr>
        <w:spacing w:after="0" w:line="200" w:lineRule="exact"/>
        <w:rPr>
          <w:sz w:val="20"/>
          <w:szCs w:val="20"/>
          <w:color w:val="auto"/>
        </w:rPr>
      </w:pPr>
    </w:p>
    <w:p>
      <w:pPr>
        <w:spacing w:after="0" w:line="334" w:lineRule="exact"/>
        <w:rPr>
          <w:sz w:val="20"/>
          <w:szCs w:val="20"/>
          <w:color w:val="auto"/>
        </w:rPr>
      </w:pPr>
    </w:p>
    <w:p>
      <w:pPr>
        <w:ind w:firstLine="459"/>
        <w:spacing w:after="0" w:line="278" w:lineRule="auto"/>
        <w:tabs>
          <w:tab w:leader="none" w:pos="698" w:val="left"/>
        </w:tabs>
        <w:numPr>
          <w:ilvl w:val="0"/>
          <w:numId w:val="200"/>
        </w:numPr>
        <w:rPr>
          <w:rFonts w:ascii="Arial" w:cs="Arial" w:eastAsia="Arial" w:hAnsi="Arial"/>
          <w:sz w:val="16"/>
          <w:szCs w:val="16"/>
          <w:color w:val="auto"/>
        </w:rPr>
      </w:pPr>
      <w:r>
        <w:rPr>
          <w:rFonts w:ascii="Arial" w:cs="Arial" w:eastAsia="Arial" w:hAnsi="Arial"/>
          <w:sz w:val="16"/>
          <w:szCs w:val="16"/>
          <w:u w:val="single" w:color="auto"/>
          <w:color w:val="auto"/>
        </w:rPr>
        <w:t>Partial Redemption</w:t>
      </w:r>
      <w:r>
        <w:rPr>
          <w:rFonts w:ascii="Arial" w:cs="Arial" w:eastAsia="Arial" w:hAnsi="Arial"/>
          <w:sz w:val="16"/>
          <w:szCs w:val="16"/>
          <w:color w:val="auto"/>
        </w:rPr>
        <w:t xml:space="preserve">. In case of any redemption of part of the shares of Designated Preferred Stock at the time outstanding, the shares to be redeemed shall be selected either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or in such other manner as the Board of Directors or a duly authorized committee thereof may determine to be fair and equitable. Subject to the provisions hereof, the Board of Directors or a duly authorized committee thereof shall have full power and authority to prescribe the terms and conditions upon which shares of Designated Preferred Stock shall be redeemed from time to time. If fewer than all the shares represented by any certificate are redeemed, a new certificate shall be issued representing the unredeemed shares without charge to the holder thereof.</w:t>
      </w:r>
    </w:p>
    <w:p>
      <w:pPr>
        <w:spacing w:after="0" w:line="126" w:lineRule="exact"/>
        <w:rPr>
          <w:rFonts w:ascii="Arial" w:cs="Arial" w:eastAsia="Arial" w:hAnsi="Arial"/>
          <w:sz w:val="16"/>
          <w:szCs w:val="16"/>
          <w:color w:val="auto"/>
        </w:rPr>
      </w:pPr>
    </w:p>
    <w:p>
      <w:pPr>
        <w:ind w:right="20" w:firstLine="459"/>
        <w:spacing w:after="0" w:line="272" w:lineRule="auto"/>
        <w:tabs>
          <w:tab w:leader="none" w:pos="689" w:val="left"/>
        </w:tabs>
        <w:numPr>
          <w:ilvl w:val="0"/>
          <w:numId w:val="200"/>
        </w:numPr>
        <w:rPr>
          <w:rFonts w:ascii="Arial" w:cs="Arial" w:eastAsia="Arial" w:hAnsi="Arial"/>
          <w:sz w:val="16"/>
          <w:szCs w:val="16"/>
          <w:color w:val="auto"/>
        </w:rPr>
      </w:pPr>
      <w:r>
        <w:rPr>
          <w:rFonts w:ascii="Arial" w:cs="Arial" w:eastAsia="Arial" w:hAnsi="Arial"/>
          <w:sz w:val="16"/>
          <w:szCs w:val="16"/>
          <w:u w:val="single" w:color="auto"/>
          <w:color w:val="auto"/>
        </w:rPr>
        <w:t>Effectiveness of Redemption</w:t>
      </w:r>
      <w:r>
        <w:rPr>
          <w:rFonts w:ascii="Arial" w:cs="Arial" w:eastAsia="Arial" w:hAnsi="Arial"/>
          <w:sz w:val="16"/>
          <w:szCs w:val="16"/>
          <w:color w:val="auto"/>
        </w:rPr>
        <w:t xml:space="preserve">. If notice of redemption has been duly given and if on or before the redemption date specified in the notice all funds necessary for the redemption have been deposited by the Corporation, in trust for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benefit of the holders of the shares called for redemption, with a bank or trust company doing business in the Borough of Manhattan, The City of New York, and having a capital and surplus of at least $500 million and selected by the Board of Directors, so as to be and continue to be available solely therefor, then, notwithstanding that any certificate for any share so called for redemption has not been surrendered for cancellation, on and after the redemption date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from such bank or trust company, without interest. Any funds unclaimed at the end of three years from the redemption date shall, to the extent permitted by law, be released to the Corporation, after which time the holders of the shares so called for redemption shall look only to the Corporation for payment of the redemption price of such shares.</w:t>
      </w:r>
    </w:p>
    <w:p>
      <w:pPr>
        <w:spacing w:after="0" w:line="148" w:lineRule="exact"/>
        <w:rPr>
          <w:rFonts w:ascii="Arial" w:cs="Arial" w:eastAsia="Arial" w:hAnsi="Arial"/>
          <w:sz w:val="16"/>
          <w:szCs w:val="16"/>
          <w:color w:val="auto"/>
        </w:rPr>
      </w:pPr>
    </w:p>
    <w:p>
      <w:pPr>
        <w:ind w:right="60" w:firstLine="459"/>
        <w:spacing w:after="0" w:line="264" w:lineRule="auto"/>
        <w:tabs>
          <w:tab w:leader="none" w:pos="670"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Status of Redeemed Shares</w:t>
      </w:r>
      <w:r>
        <w:rPr>
          <w:rFonts w:ascii="Arial" w:cs="Arial" w:eastAsia="Arial" w:hAnsi="Arial"/>
          <w:sz w:val="17"/>
          <w:szCs w:val="17"/>
          <w:color w:val="auto"/>
        </w:rPr>
        <w:t>. Shares of Designated Preferred Stock that are redeemed, repurchased or otherwise acquired by the Corporation shall revert to authorized but unissued shares of Preferred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cancelled shares of Designated Preferred Stock may be reissued only as shares of any series of Preferred Stock other than Designated Preferred Stock).</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Conversion</w:t>
      </w:r>
      <w:r>
        <w:rPr>
          <w:rFonts w:ascii="Arial" w:cs="Arial" w:eastAsia="Arial" w:hAnsi="Arial"/>
          <w:sz w:val="16"/>
          <w:szCs w:val="16"/>
          <w:color w:val="auto"/>
        </w:rPr>
        <w:t>. Holders of Designated Preferred Stock shares shall have no right to exchange or convert such shares into any other securities.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Voting Rights</w:t>
      </w:r>
      <w:r>
        <w:rPr>
          <w:rFonts w:ascii="Arial" w:cs="Arial" w:eastAsia="Arial" w:hAnsi="Arial"/>
          <w:sz w:val="17"/>
          <w:szCs w:val="17"/>
          <w:color w:val="auto"/>
        </w:rPr>
        <w: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(a) </w:t>
      </w:r>
      <w:r>
        <w:rPr>
          <w:rFonts w:ascii="Arial" w:cs="Arial" w:eastAsia="Arial" w:hAnsi="Arial"/>
          <w:sz w:val="15"/>
          <w:szCs w:val="15"/>
          <w:u w:val="single" w:color="auto"/>
          <w:color w:val="auto"/>
        </w:rPr>
        <w:t>General</w:t>
      </w:r>
      <w:r>
        <w:rPr>
          <w:rFonts w:ascii="Arial" w:cs="Arial" w:eastAsia="Arial" w:hAnsi="Arial"/>
          <w:sz w:val="15"/>
          <w:szCs w:val="15"/>
          <w:color w:val="auto"/>
        </w:rPr>
        <w:t>. The holders of Designated Preferred Stock shall not have any voting rights except as set forth below or as otherwise from time to time required by</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law.</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5" w:name="page186"/>
    <w:bookmarkEnd w:id="185"/>
    <w:p>
      <w:pPr>
        <w:spacing w:after="0" w:line="200" w:lineRule="exact"/>
        <w:rPr>
          <w:sz w:val="20"/>
          <w:szCs w:val="20"/>
          <w:color w:val="auto"/>
        </w:rPr>
      </w:pPr>
    </w:p>
    <w:p>
      <w:pPr>
        <w:spacing w:after="0" w:line="334" w:lineRule="exact"/>
        <w:rPr>
          <w:sz w:val="20"/>
          <w:szCs w:val="20"/>
          <w:color w:val="auto"/>
        </w:rPr>
      </w:pPr>
    </w:p>
    <w:p>
      <w:pPr>
        <w:ind w:left="-20" w:firstLine="459"/>
        <w:spacing w:after="0" w:line="289" w:lineRule="auto"/>
        <w:tabs>
          <w:tab w:leader="none" w:pos="678" w:val="left"/>
        </w:tabs>
        <w:numPr>
          <w:ilvl w:val="0"/>
          <w:numId w:val="201"/>
        </w:numPr>
        <w:rPr>
          <w:rFonts w:ascii="Arial" w:cs="Arial" w:eastAsia="Arial" w:hAnsi="Arial"/>
          <w:sz w:val="15"/>
          <w:szCs w:val="15"/>
          <w:color w:val="auto"/>
        </w:rPr>
      </w:pPr>
      <w:r>
        <w:rPr>
          <w:rFonts w:ascii="Arial" w:cs="Arial" w:eastAsia="Arial" w:hAnsi="Arial"/>
          <w:sz w:val="15"/>
          <w:szCs w:val="15"/>
          <w:u w:val="single" w:color="auto"/>
          <w:color w:val="auto"/>
        </w:rPr>
        <w:t>Preferred Stock Directors</w:t>
      </w:r>
      <w:r>
        <w:rPr>
          <w:rFonts w:ascii="Arial" w:cs="Arial" w:eastAsia="Arial" w:hAnsi="Arial"/>
          <w:sz w:val="15"/>
          <w:szCs w:val="15"/>
          <w:color w:val="auto"/>
        </w:rPr>
        <w:t>. Whenever, at any time or times, dividends payable on the shares of Designated Preferred Stock have not been paid for an aggregate of six quarterly Dividend Periods or more, whether or not consecutive, the authorized number of directors of the Corporation shall automatically be increased by two and the holders of the Designated Preferred Stock shall have the right, with holders of shares of any one or more other classes or series of Voting Parity Stock outstanding at the time, voting together as a class, to elect two directors (hereinafter the “</w:t>
      </w:r>
      <w:r>
        <w:rPr>
          <w:rFonts w:ascii="Arial" w:cs="Arial" w:eastAsia="Arial" w:hAnsi="Arial"/>
          <w:sz w:val="15"/>
          <w:szCs w:val="15"/>
          <w:u w:val="single" w:color="auto"/>
          <w:color w:val="auto"/>
        </w:rPr>
        <w:t>Preferred Directors</w:t>
      </w:r>
      <w:r>
        <w:rPr>
          <w:rFonts w:ascii="Arial" w:cs="Arial" w:eastAsia="Arial" w:hAnsi="Arial"/>
          <w:sz w:val="15"/>
          <w:szCs w:val="15"/>
          <w:color w:val="auto"/>
        </w:rPr>
        <w:t>” and each a “</w:t>
      </w:r>
      <w:r>
        <w:rPr>
          <w:rFonts w:ascii="Arial" w:cs="Arial" w:eastAsia="Arial" w:hAnsi="Arial"/>
          <w:sz w:val="15"/>
          <w:szCs w:val="15"/>
          <w:u w:val="single" w:color="auto"/>
          <w:color w:val="auto"/>
        </w:rPr>
        <w:t>Preferred Director”</w:t>
      </w:r>
      <w:r>
        <w:rPr>
          <w:rFonts w:ascii="Arial" w:cs="Arial" w:eastAsia="Arial" w:hAnsi="Arial"/>
          <w:sz w:val="15"/>
          <w:szCs w:val="15"/>
          <w:color w:val="auto"/>
        </w:rPr>
        <w:t xml:space="preserve">) to fill such newly created directorships at the Corporation’s next annual meeting of stockholders (or at a special meeting called for that purpose prior to such next annual meeting) and at each subsequent annual meeting of stockholders until all accrued and unpaid dividends for all past Dividend Periods, including the latest completed Dividend Period (including, if applicable as provided in Section 3(a) above, dividends on such amount), on all outstanding shares of Designated Preferred Stock have been declared and paid in full at which time such right shall terminate with respect to the Designated Preferred Stock, except as herein or by law expressly provided, subject to revesting in the event of each and every subsequent default of the character above mentioned;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it shall be a qualification for election for any Preferred Director that the election of such Preferred Director shall not cause the Corporation to violate any corporate governance requirements of any securities exchange or other trading facility on which securities of the Corporation may then be listed or traded that listed or traded companies must have a majority of independent directors. Upon any termination of the right of the holders of shares of Designated Preferred Stock and Voting Parity Stock as a class to vote for directors as provided above, the Preferred Directors shall cease to be qualified as directors, the term of office of all Preferred Directors then in office shall terminate immediately and the authorized number of directors shall be reduced by the number of Preferred Directors elected pursuant hereto. Any Preferred Director may be removed at any time, with or without cause, and any vacancy created thereby may be filled, only by the affirmative vote of the holders a majority of the shares of Designated Preferred Stock at the time outstanding voting separately as a class together with the holders of shares of Voting Parity Stock, to the extent the voting rights of such holders described above are then exercisable. If the office of any Preferred Director becomes vacant for any reason other than removal from office as aforesaid, the remaining Preferred Director may choose a successor who shall hold office for the unexpired term in respect of which such vacancy occurred.</w:t>
      </w:r>
    </w:p>
    <w:p>
      <w:pPr>
        <w:spacing w:after="0" w:line="120" w:lineRule="exact"/>
        <w:rPr>
          <w:rFonts w:ascii="Arial" w:cs="Arial" w:eastAsia="Arial" w:hAnsi="Arial"/>
          <w:sz w:val="15"/>
          <w:szCs w:val="15"/>
          <w:color w:val="auto"/>
        </w:rPr>
      </w:pPr>
    </w:p>
    <w:p>
      <w:pPr>
        <w:ind w:left="-20" w:right="40" w:firstLine="459"/>
        <w:spacing w:after="0" w:line="260" w:lineRule="auto"/>
        <w:tabs>
          <w:tab w:leader="none" w:pos="669"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Class Voting Rights as to Particular Matters</w:t>
      </w:r>
      <w:r>
        <w:rPr>
          <w:rFonts w:ascii="Arial" w:cs="Arial" w:eastAsia="Arial" w:hAnsi="Arial"/>
          <w:sz w:val="17"/>
          <w:szCs w:val="17"/>
          <w:color w:val="auto"/>
        </w:rPr>
        <w:t>. So long as any shares of Designated Preferred Stock are outstanding, in addition to any other vote or consent of stockholders required by law or by the Charter, the vote or consent of the holders of at least 66 2/3% of the shares of Designated Preferred Stock at the time outstanding, voting as a separate class, given in person or by proxy, either in writing without a meeting or by vote at any meeting called for the purpose, shall be necessary for effecting or validating:</w:t>
      </w:r>
    </w:p>
    <w:p>
      <w:pPr>
        <w:spacing w:after="0" w:line="153" w:lineRule="exact"/>
        <w:rPr>
          <w:sz w:val="20"/>
          <w:szCs w:val="20"/>
          <w:color w:val="auto"/>
        </w:rPr>
      </w:pPr>
    </w:p>
    <w:p>
      <w:pPr>
        <w:ind w:left="-20" w:right="40" w:firstLine="459"/>
        <w:spacing w:after="0" w:line="260" w:lineRule="auto"/>
        <w:tabs>
          <w:tab w:leader="none" w:pos="641"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Authorization of Senior Stock</w:t>
      </w:r>
      <w:r>
        <w:rPr>
          <w:rFonts w:ascii="Arial" w:cs="Arial" w:eastAsia="Arial" w:hAnsi="Arial"/>
          <w:sz w:val="17"/>
          <w:szCs w:val="17"/>
          <w:color w:val="auto"/>
        </w:rPr>
        <w:t>. Any amendment or alteration of the Certificate of Designations for the Designated Preferred Stock or the Charter to authorize or create or increase the authorized amount of, or any issuance of, any shares of, or any securities convertible into or exchangeable or exercisable for shares of, any class or series of capital stock of the Corporation ranking senior to Designated Preferred Stock with respect to either or both the payment of dividends and/or the distribution of assets on any liquidation, dissolution or winding up of the Corporation;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142240</wp:posOffset>
            </wp:positionV>
            <wp:extent cx="7258050"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60" w:top="1440" w:right="239" w:bottom="1440" w:gutter="0" w:footer="0" w:header="0"/>
        </w:sectPr>
      </w:pPr>
    </w:p>
    <w:bookmarkStart w:id="186" w:name="page187"/>
    <w:bookmarkEnd w:id="186"/>
    <w:p>
      <w:pPr>
        <w:spacing w:after="0" w:line="200" w:lineRule="exact"/>
        <w:rPr>
          <w:sz w:val="20"/>
          <w:szCs w:val="20"/>
          <w:color w:val="auto"/>
        </w:rPr>
      </w:pPr>
    </w:p>
    <w:p>
      <w:pPr>
        <w:spacing w:after="0" w:line="334" w:lineRule="exact"/>
        <w:rPr>
          <w:sz w:val="20"/>
          <w:szCs w:val="20"/>
          <w:color w:val="auto"/>
        </w:rPr>
      </w:pPr>
    </w:p>
    <w:p>
      <w:pPr>
        <w:ind w:right="180" w:firstLine="459"/>
        <w:spacing w:after="0" w:line="315" w:lineRule="auto"/>
        <w:tabs>
          <w:tab w:leader="none" w:pos="708" w:val="left"/>
        </w:tabs>
        <w:numPr>
          <w:ilvl w:val="0"/>
          <w:numId w:val="203"/>
        </w:numPr>
        <w:rPr>
          <w:rFonts w:ascii="Arial" w:cs="Arial" w:eastAsia="Arial" w:hAnsi="Arial"/>
          <w:sz w:val="15"/>
          <w:szCs w:val="15"/>
          <w:color w:val="auto"/>
        </w:rPr>
      </w:pPr>
      <w:r>
        <w:rPr>
          <w:rFonts w:ascii="Arial" w:cs="Arial" w:eastAsia="Arial" w:hAnsi="Arial"/>
          <w:sz w:val="15"/>
          <w:szCs w:val="15"/>
          <w:u w:val="single" w:color="auto"/>
          <w:color w:val="auto"/>
        </w:rPr>
        <w:t>Amendment of Designated Preferred Stock</w:t>
      </w:r>
      <w:r>
        <w:rPr>
          <w:rFonts w:ascii="Arial" w:cs="Arial" w:eastAsia="Arial" w:hAnsi="Arial"/>
          <w:sz w:val="15"/>
          <w:szCs w:val="15"/>
          <w:color w:val="auto"/>
        </w:rPr>
        <w:t>. Any amendment, alteration or repeal of any provision of the Certificate of Designations for the Designated Preferred Stock or the Charter (including, unless no vote on such merger or consolidation is required by Section 7(c)(iii) below, any amendment, alteration or repeal by means of a merger, consolidation or otherwise) so as to adversely affect the rights, preferences, privileges or voting powers of the Designated Preferred Stock; or</w:t>
      </w:r>
    </w:p>
    <w:p>
      <w:pPr>
        <w:spacing w:after="0" w:line="102" w:lineRule="exact"/>
        <w:rPr>
          <w:rFonts w:ascii="Arial" w:cs="Arial" w:eastAsia="Arial" w:hAnsi="Arial"/>
          <w:sz w:val="15"/>
          <w:szCs w:val="15"/>
          <w:color w:val="auto"/>
        </w:rPr>
      </w:pPr>
    </w:p>
    <w:p>
      <w:pPr>
        <w:ind w:right="140" w:firstLine="459"/>
        <w:spacing w:after="0" w:line="274" w:lineRule="auto"/>
        <w:tabs>
          <w:tab w:leader="none" w:pos="756"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Share Exchanges, Reclassifications, Mergers and Consolidations</w:t>
      </w:r>
      <w:r>
        <w:rPr>
          <w:rFonts w:ascii="Arial" w:cs="Arial" w:eastAsia="Arial" w:hAnsi="Arial"/>
          <w:sz w:val="16"/>
          <w:szCs w:val="16"/>
          <w:color w:val="auto"/>
        </w:rPr>
        <w:t>. Any consummation of a binding share exchange or reclassification involving the Designated Preferred Stock, or of a merger or consolidation of the Corporation with another corporation or other entity, unless in each case (x) the shares of Designated Preferred Stock remain outstanding or, in the case of any such merger or consolidation with respect to which the Corporation is not the surviving or resulting entity, are converted into or exchanged for preference securities of the surviving or resulting entity or its ultimate parent, and (y) such shares remaining outstanding or such preference securities, as the case may be, have such rights, preferences, privileges and voting powers, and limitations and restrictions thereof, taken as a whole, as are not materially less favorable to the holders thereof than the rights, preferences, privileges and voting powers, and limitations and restrictions thereof, of Designated Preferred Stock immediately prior to such consummation, taken as a whole;</w:t>
      </w:r>
    </w:p>
    <w:p>
      <w:pPr>
        <w:spacing w:after="0" w:line="145"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for all purposes of this Section 7(c), any increase in the amount of the authorized Preferred Stock, including any increase in the authorized</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Designated Preferred Stock necessary to satisfy preemptive or similar rights granted by the Corporation to other persons prior to the Signing Date, or the creation and issuance, or an increase in the authorized or issued amount, whether pursuant to preemptive or similar rights or otherwise, of any other series of Preferred Stock, or any securities convertible into or exchangeable or exercisable for any other series of Preferred Stock, ranking equally with and/or junior to Designated Preferred Stock with respect to the payment of dividends (whether such dividends are cumulative or non-cumulative) and the distribution of assets upon liquidation, dissolution or winding up of the Corporation will not be deemed to adversely affect the rights, preferences, privileges or voting powers, and shall not require the affirmative vote or consent of, the holders of outstanding shares of the Designated Preferred Stock.</w:t>
      </w:r>
    </w:p>
    <w:p>
      <w:pPr>
        <w:spacing w:after="0" w:line="132" w:lineRule="exact"/>
        <w:rPr>
          <w:sz w:val="20"/>
          <w:szCs w:val="20"/>
          <w:color w:val="auto"/>
        </w:rPr>
      </w:pPr>
    </w:p>
    <w:p>
      <w:pPr>
        <w:ind w:right="160" w:firstLine="459"/>
        <w:spacing w:after="0" w:line="260" w:lineRule="auto"/>
        <w:tabs>
          <w:tab w:leader="none" w:pos="698"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Changes after Provision for Redemption</w:t>
      </w:r>
      <w:r>
        <w:rPr>
          <w:rFonts w:ascii="Arial" w:cs="Arial" w:eastAsia="Arial" w:hAnsi="Arial"/>
          <w:sz w:val="17"/>
          <w:szCs w:val="17"/>
          <w:color w:val="auto"/>
        </w:rPr>
        <w:t>. No vote or consent of the holders of Designated Preferred Stock shall be required pursuant to Section 7(c) above if, at or prior to the time when any such vote or consent would otherwise be required pursuant to such Section, all outstanding shares of the Designated Preferred Stock shall have been redeemed, or shall have been called for redemption upon proper notice and sufficient funds shall have been deposited in trust for such redemption, in each case pursuant to Section 5 above.</w:t>
      </w:r>
    </w:p>
    <w:p>
      <w:pPr>
        <w:spacing w:after="0" w:line="140" w:lineRule="exact"/>
        <w:rPr>
          <w:rFonts w:ascii="Arial" w:cs="Arial" w:eastAsia="Arial" w:hAnsi="Arial"/>
          <w:sz w:val="17"/>
          <w:szCs w:val="17"/>
          <w:color w:val="auto"/>
        </w:rPr>
      </w:pPr>
    </w:p>
    <w:p>
      <w:pPr>
        <w:ind w:firstLine="459"/>
        <w:spacing w:after="0" w:line="256" w:lineRule="auto"/>
        <w:tabs>
          <w:tab w:leader="none" w:pos="689"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Procedures for Voting and Consents</w:t>
      </w:r>
      <w:r>
        <w:rPr>
          <w:rFonts w:ascii="Arial" w:cs="Arial" w:eastAsia="Arial" w:hAnsi="Arial"/>
          <w:sz w:val="17"/>
          <w:szCs w:val="17"/>
          <w:color w:val="auto"/>
        </w:rPr>
        <w:t>. The rules and procedures for calling and conducting any meeting of the holders of Designated Preferred Stock (including, without limitation, the fixing of a record date in connection therewith), the solicitation and use of proxies at such a meeting, the obtaining of written consents and any other aspect or matter with regard to such a meeting or such consents shall be governed by any rules of the Board of Directors or any duly authorized committee of the Board of Directors, in its discretion, may adopt from time to time, which rules and procedures shall conform to the requirements of the Charter, the Bylaws, and applicable law and the rules of any national securities exchange or other trading facility on which Designated Preferred Stock is listed or traded at the time.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87" w:name="page188"/>
    <w:bookmarkEnd w:id="187"/>
    <w:p>
      <w:pPr>
        <w:spacing w:after="0" w:line="200" w:lineRule="exact"/>
        <w:rPr>
          <w:sz w:val="20"/>
          <w:szCs w:val="20"/>
          <w:color w:val="auto"/>
        </w:rPr>
      </w:pPr>
    </w:p>
    <w:p>
      <w:pPr>
        <w:spacing w:after="0" w:line="334" w:lineRule="exact"/>
        <w:rPr>
          <w:sz w:val="20"/>
          <w:szCs w:val="20"/>
          <w:color w:val="auto"/>
        </w:rPr>
      </w:pPr>
    </w:p>
    <w:p>
      <w:pPr>
        <w:ind w:right="180" w:firstLine="457"/>
        <w:spacing w:after="0" w:line="264"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Record Holders</w:t>
      </w:r>
      <w:r>
        <w:rPr>
          <w:rFonts w:ascii="Arial" w:cs="Arial" w:eastAsia="Arial" w:hAnsi="Arial"/>
          <w:sz w:val="17"/>
          <w:szCs w:val="17"/>
          <w:color w:val="auto"/>
        </w:rPr>
        <w:t>. To the fullest extent permitted by applicable law, the Corporation and the transfer agent for Designated Preferred Stock may deem and treat the record holder of any share of Designated Preferred Stock as the true and lawful owner thereof for all purposes, and neither the Corporation nor such transfer agent shall be affected by any notice to the contrary.</w:t>
      </w:r>
    </w:p>
    <w:p>
      <w:pPr>
        <w:spacing w:after="0" w:line="137"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or communications in respect of Designated Preferred Stock shall be sufficiently given if given in writing and delivered in person or by first class mail, postage prepaid, or if given in such other manner as may be permitted in this Certificate of Designations, in the Charter or Bylaws or by applicable law. Notwithstanding the foregoing, if shares of Designated Preferred Stock are issued in book-entry form through The Depository Trust Corporation or any similar facility, such notices may be given to the holders of Designated Preferred Stock in any manner permitted by such facility.</w:t>
      </w:r>
    </w:p>
    <w:p>
      <w:pPr>
        <w:spacing w:after="0" w:line="138" w:lineRule="exact"/>
        <w:rPr>
          <w:sz w:val="20"/>
          <w:szCs w:val="20"/>
          <w:color w:val="auto"/>
        </w:rPr>
      </w:pPr>
    </w:p>
    <w:p>
      <w:pPr>
        <w:ind w:right="280" w:firstLine="457"/>
        <w:spacing w:after="0" w:line="264"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No Preemptive Rights</w:t>
      </w:r>
      <w:r>
        <w:rPr>
          <w:rFonts w:ascii="Arial" w:cs="Arial" w:eastAsia="Arial" w:hAnsi="Arial"/>
          <w:sz w:val="17"/>
          <w:szCs w:val="17"/>
          <w:color w:val="auto"/>
        </w:rPr>
        <w:t>. No share of Designated Preferred Stock shall have any rights of preemption whatsoever as to any securities of the Corporation, or any warrants, rights or options issued or granted with respect thereto, regardless of how such securities, or such warrants, rights or options, may be designated, issued or granted.</w:t>
      </w:r>
    </w:p>
    <w:p>
      <w:pPr>
        <w:spacing w:after="0" w:line="137" w:lineRule="exact"/>
        <w:rPr>
          <w:sz w:val="20"/>
          <w:szCs w:val="20"/>
          <w:color w:val="auto"/>
        </w:rPr>
      </w:pPr>
    </w:p>
    <w:p>
      <w:pPr>
        <w:jc w:val="both"/>
        <w:ind w:right="260" w:firstLine="457"/>
        <w:spacing w:after="0" w:line="315" w:lineRule="auto"/>
        <w:rPr>
          <w:sz w:val="20"/>
          <w:szCs w:val="20"/>
          <w:color w:val="auto"/>
        </w:rPr>
      </w:pPr>
      <w:r>
        <w:rPr>
          <w:rFonts w:ascii="Arial" w:cs="Arial" w:eastAsia="Arial" w:hAnsi="Arial"/>
          <w:sz w:val="15"/>
          <w:szCs w:val="15"/>
          <w:color w:val="auto"/>
        </w:rPr>
        <w:t xml:space="preserve">Section 11. </w:t>
      </w:r>
      <w:r>
        <w:rPr>
          <w:rFonts w:ascii="Arial" w:cs="Arial" w:eastAsia="Arial" w:hAnsi="Arial"/>
          <w:sz w:val="15"/>
          <w:szCs w:val="15"/>
          <w:u w:val="single" w:color="auto"/>
          <w:color w:val="auto"/>
        </w:rPr>
        <w:t>Replacement Certificates</w:t>
      </w:r>
      <w:r>
        <w:rPr>
          <w:rFonts w:ascii="Arial" w:cs="Arial" w:eastAsia="Arial" w:hAnsi="Arial"/>
          <w:sz w:val="15"/>
          <w:szCs w:val="15"/>
          <w:color w:val="auto"/>
        </w:rPr>
        <w:t>. The Corporation shall replace any mutilated certificate at the holder’s expense upon surrender of that certificate to the Corporation. The Corporation shall replace certificates that become destroyed, stolen or lost at the holder’s expense upon delivery to the Corporation of reasonably satisfactory evidence that the certificate has been destroyed, stolen or lost, together with any indemnity that may be reasonably required by the Corporation.</w:t>
      </w:r>
    </w:p>
    <w:p>
      <w:pPr>
        <w:spacing w:after="0" w:line="103" w:lineRule="exact"/>
        <w:rPr>
          <w:sz w:val="20"/>
          <w:szCs w:val="20"/>
          <w:color w:val="auto"/>
        </w:rPr>
      </w:pPr>
    </w:p>
    <w:p>
      <w:pPr>
        <w:ind w:right="60" w:firstLine="457"/>
        <w:spacing w:after="0" w:line="346" w:lineRule="auto"/>
        <w:rPr>
          <w:sz w:val="20"/>
          <w:szCs w:val="20"/>
          <w:color w:val="auto"/>
        </w:rPr>
      </w:pPr>
      <w:r>
        <w:rPr>
          <w:rFonts w:ascii="Arial" w:cs="Arial" w:eastAsia="Arial" w:hAnsi="Arial"/>
          <w:sz w:val="15"/>
          <w:szCs w:val="15"/>
          <w:color w:val="auto"/>
        </w:rPr>
        <w:t xml:space="preserve">Section 12. </w:t>
      </w:r>
      <w:r>
        <w:rPr>
          <w:rFonts w:ascii="Arial" w:cs="Arial" w:eastAsia="Arial" w:hAnsi="Arial"/>
          <w:sz w:val="15"/>
          <w:szCs w:val="15"/>
          <w:u w:val="single" w:color="auto"/>
          <w:color w:val="auto"/>
        </w:rPr>
        <w:t>Other Rights</w:t>
      </w:r>
      <w:r>
        <w:rPr>
          <w:rFonts w:ascii="Arial" w:cs="Arial" w:eastAsia="Arial" w:hAnsi="Arial"/>
          <w:sz w:val="15"/>
          <w:szCs w:val="15"/>
          <w:color w:val="auto"/>
        </w:rPr>
        <w:t>. The shares of Designated Preferred Stock shall not have any rights, preferences, privileges or voting powers or relative, participating, optional or other special rights, or qualifications, limitations or restrictions thereof, other than as set forth herein or in the Charter or as provided by applicable law.</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258050"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8" w:name="page189"/>
    <w:bookmarkEnd w:id="188"/>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ARTICLES OF AMENDMENT</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OF</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UNITED COMMUNITY BANKS, INC.</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1.</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name of the corporation is United Community Banks, Inc.</w:t>
      </w:r>
    </w:p>
    <w:p>
      <w:pPr>
        <w:spacing w:after="0" w:line="185"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2.</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Restated Articles of Incorporation of the corporation are amended by striking the first paragraph of Article V thereof and inserting the following:</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“V.</w:t>
      </w:r>
    </w:p>
    <w:p>
      <w:pPr>
        <w:spacing w:after="0" w:line="19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corporation shall have authority to issue 100,000,000 shares of common stock, $1.00 par value (the “Common Stock”)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the by the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3.</w:t>
      </w:r>
    </w:p>
    <w:p>
      <w:pPr>
        <w:spacing w:after="0" w:line="180"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The amendment was adopted by the board of directors of the corporation at a meeting held on March 5, 2004 and by the shareholders of the corporation at a meeting held on April 28, 2004.</w:t>
      </w:r>
    </w:p>
    <w:p>
      <w:pPr>
        <w:spacing w:after="0" w:line="139"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IN WITNESS WHEREOF, the undersigned has executed these Articles of Amendment to the Articles of Incorporation of United Community Bank, Inc. this 28th day of April,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UNITED COMMUNITY BANK, INC.</w:t>
      </w:r>
    </w:p>
    <w:p>
      <w:pPr>
        <w:spacing w:after="0" w:line="21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By:  /s/ JIMMY C. TALLENT Jimmy C. Tallent</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607060</wp:posOffset>
            </wp:positionV>
            <wp:extent cx="7258050"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89" w:name="page190"/>
    <w:bookmarkEnd w:id="189"/>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RESTATED ARTICLES OF INCORPORATION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COMMUNITY BANKS, INC.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name of the corporation is United Community Banks, Inc.</w:t>
      </w:r>
    </w:p>
    <w:p>
      <w:pPr>
        <w:spacing w:after="0" w:line="18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II.</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corporation is organized pursuant to the provisions of the Georgia Business Corporation Code.</w:t>
      </w:r>
    </w:p>
    <w:p>
      <w:pPr>
        <w:spacing w:after="0" w:line="176"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III.</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corporation shall have perpetual duration.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IV.</w:t>
      </w:r>
    </w:p>
    <w:p>
      <w:pPr>
        <w:spacing w:after="0" w:line="176" w:lineRule="exact"/>
        <w:rPr>
          <w:sz w:val="20"/>
          <w:szCs w:val="20"/>
          <w:color w:val="auto"/>
        </w:rPr>
      </w:pPr>
    </w:p>
    <w:p>
      <w:pPr>
        <w:ind w:right="300"/>
        <w:spacing w:after="0" w:line="346" w:lineRule="auto"/>
        <w:rPr>
          <w:sz w:val="20"/>
          <w:szCs w:val="20"/>
          <w:color w:val="auto"/>
        </w:rPr>
      </w:pPr>
      <w:r>
        <w:rPr>
          <w:rFonts w:ascii="Arial" w:cs="Arial" w:eastAsia="Arial" w:hAnsi="Arial"/>
          <w:sz w:val="15"/>
          <w:szCs w:val="15"/>
          <w:color w:val="auto"/>
        </w:rPr>
        <w:t>The corporation is a corporation for profit and is organized for the following general purposes: to be a bank holding company; to carry on any lawful businesses or activities relating thereto; and to engage in any lawful act or activity for which corporations may be organized under the Georgia Business Corporation Code.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w:t>
      </w:r>
    </w:p>
    <w:p>
      <w:pPr>
        <w:spacing w:after="0" w:line="176"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The corporation shall have authority to issue 50,000,000 shares of common stock, $1.00 par value (the “Common Stock”)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by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Board of Directors is hereby expressly authorized to issue, at any time and from time to time, shares of Preferred Stock in one or more series. The number of shares within such series shall be designated by the Board of Directors in one or more resolutions, and the shares of each series so designated shall have such preferences with respect to Common Stock and other series of Preferred Stock, and such other rights, restrictions or limitations with respect to voting, dividends, conversion, exchange, redemption and any other matters, as may be set forth in one or more resolutions adopted by the Board of Directors. To the extent required by law, Articles of Amendment setting forth any such designations, preferences, rights, restrictions or limitations shall be filed with the Georgia Secretary of State prior to the issuance of any shares of such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603250</wp:posOffset>
            </wp:positionV>
            <wp:extent cx="7258050"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90" w:name="page191"/>
    <w:bookmarkEnd w:id="190"/>
    <w:p>
      <w:pPr>
        <w:spacing w:after="0" w:line="200" w:lineRule="exact"/>
        <w:rPr>
          <w:sz w:val="20"/>
          <w:szCs w:val="20"/>
          <w:color w:val="auto"/>
        </w:rPr>
      </w:pPr>
    </w:p>
    <w:p>
      <w:pPr>
        <w:spacing w:after="0" w:line="334" w:lineRule="exact"/>
        <w:rPr>
          <w:sz w:val="20"/>
          <w:szCs w:val="20"/>
          <w:color w:val="auto"/>
        </w:rPr>
      </w:pPr>
    </w:p>
    <w:p>
      <w:pPr>
        <w:ind w:right="600"/>
        <w:spacing w:after="0" w:line="277" w:lineRule="auto"/>
        <w:rPr>
          <w:sz w:val="20"/>
          <w:szCs w:val="20"/>
          <w:color w:val="auto"/>
        </w:rPr>
      </w:pPr>
      <w:r>
        <w:rPr>
          <w:rFonts w:ascii="Arial" w:cs="Arial" w:eastAsia="Arial" w:hAnsi="Arial"/>
          <w:sz w:val="17"/>
          <w:szCs w:val="17"/>
          <w:color w:val="auto"/>
        </w:rPr>
        <w:t>The authority of the Board of Directors with respect to the establishment of each series of Preferred Stock shall include, without limiting the generality of the foregoing, determination of the following matters which may vary between series:</w:t>
      </w:r>
    </w:p>
    <w:p>
      <w:pPr>
        <w:spacing w:after="0" w:line="126" w:lineRule="exact"/>
        <w:rPr>
          <w:sz w:val="20"/>
          <w:szCs w:val="20"/>
          <w:color w:val="auto"/>
        </w:rPr>
      </w:pPr>
    </w:p>
    <w:p>
      <w:pPr>
        <w:ind w:left="240" w:hanging="237"/>
        <w:spacing w:after="0"/>
        <w:tabs>
          <w:tab w:leader="none" w:pos="24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number of shares constituting that series and the distinctive designation of that series;</w:t>
      </w:r>
    </w:p>
    <w:p>
      <w:pPr>
        <w:spacing w:after="0" w:line="189" w:lineRule="exact"/>
        <w:rPr>
          <w:rFonts w:ascii="Arial" w:cs="Arial" w:eastAsia="Arial" w:hAnsi="Arial"/>
          <w:sz w:val="17"/>
          <w:szCs w:val="17"/>
          <w:color w:val="auto"/>
        </w:rPr>
      </w:pPr>
    </w:p>
    <w:p>
      <w:pPr>
        <w:ind w:right="40" w:firstLine="3"/>
        <w:spacing w:after="0" w:line="277" w:lineRule="auto"/>
        <w:tabs>
          <w:tab w:leader="none" w:pos="239"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dividend rate on the shares of that series, whether dividends shall be cumulative, and, if so, from which date or dates, and the relative rights of priority, if any, of payments of dividends on shares of that series;</w:t>
      </w:r>
    </w:p>
    <w:p>
      <w:pPr>
        <w:spacing w:after="0" w:line="125" w:lineRule="exact"/>
        <w:rPr>
          <w:rFonts w:ascii="Arial" w:cs="Arial" w:eastAsia="Arial" w:hAnsi="Arial"/>
          <w:sz w:val="17"/>
          <w:szCs w:val="17"/>
          <w:color w:val="auto"/>
        </w:rPr>
      </w:pPr>
    </w:p>
    <w:p>
      <w:pPr>
        <w:ind w:left="240" w:hanging="237"/>
        <w:spacing w:after="0"/>
        <w:tabs>
          <w:tab w:leader="none" w:pos="24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Whether that series shall have voting rights, in addition to the voting rights provided by law, and, if so, the terms of such voting rights;</w:t>
      </w:r>
    </w:p>
    <w:p>
      <w:pPr>
        <w:spacing w:after="0" w:line="176" w:lineRule="exact"/>
        <w:rPr>
          <w:rFonts w:ascii="Arial" w:cs="Arial" w:eastAsia="Arial" w:hAnsi="Arial"/>
          <w:sz w:val="17"/>
          <w:szCs w:val="17"/>
          <w:color w:val="auto"/>
        </w:rPr>
      </w:pPr>
    </w:p>
    <w:p>
      <w:pPr>
        <w:ind w:firstLine="3"/>
        <w:spacing w:after="0" w:line="277" w:lineRule="auto"/>
        <w:tabs>
          <w:tab w:leader="none" w:pos="239" w:val="left"/>
        </w:tabs>
        <w:numPr>
          <w:ilvl w:val="0"/>
          <w:numId w:val="205"/>
        </w:numPr>
        <w:rPr>
          <w:rFonts w:ascii="Arial" w:cs="Arial" w:eastAsia="Arial" w:hAnsi="Arial"/>
          <w:sz w:val="17"/>
          <w:szCs w:val="17"/>
          <w:color w:val="auto"/>
        </w:rPr>
      </w:pPr>
      <w:r>
        <w:rPr>
          <w:rFonts w:ascii="Arial" w:cs="Arial" w:eastAsia="Arial" w:hAnsi="Arial"/>
          <w:sz w:val="17"/>
          <w:szCs w:val="17"/>
          <w:color w:val="auto"/>
        </w:rPr>
        <w:t>Whether that series shall have conversion privileges, and, if so, the terms and conditions of such conversion, including provisions for adjustment of the conversion rate in such events as the Board of Directors shall determine;</w:t>
      </w:r>
    </w:p>
    <w:p>
      <w:pPr>
        <w:spacing w:after="0" w:line="138" w:lineRule="exact"/>
        <w:rPr>
          <w:rFonts w:ascii="Arial" w:cs="Arial" w:eastAsia="Arial" w:hAnsi="Arial"/>
          <w:sz w:val="17"/>
          <w:szCs w:val="17"/>
          <w:color w:val="auto"/>
        </w:rPr>
      </w:pPr>
    </w:p>
    <w:p>
      <w:pPr>
        <w:ind w:right="60" w:firstLine="3"/>
        <w:spacing w:after="0" w:line="277" w:lineRule="auto"/>
        <w:tabs>
          <w:tab w:leader="none" w:pos="229" w:val="left"/>
        </w:tabs>
        <w:numPr>
          <w:ilvl w:val="0"/>
          <w:numId w:val="205"/>
        </w:numPr>
        <w:rPr>
          <w:rFonts w:ascii="Arial" w:cs="Arial" w:eastAsia="Arial" w:hAnsi="Arial"/>
          <w:sz w:val="17"/>
          <w:szCs w:val="17"/>
          <w:color w:val="auto"/>
        </w:rPr>
      </w:pPr>
      <w:r>
        <w:rPr>
          <w:rFonts w:ascii="Arial" w:cs="Arial" w:eastAsia="Arial" w:hAnsi="Arial"/>
          <w:sz w:val="17"/>
          <w:szCs w:val="17"/>
          <w:color w:val="auto"/>
        </w:rPr>
        <w:t>Whether the shares of that series shall be redeemable, and, if so, the terms and conditions of such redemption, including the date or dates upon or after which they shall be redeemable, and the amount per share payable in case of redemption, which amount may vary under different conditions;</w:t>
      </w:r>
    </w:p>
    <w:p>
      <w:pPr>
        <w:spacing w:after="0" w:line="125" w:lineRule="exact"/>
        <w:rPr>
          <w:rFonts w:ascii="Arial" w:cs="Arial" w:eastAsia="Arial" w:hAnsi="Arial"/>
          <w:sz w:val="17"/>
          <w:szCs w:val="17"/>
          <w:color w:val="auto"/>
        </w:rPr>
      </w:pPr>
    </w:p>
    <w:p>
      <w:pPr>
        <w:ind w:left="220" w:hanging="217"/>
        <w:spacing w:after="0"/>
        <w:tabs>
          <w:tab w:leader="none" w:pos="22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Whether that series shall have a sinking fund for the redemption or purchase of shares of that series, and, if so, the terms and amount of such sinking fund;</w:t>
      </w:r>
    </w:p>
    <w:p>
      <w:pPr>
        <w:spacing w:after="0" w:line="187" w:lineRule="exact"/>
        <w:rPr>
          <w:rFonts w:ascii="Arial" w:cs="Arial" w:eastAsia="Arial" w:hAnsi="Arial"/>
          <w:sz w:val="16"/>
          <w:szCs w:val="16"/>
          <w:color w:val="auto"/>
        </w:rPr>
      </w:pPr>
    </w:p>
    <w:p>
      <w:pPr>
        <w:ind w:right="200" w:firstLine="3"/>
        <w:spacing w:after="0" w:line="277" w:lineRule="auto"/>
        <w:tabs>
          <w:tab w:leader="none" w:pos="239"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rights of the shares of that series in the event of voluntary or involuntary liquidation, dissolution or winding-up of the corporation, and the relative rights of priority, if any, of payment of shares of that series; and</w:t>
      </w:r>
    </w:p>
    <w:p>
      <w:pPr>
        <w:spacing w:after="0" w:line="138" w:lineRule="exact"/>
        <w:rPr>
          <w:rFonts w:ascii="Arial" w:cs="Arial" w:eastAsia="Arial" w:hAnsi="Arial"/>
          <w:sz w:val="17"/>
          <w:szCs w:val="17"/>
          <w:color w:val="auto"/>
        </w:rPr>
      </w:pPr>
    </w:p>
    <w:p>
      <w:pPr>
        <w:ind w:right="120" w:firstLine="3"/>
        <w:spacing w:after="0" w:line="277" w:lineRule="auto"/>
        <w:tabs>
          <w:tab w:leader="none" w:pos="232" w:val="left"/>
        </w:tabs>
        <w:numPr>
          <w:ilvl w:val="0"/>
          <w:numId w:val="205"/>
        </w:numPr>
        <w:rPr>
          <w:rFonts w:ascii="Arial" w:cs="Arial" w:eastAsia="Arial" w:hAnsi="Arial"/>
          <w:sz w:val="17"/>
          <w:szCs w:val="17"/>
          <w:color w:val="auto"/>
        </w:rPr>
      </w:pPr>
      <w:r>
        <w:rPr>
          <w:rFonts w:ascii="Arial" w:cs="Arial" w:eastAsia="Arial" w:hAnsi="Arial"/>
          <w:sz w:val="17"/>
          <w:szCs w:val="17"/>
          <w:color w:val="auto"/>
        </w:rPr>
        <w:t>Any other relative preferences, rights, restrictions or limitations of that series, including but not limited to any obligations of the corporation to repurchase shares of that series upon the occurrence of specified events.</w:t>
      </w:r>
    </w:p>
    <w:p>
      <w:pPr>
        <w:spacing w:after="0" w:line="126"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Of the 10,000,000 shares of authorized Preferred Stock, 287,411 shares shall be designated Series A Non-Cumulative Preferred Stock and shall have the preferences, limitations and relative rights set forth below:</w:t>
      </w:r>
    </w:p>
    <w:p>
      <w:pPr>
        <w:spacing w:after="0" w:line="126" w:lineRule="exact"/>
        <w:rPr>
          <w:sz w:val="20"/>
          <w:szCs w:val="20"/>
          <w:color w:val="auto"/>
        </w:rPr>
      </w:pPr>
    </w:p>
    <w:p>
      <w:pPr>
        <w:ind w:right="80" w:firstLine="3"/>
        <w:spacing w:after="0" w:line="264" w:lineRule="auto"/>
        <w:tabs>
          <w:tab w:leader="none" w:pos="171" w:val="left"/>
        </w:tabs>
        <w:numPr>
          <w:ilvl w:val="0"/>
          <w:numId w:val="206"/>
        </w:numPr>
        <w:rPr>
          <w:rFonts w:ascii="Arial" w:cs="Arial" w:eastAsia="Arial" w:hAnsi="Arial"/>
          <w:sz w:val="17"/>
          <w:szCs w:val="17"/>
          <w:color w:val="auto"/>
        </w:rPr>
      </w:pPr>
      <w:r>
        <w:rPr>
          <w:rFonts w:ascii="Arial" w:cs="Arial" w:eastAsia="Arial" w:hAnsi="Arial"/>
          <w:sz w:val="17"/>
          <w:szCs w:val="17"/>
          <w:color w:val="auto"/>
        </w:rPr>
        <w:t>Designation and Number of Shares. The series will be known as the “Series A Non-Cumulative Preferred Stock” (the “Series A Preferred Stock”), and will be a series consisting of 287,411 shares of the authorized but unissued preferred stock of the corporation. The Series A Preferred Stock shall have a par value of $1.00 per share and a stated value of $10 per share (the “Stated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597535</wp:posOffset>
            </wp:positionV>
            <wp:extent cx="7258050"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91" w:name="page192"/>
    <w:bookmarkEnd w:id="191"/>
    <w:p>
      <w:pPr>
        <w:spacing w:after="0" w:line="200" w:lineRule="exact"/>
        <w:rPr>
          <w:sz w:val="20"/>
          <w:szCs w:val="20"/>
          <w:color w:val="auto"/>
        </w:rPr>
      </w:pPr>
    </w:p>
    <w:p>
      <w:pPr>
        <w:spacing w:after="0" w:line="334" w:lineRule="exact"/>
        <w:rPr>
          <w:sz w:val="20"/>
          <w:szCs w:val="20"/>
          <w:color w:val="auto"/>
        </w:rPr>
      </w:pPr>
    </w:p>
    <w:p>
      <w:pPr>
        <w:ind w:right="100" w:firstLine="3"/>
        <w:spacing w:after="0" w:line="293" w:lineRule="auto"/>
        <w:tabs>
          <w:tab w:leader="none" w:pos="171" w:val="left"/>
        </w:tabs>
        <w:numPr>
          <w:ilvl w:val="0"/>
          <w:numId w:val="207"/>
        </w:numPr>
        <w:rPr>
          <w:rFonts w:ascii="Arial" w:cs="Arial" w:eastAsia="Arial" w:hAnsi="Arial"/>
          <w:sz w:val="15"/>
          <w:szCs w:val="15"/>
          <w:color w:val="auto"/>
        </w:rPr>
      </w:pPr>
      <w:r>
        <w:rPr>
          <w:rFonts w:ascii="Arial" w:cs="Arial" w:eastAsia="Arial" w:hAnsi="Arial"/>
          <w:sz w:val="15"/>
          <w:szCs w:val="15"/>
          <w:color w:val="auto"/>
        </w:rPr>
        <w:t>Dividends. The corporation is under no obligation to pay dividends on the Series A Preferred Stock. Provided, however, no dividend shall be paid on the Common Stock until dividends have been declared and are payable to the holders of record of the Series A Preferred Stock from the date of issuance of such stock at the Dividend Rate for each of the Quarterly Dividend Periods which shall commence on October 1, January 1, April 1, and July 1, in each year and shall end on and include the day next preceding the first day of the next Quarterly Dividend Period. Each such dividend shall be paid to the holders of record of shares of Series A Preferred Stock as they appear on the stock register of the corporation on such record date. The amount of dividends per share payable for each Quarterly Dividend Period shall be computed by dividing the Dividend Rate by four and applying such rate against the Stated Value per share of the Series A Preferred Stock. Dividends payable on the Series A Preferred Stock for any period less than a full Quarterly Dividend Period and for any portion of the initial dividend period between issuance and the day next preceding the first October 1, January 1, April 1 or July 1 following such issuance shall be computed on the basis of a 360-day year of four 90-day quarters and the actual number of days elapsed in the period for which they are payable. The dividend rate shall be 6% per annum (the “Dividend Rate”).</w:t>
      </w:r>
    </w:p>
    <w:p>
      <w:pPr>
        <w:spacing w:after="0" w:line="117" w:lineRule="exact"/>
        <w:rPr>
          <w:rFonts w:ascii="Arial" w:cs="Arial" w:eastAsia="Arial" w:hAnsi="Arial"/>
          <w:sz w:val="15"/>
          <w:szCs w:val="15"/>
          <w:color w:val="auto"/>
        </w:rPr>
      </w:pPr>
    </w:p>
    <w:p>
      <w:pPr>
        <w:ind w:left="180" w:hanging="177"/>
        <w:spacing w:after="0"/>
        <w:tabs>
          <w:tab w:leader="none" w:pos="18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Liquidation Preference.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(a) Preference.</w:t>
      </w:r>
    </w:p>
    <w:p>
      <w:pPr>
        <w:spacing w:after="0" w:line="176" w:lineRule="exact"/>
        <w:rPr>
          <w:sz w:val="20"/>
          <w:szCs w:val="20"/>
          <w:color w:val="auto"/>
        </w:rPr>
      </w:pPr>
    </w:p>
    <w:p>
      <w:pPr>
        <w:ind w:firstLine="3"/>
        <w:spacing w:after="0" w:line="272" w:lineRule="auto"/>
        <w:tabs>
          <w:tab w:leader="none" w:pos="204" w:val="left"/>
        </w:tabs>
        <w:numPr>
          <w:ilvl w:val="0"/>
          <w:numId w:val="208"/>
        </w:numPr>
        <w:rPr>
          <w:rFonts w:ascii="Arial" w:cs="Arial" w:eastAsia="Arial" w:hAnsi="Arial"/>
          <w:sz w:val="16"/>
          <w:szCs w:val="16"/>
          <w:color w:val="auto"/>
        </w:rPr>
      </w:pPr>
      <w:r>
        <w:rPr>
          <w:rFonts w:ascii="Arial" w:cs="Arial" w:eastAsia="Arial" w:hAnsi="Arial"/>
          <w:sz w:val="16"/>
          <w:szCs w:val="16"/>
          <w:color w:val="auto"/>
        </w:rPr>
        <w:t>In the event of any liquidation, dissolution, or winding up of the corporation, either voluntarily or involuntarily, the holders of the Series A Preferred Stock shall be entitled to receive prior and in preference to any distribution of any of the assets or surplus funds of the corporation to the holders of Common Stock, an amount equal to (A) the Stated Value per share, plus (B) a further amount equal to any dividends accrued but unpaid on such shares. If, upon such liquidation, dissolution, or winding up of the corporation, the assets of the corporation available for distribution to the shareholders of the corporation are insufficient to provide for the payment of the full aforesaid preferential amount, such assets as are so available shall be distributed among the holders of the Series A Preferred Stock pro rata in accordance with the number of shares of Series A Preferred Stock held by them. The consolidation or merger of the corporation with or into another corporation, or a sale, whether for cash, shares of stock, securities or properties, of all or substantially all of the assets of the corporation (a “Reorganization”), shall not be deemed or construed to be a liquidation, dissolution or winding up of the corporation within the meaning of this Paragraph. In the case of any Reorganization, the corporation shall enter into an agreement with such other entity for the benefit of the holders of Series A Preferred Stock that shall contain such provisions to protect the interests of such holders as the Board of Directors of the corporation shall reasonably consider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594360</wp:posOffset>
            </wp:positionV>
            <wp:extent cx="7258050"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92" w:name="page193"/>
    <w:bookmarkEnd w:id="192"/>
    <w:p>
      <w:pPr>
        <w:spacing w:after="0" w:line="200" w:lineRule="exact"/>
        <w:rPr>
          <w:sz w:val="20"/>
          <w:szCs w:val="20"/>
          <w:color w:val="auto"/>
        </w:rPr>
      </w:pPr>
    </w:p>
    <w:p>
      <w:pPr>
        <w:spacing w:after="0" w:line="334" w:lineRule="exact"/>
        <w:rPr>
          <w:sz w:val="20"/>
          <w:szCs w:val="20"/>
          <w:color w:val="auto"/>
        </w:rPr>
      </w:pPr>
    </w:p>
    <w:p>
      <w:pPr>
        <w:jc w:val="both"/>
        <w:ind w:left="-3" w:right="20" w:firstLine="3"/>
        <w:spacing w:after="0" w:line="264" w:lineRule="auto"/>
        <w:tabs>
          <w:tab w:leader="none" w:pos="239"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After the payment or the setting apart for payment to the holders of the Series A Preferred Stock of the preferential amounts so payable to them, if assets remain in the corporation, the holders of the Common Stock of the corporation shall receive all of the remaining assets of the corporation pro rata in accordance with the number of shares of Common Stock held by them.</w:t>
      </w:r>
    </w:p>
    <w:p>
      <w:pPr>
        <w:spacing w:after="0" w:line="137" w:lineRule="exact"/>
        <w:rPr>
          <w:sz w:val="20"/>
          <w:szCs w:val="20"/>
          <w:color w:val="auto"/>
        </w:rPr>
      </w:pPr>
    </w:p>
    <w:p>
      <w:pPr>
        <w:jc w:val="both"/>
        <w:ind w:left="-3" w:right="160" w:firstLine="3"/>
        <w:spacing w:after="0" w:line="260" w:lineRule="auto"/>
        <w:tabs>
          <w:tab w:leader="none" w:pos="239" w:val="left"/>
        </w:tabs>
        <w:numPr>
          <w:ilvl w:val="0"/>
          <w:numId w:val="210"/>
        </w:numPr>
        <w:rPr>
          <w:rFonts w:ascii="Arial" w:cs="Arial" w:eastAsia="Arial" w:hAnsi="Arial"/>
          <w:sz w:val="17"/>
          <w:szCs w:val="17"/>
          <w:color w:val="auto"/>
        </w:rPr>
      </w:pPr>
      <w:r>
        <w:rPr>
          <w:rFonts w:ascii="Arial" w:cs="Arial" w:eastAsia="Arial" w:hAnsi="Arial"/>
          <w:sz w:val="17"/>
          <w:szCs w:val="17"/>
          <w:color w:val="auto"/>
        </w:rPr>
        <w:t>Noncash Distributions. If any of the assets of the corporation are to be distributed other than in cash under this paragraph 3 or for any purpose, then the Board of Directors of the corporation shall promptly engage independent competent appraisers to determine the value of the assets to be distributed to the holders of Preferred Stock or Common Stock. The corporation shall, upon receipt of such appraiser’s valuation, give prompt written notice to each holder of shares of Series A Preferred Stock or Common Stock of the appraiser’s valuation.</w:t>
      </w:r>
    </w:p>
    <w:p>
      <w:pPr>
        <w:spacing w:after="0" w:line="153" w:lineRule="exact"/>
        <w:rPr>
          <w:sz w:val="20"/>
          <w:szCs w:val="20"/>
          <w:color w:val="auto"/>
        </w:rPr>
      </w:pPr>
    </w:p>
    <w:p>
      <w:pPr>
        <w:ind w:left="177" w:hanging="177"/>
        <w:spacing w:after="0"/>
        <w:tabs>
          <w:tab w:leader="none" w:pos="177" w:val="left"/>
        </w:tabs>
        <w:numPr>
          <w:ilvl w:val="0"/>
          <w:numId w:val="211"/>
        </w:numPr>
        <w:rPr>
          <w:rFonts w:ascii="Arial" w:cs="Arial" w:eastAsia="Arial" w:hAnsi="Arial"/>
          <w:sz w:val="17"/>
          <w:szCs w:val="17"/>
          <w:color w:val="auto"/>
        </w:rPr>
      </w:pPr>
      <w:r>
        <w:rPr>
          <w:rFonts w:ascii="Arial" w:cs="Arial" w:eastAsia="Arial" w:hAnsi="Arial"/>
          <w:sz w:val="17"/>
          <w:szCs w:val="17"/>
          <w:color w:val="auto"/>
        </w:rPr>
        <w:t>Voting Rights. Series A Preferred Stock has no voting rights except as required by the Georgia Business Corporation Code.</w:t>
      </w:r>
    </w:p>
    <w:p>
      <w:pPr>
        <w:spacing w:after="0" w:line="176" w:lineRule="exact"/>
        <w:rPr>
          <w:rFonts w:ascii="Arial" w:cs="Arial" w:eastAsia="Arial" w:hAnsi="Arial"/>
          <w:sz w:val="17"/>
          <w:szCs w:val="17"/>
          <w:color w:val="auto"/>
        </w:rPr>
      </w:pPr>
    </w:p>
    <w:p>
      <w:pPr>
        <w:ind w:left="177" w:hanging="177"/>
        <w:spacing w:after="0"/>
        <w:tabs>
          <w:tab w:leader="none" w:pos="177" w:val="left"/>
        </w:tabs>
        <w:numPr>
          <w:ilvl w:val="0"/>
          <w:numId w:val="211"/>
        </w:numPr>
        <w:rPr>
          <w:rFonts w:ascii="Arial" w:cs="Arial" w:eastAsia="Arial" w:hAnsi="Arial"/>
          <w:sz w:val="17"/>
          <w:szCs w:val="17"/>
          <w:color w:val="auto"/>
        </w:rPr>
      </w:pPr>
      <w:r>
        <w:rPr>
          <w:rFonts w:ascii="Arial" w:cs="Arial" w:eastAsia="Arial" w:hAnsi="Arial"/>
          <w:sz w:val="17"/>
          <w:szCs w:val="17"/>
          <w:color w:val="auto"/>
        </w:rPr>
        <w:t>Conversion. The Series A Preferred Stock is not convertible into Common Stock.</w:t>
      </w:r>
    </w:p>
    <w:p>
      <w:pPr>
        <w:spacing w:after="0" w:line="176" w:lineRule="exact"/>
        <w:rPr>
          <w:rFonts w:ascii="Arial" w:cs="Arial" w:eastAsia="Arial" w:hAnsi="Arial"/>
          <w:sz w:val="17"/>
          <w:szCs w:val="17"/>
          <w:color w:val="auto"/>
        </w:rPr>
      </w:pPr>
    </w:p>
    <w:p>
      <w:pPr>
        <w:ind w:left="177" w:hanging="177"/>
        <w:spacing w:after="0"/>
        <w:tabs>
          <w:tab w:leader="none" w:pos="177" w:val="left"/>
        </w:tabs>
        <w:numPr>
          <w:ilvl w:val="0"/>
          <w:numId w:val="211"/>
        </w:numPr>
        <w:rPr>
          <w:rFonts w:ascii="Arial" w:cs="Arial" w:eastAsia="Arial" w:hAnsi="Arial"/>
          <w:sz w:val="17"/>
          <w:szCs w:val="17"/>
          <w:color w:val="auto"/>
        </w:rPr>
      </w:pPr>
      <w:r>
        <w:rPr>
          <w:rFonts w:ascii="Arial" w:cs="Arial" w:eastAsia="Arial" w:hAnsi="Arial"/>
          <w:sz w:val="17"/>
          <w:szCs w:val="17"/>
          <w:color w:val="auto"/>
        </w:rPr>
        <w:t>Optional Redemption of Series A Preferred Stock.</w:t>
      </w:r>
    </w:p>
    <w:p>
      <w:pPr>
        <w:spacing w:after="0" w:line="189" w:lineRule="exact"/>
        <w:rPr>
          <w:rFonts w:ascii="Arial" w:cs="Arial" w:eastAsia="Arial" w:hAnsi="Arial"/>
          <w:sz w:val="17"/>
          <w:szCs w:val="17"/>
          <w:color w:val="auto"/>
        </w:rPr>
      </w:pPr>
    </w:p>
    <w:p>
      <w:pPr>
        <w:ind w:left="-3" w:firstLine="459"/>
        <w:spacing w:after="0" w:line="260" w:lineRule="auto"/>
        <w:tabs>
          <w:tab w:leader="none" w:pos="686" w:val="left"/>
        </w:tabs>
        <w:numPr>
          <w:ilvl w:val="1"/>
          <w:numId w:val="211"/>
        </w:numPr>
        <w:rPr>
          <w:rFonts w:ascii="Arial" w:cs="Arial" w:eastAsia="Arial" w:hAnsi="Arial"/>
          <w:sz w:val="17"/>
          <w:szCs w:val="17"/>
          <w:color w:val="auto"/>
        </w:rPr>
      </w:pPr>
      <w:r>
        <w:rPr>
          <w:rFonts w:ascii="Arial" w:cs="Arial" w:eastAsia="Arial" w:hAnsi="Arial"/>
          <w:sz w:val="17"/>
          <w:szCs w:val="17"/>
          <w:color w:val="auto"/>
        </w:rPr>
        <w:t>Subject to the following limitations, the corporation, at its sole option and upon the approval of the Board of Governors of the Federal Reserve System or the Federal Reserve Bank of Atlanta as its designee, may redeem the whole or any part of the then outstanding Series A Preferred Stock by paying in cash for each share redeemed an amount equal to the Stated Value of each share redeemed plus the full dividends accrued but unpaid on each such share (whether or not declared) through the redemption date (the “Redemption Price”).</w:t>
      </w:r>
    </w:p>
    <w:p>
      <w:pPr>
        <w:spacing w:after="0" w:line="140" w:lineRule="exact"/>
        <w:rPr>
          <w:rFonts w:ascii="Arial" w:cs="Arial" w:eastAsia="Arial" w:hAnsi="Arial"/>
          <w:sz w:val="17"/>
          <w:szCs w:val="17"/>
          <w:color w:val="auto"/>
        </w:rPr>
      </w:pPr>
    </w:p>
    <w:p>
      <w:pPr>
        <w:jc w:val="both"/>
        <w:ind w:left="-3" w:right="140" w:firstLine="459"/>
        <w:spacing w:after="0" w:line="281" w:lineRule="auto"/>
        <w:tabs>
          <w:tab w:leader="none" w:pos="696" w:val="left"/>
        </w:tabs>
        <w:numPr>
          <w:ilvl w:val="1"/>
          <w:numId w:val="211"/>
        </w:numPr>
        <w:rPr>
          <w:rFonts w:ascii="Arial" w:cs="Arial" w:eastAsia="Arial" w:hAnsi="Arial"/>
          <w:sz w:val="16"/>
          <w:szCs w:val="16"/>
          <w:color w:val="auto"/>
        </w:rPr>
      </w:pPr>
      <w:r>
        <w:rPr>
          <w:rFonts w:ascii="Arial" w:cs="Arial" w:eastAsia="Arial" w:hAnsi="Arial"/>
          <w:sz w:val="16"/>
          <w:szCs w:val="16"/>
          <w:color w:val="auto"/>
        </w:rPr>
        <w:t>If less than all of the Series A Preferred Stock at any time outstanding shall be called for redemption hereunder, the shares to be redeemed shall be selected on a pro rata basis (with rounding to the nearest whole share) and upon such terms and conditions as the Board of Directors may determine (subject to the limitations and provisions contained herein). The corporation, at its option, may nonetheless redeem all of the shares of Series A Preferred Stock of any Record Holder if, as a result of a straight pro rata redemption, that Record Holder would then hold less than 1000 shares.</w:t>
      </w:r>
    </w:p>
    <w:p>
      <w:pPr>
        <w:spacing w:after="0" w:line="125" w:lineRule="exact"/>
        <w:rPr>
          <w:rFonts w:ascii="Arial" w:cs="Arial" w:eastAsia="Arial" w:hAnsi="Arial"/>
          <w:sz w:val="16"/>
          <w:szCs w:val="16"/>
          <w:color w:val="auto"/>
        </w:rPr>
      </w:pPr>
    </w:p>
    <w:p>
      <w:pPr>
        <w:ind w:left="-3" w:right="60" w:firstLine="459"/>
        <w:spacing w:after="0" w:line="294" w:lineRule="auto"/>
        <w:tabs>
          <w:tab w:leader="none" w:pos="686" w:val="left"/>
        </w:tabs>
        <w:numPr>
          <w:ilvl w:val="1"/>
          <w:numId w:val="211"/>
        </w:numPr>
        <w:rPr>
          <w:rFonts w:ascii="Arial" w:cs="Arial" w:eastAsia="Arial" w:hAnsi="Arial"/>
          <w:sz w:val="15"/>
          <w:szCs w:val="15"/>
          <w:color w:val="auto"/>
        </w:rPr>
      </w:pPr>
      <w:r>
        <w:rPr>
          <w:rFonts w:ascii="Arial" w:cs="Arial" w:eastAsia="Arial" w:hAnsi="Arial"/>
          <w:sz w:val="15"/>
          <w:szCs w:val="15"/>
          <w:color w:val="auto"/>
        </w:rPr>
        <w:t>Notice of redemption shall be mailed, certified mail, postage prepaid, not less than 10 days nor more than 60 days prior to the redemption date specified in that notice, to each Record Holder of the shares to be redeemed at the address appearing on the corporation’s stock records of the Series A Preferred Stock. Neither failure to mail such notice to one or more of such holders nor any defect in such notice shall affect the sufficiency of the proceedings of redemption as to other holders. Each such notice shall state: (A) the redemption date; (B) the applicable Redemption Price; (C) the number of shares of Series A Preferred Stock to be redeemed and, if less than all the outstanding shares of Series A Preferred Stock are to be redeemed, the basis upon which the corporation proposes to determine such lesser number of shares to be redeemed and the number of shares of such Record Holders that would be redeemed on such basis if such Record Holder continued to hold all of its shares on the Partial Redemption Determination Date (as defined below); (D) the place or places at which the certificates representing such shares are to be surrendered for payment of the Redemption Price; and (E) that dividends on the shares to be redeemed will cease to accrue on such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584835</wp:posOffset>
            </wp:positionV>
            <wp:extent cx="7258050"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17"/>
          </w:cols>
          <w:pgMar w:left="243" w:top="1440" w:right="239" w:bottom="1440" w:gutter="0" w:footer="0" w:header="0"/>
        </w:sectPr>
      </w:pPr>
    </w:p>
    <w:bookmarkStart w:id="193" w:name="page194"/>
    <w:bookmarkEnd w:id="193"/>
    <w:p>
      <w:pPr>
        <w:spacing w:after="0" w:line="200" w:lineRule="exact"/>
        <w:rPr>
          <w:sz w:val="20"/>
          <w:szCs w:val="20"/>
          <w:color w:val="auto"/>
        </w:rPr>
      </w:pPr>
    </w:p>
    <w:p>
      <w:pPr>
        <w:spacing w:after="0" w:line="334" w:lineRule="exact"/>
        <w:rPr>
          <w:sz w:val="20"/>
          <w:szCs w:val="20"/>
          <w:color w:val="auto"/>
        </w:rPr>
      </w:pPr>
    </w:p>
    <w:p>
      <w:pPr>
        <w:jc w:val="both"/>
        <w:ind w:left="-3" w:right="120" w:firstLine="3"/>
        <w:spacing w:after="0" w:line="275" w:lineRule="auto"/>
        <w:tabs>
          <w:tab w:leader="none" w:pos="239"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In case of a redemption of less than all the outstanding shares of Series A Preferred Stock, the corporation’s final determination of the number of shares of each Record Holder to be redeemed shall be made with respect to Record Holders of Series A Preferred Stock as of the close of business five business days immediately preceding the redemption date (the “Partial Redemption Determination Date”). The transfer of shares of Series A Preferred Stock so determined for redemption shall not be permitted after the Partial Redemption Determination Date. The corporation may require that any transfer of shares of Series A Preferred Stock permitted by it between the date of the above notice to Record Holders and the partial Redemption Determination Date refer to the corporation’s notice of redemption and otherwise reflect that the transferor will acquire such shares subject to possible redemption as stated in such notice.</w:t>
      </w:r>
    </w:p>
    <w:p>
      <w:pPr>
        <w:spacing w:after="0" w:line="132" w:lineRule="exact"/>
        <w:rPr>
          <w:rFonts w:ascii="Arial" w:cs="Arial" w:eastAsia="Arial" w:hAnsi="Arial"/>
          <w:sz w:val="16"/>
          <w:szCs w:val="16"/>
          <w:color w:val="auto"/>
        </w:rPr>
      </w:pPr>
    </w:p>
    <w:p>
      <w:pPr>
        <w:ind w:left="-3" w:right="20" w:firstLine="3"/>
        <w:spacing w:after="0" w:line="272" w:lineRule="auto"/>
        <w:tabs>
          <w:tab w:leader="none" w:pos="23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If notice of redemption has been given pursuant to clause (c) above and if, on or before the redemption date specified in such notice, the funds necessary for such redemption have been irrevocably tendered by the corporation to the Record Holders of the shares being redeemed, or otherwise irrevocably designated or set aside in trust for the pro rata benefit of the holders of the shares so called for redemption in a manner permitted by the Georgia Business Corporation Code, then from and after the redemption date, notwithstanding that any certificate for shares so called for redemption shall not have been surrendered for cancellation or that any such shares may have been transferred (whether with or without the corporation’s permission), (A) all of the shares so called for redemption (as finally determined on the Partial Redemption Determination Date in case of a partial redemption) shall no longer be deemed outstanding, (B) all dividends shall cease to accrue thereon, and (C) all voting and other rights with respect to such shares shall cease and terminate (except the rights to receive the Redemption Price upon a surrender of certificate(s) representing such shares). Upon surrender, in accordance with said notice, of the certificates for any shares so called for redemption, properly endorsed, such shares shall be redeemed by the corporation at the Redemption Price. If fewer than all the shares represented by any such certificate are redeemed, a new certificate representing the unredeemed shares shall be issued without cost to the Record Holder thereof.</w:t>
      </w:r>
    </w:p>
    <w:p>
      <w:pPr>
        <w:spacing w:after="0" w:line="145" w:lineRule="exact"/>
        <w:rPr>
          <w:rFonts w:ascii="Arial" w:cs="Arial" w:eastAsia="Arial" w:hAnsi="Arial"/>
          <w:sz w:val="16"/>
          <w:szCs w:val="16"/>
          <w:color w:val="auto"/>
        </w:rPr>
      </w:pPr>
    </w:p>
    <w:p>
      <w:pPr>
        <w:ind w:left="-3" w:firstLine="3"/>
        <w:spacing w:after="0" w:line="273" w:lineRule="auto"/>
        <w:tabs>
          <w:tab w:leader="none" w:pos="211" w:val="left"/>
        </w:tabs>
        <w:numPr>
          <w:ilvl w:val="0"/>
          <w:numId w:val="212"/>
        </w:numPr>
        <w:rPr>
          <w:rFonts w:ascii="Arial" w:cs="Arial" w:eastAsia="Arial" w:hAnsi="Arial"/>
          <w:sz w:val="16"/>
          <w:szCs w:val="16"/>
          <w:color w:val="auto"/>
        </w:rPr>
      </w:pPr>
      <w:r>
        <w:rPr>
          <w:rFonts w:ascii="Arial" w:cs="Arial" w:eastAsia="Arial" w:hAnsi="Arial"/>
          <w:sz w:val="16"/>
          <w:szCs w:val="16"/>
          <w:color w:val="auto"/>
        </w:rPr>
        <w:t>On or before the redemption date, the corporation, in lieu of tendering the Redemption Price directly to the respective Record Holders, may deposit with an agent that is a bank or a trust company (the “Paying Agent”), or otherwise designate or set aside as provided in clause (e) above, funds sufficient to pay the Redemption Price for all shares of Series A Preferred Stock to be redeemed on the redemption date, other than any such shares that may have been previously delivered for other consideration in a transaction otherwise permitted by this Designation. Any interest earned on funds so designated, set aside, or deposited with a Paying Agent shall be retainable by or payable to the corporation, and holders of shares of Series A Preferred Stock shall have no rights with respect thereto. Any funds so deposited with a Paying Agent that shall remain unclaimed by the Record Holders of redeemed shares at the end of six months after the redemption date, together with any previously unpaid interest earned thereon, shall be released or repaid by the Paying Agent to the corporation, and thereafter such Record Holders shall look only to the corporation for payment of the 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586740</wp:posOffset>
            </wp:positionV>
            <wp:extent cx="7258050"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17"/>
          </w:cols>
          <w:pgMar w:left="243" w:top="1440" w:right="239" w:bottom="1440" w:gutter="0" w:footer="0" w:header="0"/>
        </w:sectPr>
      </w:pPr>
    </w:p>
    <w:bookmarkStart w:id="194" w:name="page195"/>
    <w:bookmarkEnd w:id="194"/>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7. Certain General Matters.</w:t>
      </w:r>
    </w:p>
    <w:p>
      <w:pPr>
        <w:spacing w:after="0" w:line="176" w:lineRule="exact"/>
        <w:rPr>
          <w:sz w:val="20"/>
          <w:szCs w:val="20"/>
          <w:color w:val="auto"/>
        </w:rPr>
      </w:pPr>
    </w:p>
    <w:p>
      <w:pPr>
        <w:ind w:right="40" w:firstLine="3"/>
        <w:spacing w:after="0" w:line="264" w:lineRule="auto"/>
        <w:tabs>
          <w:tab w:leader="none" w:pos="229"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corporation shall have the rights, in connection with any issuance or transfer of a share of Series A Preferred Stock, to establish by contract with the proposed holder thereof any lawful restriction or limitation respecting the transfer or other disposition of, or any exercise of right appurtenant to, such share with which such proposed holder shall agree.</w:t>
      </w:r>
    </w:p>
    <w:p>
      <w:pPr>
        <w:spacing w:after="0" w:line="149" w:lineRule="exact"/>
        <w:rPr>
          <w:rFonts w:ascii="Arial" w:cs="Arial" w:eastAsia="Arial" w:hAnsi="Arial"/>
          <w:sz w:val="17"/>
          <w:szCs w:val="17"/>
          <w:color w:val="auto"/>
        </w:rPr>
      </w:pPr>
    </w:p>
    <w:p>
      <w:pPr>
        <w:ind w:firstLine="3"/>
        <w:spacing w:after="0" w:line="288" w:lineRule="auto"/>
        <w:tabs>
          <w:tab w:leader="none" w:pos="242"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In any case where any redemption date shall not be a business day, then notwithstanding any other provision hereof, payment of a redemption price need not be made on such date but may be made on the next succeeding business day with the same force and effect as if made on the redemption day; </w:t>
      </w:r>
      <w:r>
        <w:rPr>
          <w:rFonts w:ascii="Arial" w:cs="Arial" w:eastAsia="Arial" w:hAnsi="Arial"/>
          <w:sz w:val="16"/>
          <w:szCs w:val="16"/>
          <w:u w:val="single" w:color="auto"/>
          <w:color w:val="auto"/>
        </w:rPr>
        <w:t>provided</w:t>
      </w:r>
      <w:r>
        <w:rPr>
          <w:rFonts w:ascii="Arial" w:cs="Arial" w:eastAsia="Arial" w:hAnsi="Arial"/>
          <w:sz w:val="16"/>
          <w:szCs w:val="16"/>
          <w:color w:val="auto"/>
        </w:rPr>
        <w:t>, that for purposes of computing such payment, no interest shall accrue for the period from and after such redemption date, as the case may be.</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VI.</w:t>
      </w:r>
    </w:p>
    <w:p>
      <w:pPr>
        <w:spacing w:after="0" w:line="176" w:lineRule="exact"/>
        <w:rPr>
          <w:sz w:val="20"/>
          <w:szCs w:val="20"/>
          <w:color w:val="auto"/>
        </w:rPr>
      </w:pPr>
    </w:p>
    <w:p>
      <w:pPr>
        <w:ind w:right="40"/>
        <w:spacing w:after="0" w:line="295" w:lineRule="auto"/>
        <w:rPr>
          <w:sz w:val="20"/>
          <w:szCs w:val="20"/>
          <w:color w:val="auto"/>
        </w:rPr>
      </w:pPr>
      <w:r>
        <w:rPr>
          <w:rFonts w:ascii="Arial" w:cs="Arial" w:eastAsia="Arial" w:hAnsi="Arial"/>
          <w:sz w:val="15"/>
          <w:szCs w:val="15"/>
          <w:color w:val="auto"/>
        </w:rPr>
        <w:t>No holder of any of the shares of any class of the corporation shall be entitled as of right to subscribe for, purchase or otherwise acquire any shares of any class of the corporation which the corporation proposes to issue or any rights or options which the corporation proposes to grant for the purchase of shares of any class of the corporation or for the purchase of any shares, bonds, securities, or obligations of the corporation which are convertible into or exchangeable for, or which carry any rights, to subscribe for, purchase, or otherwise acquire shares of any class of the corporation and any and all of such shares, bonds, securities, or obligations of the corporation, whether now or hereafter authorized or created, may be issued, or may be reissued if the same have been reacquired and if their reissue is not prohibited, and any and all of such rights and options may be granted by the Board of Directors to such individuals and entities, and for such lawful consideration, and on such terms, as the Board of Directors in its discretion may determine, without first offering the same, or any thereof, to any said holder.</w:t>
      </w:r>
    </w:p>
    <w:p>
      <w:pPr>
        <w:spacing w:after="0" w:line="13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VII.</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corporation shall not commence business until it shall have received at least $500.00 in payment for the issuance of shares of its stock.</w:t>
      </w:r>
    </w:p>
    <w:p>
      <w:pPr>
        <w:spacing w:after="0" w:line="17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VIII.</w:t>
      </w:r>
    </w:p>
    <w:p>
      <w:pPr>
        <w:spacing w:after="0" w:line="189" w:lineRule="exact"/>
        <w:rPr>
          <w:sz w:val="20"/>
          <w:szCs w:val="20"/>
          <w:color w:val="auto"/>
        </w:rPr>
      </w:pPr>
    </w:p>
    <w:p>
      <w:pPr>
        <w:ind w:right="240"/>
        <w:spacing w:after="0" w:line="309" w:lineRule="auto"/>
        <w:rPr>
          <w:sz w:val="20"/>
          <w:szCs w:val="20"/>
          <w:color w:val="auto"/>
        </w:rPr>
      </w:pPr>
      <w:r>
        <w:rPr>
          <w:rFonts w:ascii="Arial" w:cs="Arial" w:eastAsia="Arial" w:hAnsi="Arial"/>
          <w:sz w:val="16"/>
          <w:szCs w:val="16"/>
          <w:color w:val="auto"/>
        </w:rPr>
        <w:t>In addition to, but not in limitation of, the general powers conferred by law, the corporation shall have the power to make distributions to its shareholders out of its capital surplus, to purchase its own shares out of its unreserved and unrestricted capital surplus available therefor and to carry on any lawful business.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IX.</w:t>
      </w:r>
    </w:p>
    <w:p>
      <w:pPr>
        <w:spacing w:after="0" w:line="176" w:lineRule="exact"/>
        <w:rPr>
          <w:sz w:val="20"/>
          <w:szCs w:val="20"/>
          <w:color w:val="auto"/>
        </w:rPr>
      </w:pPr>
    </w:p>
    <w:p>
      <w:pPr>
        <w:ind w:right="80"/>
        <w:spacing w:after="0" w:line="300" w:lineRule="auto"/>
        <w:rPr>
          <w:sz w:val="20"/>
          <w:szCs w:val="20"/>
          <w:color w:val="auto"/>
        </w:rPr>
      </w:pPr>
      <w:r>
        <w:rPr>
          <w:rFonts w:ascii="Arial" w:cs="Arial" w:eastAsia="Arial" w:hAnsi="Arial"/>
          <w:sz w:val="15"/>
          <w:szCs w:val="15"/>
          <w:color w:val="auto"/>
        </w:rPr>
        <w:t>In discharging the duties of their respective positions and in determining what is believed to be in the best interests of the corporation, the Board of Directors of the corporation, committees of the Board of Directors, and individual directors, in addition to considering the effects of any action on the corporation or its shareholders, may consider interests of the employees, customers, suppliers, and creditors of the corporation and its subsidiaries, the communities in which offices or other establishments of the corporation and its subsidiaries are located, and all other factors such directors consider pertinent; provided, however, that such consideration shall be deemed solely to grant discretionary authority to the directors and shall not be deemed to provide to any constituency any right to be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582930</wp:posOffset>
            </wp:positionV>
            <wp:extent cx="7258050"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95" w:name="page196"/>
    <w:bookmarkEnd w:id="195"/>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X.</w:t>
      </w:r>
    </w:p>
    <w:p>
      <w:pPr>
        <w:spacing w:after="0" w:line="176"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color w:val="auto"/>
        </w:rPr>
        <w:t>No director of the corporation shall be personally liable to the corporation or its shareholders for monetary damages for breach of his duty of care or other duty as a director, provided, that this provision shall eliminate or limit the liability of a director only to the extent permitted from time to time by the Georgia Business Corporation Code or any successor laws or laws.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XI.</w:t>
      </w:r>
    </w:p>
    <w:p>
      <w:pPr>
        <w:spacing w:after="0" w:line="176" w:lineRule="exact"/>
        <w:rPr>
          <w:sz w:val="20"/>
          <w:szCs w:val="20"/>
          <w:color w:val="auto"/>
        </w:rPr>
      </w:pPr>
    </w:p>
    <w:p>
      <w:pPr>
        <w:ind w:right="160"/>
        <w:spacing w:after="0" w:line="305" w:lineRule="auto"/>
        <w:rPr>
          <w:sz w:val="20"/>
          <w:szCs w:val="20"/>
          <w:color w:val="auto"/>
        </w:rPr>
      </w:pPr>
      <w:r>
        <w:rPr>
          <w:rFonts w:ascii="Arial" w:cs="Arial" w:eastAsia="Arial" w:hAnsi="Arial"/>
          <w:sz w:val="15"/>
          <w:szCs w:val="15"/>
          <w:color w:val="auto"/>
        </w:rPr>
        <w:t>Except as otherwise provided by law, any amendment or repeal of any provision of the Articles of Incorporation or the Bylaws of the corporation requires the affirmative vote of holders of two-thirds of the shares of capital stock of the corporation then issued and outstanding and entitled to vote on such matters. Notwithstanding anything herein to the contrary, the number of authorized shares of any class of capital stock of the corporation may be increased by the affirmative vote of holders of a simple majority of the shares of capital stock of the corporation then issued and outstanding and entitled to vote on such matters.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XII.</w:t>
      </w:r>
    </w:p>
    <w:p>
      <w:pPr>
        <w:spacing w:after="0" w:line="189"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I. (A) In addition to any affirmative vote required by law, and subject to the provisions of any series of Preferred Stock which may at the time be outstanding, the affirmative vote of the holders of not less than 75% of the outstanding shares of Common Stock of the corporation and the affirmative vote of the holders of not less than 75% of the outstanding shares of Common Stock of the corporation other than those beneficially owned (as defined below) by an Interested Shareholder (as defined below) (the “two-tier requirement”), shall be required for the approval or authorization of any Business Combination (as defined below) of the corporation with such Interested Shareholder; provided that the two-tier voting requirement shall not be applicable if the Business Combination was approved by three-fourths of all Directors.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(B) The term “Business Combination” as used in this Article XII shall mean:</w:t>
      </w:r>
    </w:p>
    <w:p>
      <w:pPr>
        <w:spacing w:after="0" w:line="176" w:lineRule="exact"/>
        <w:rPr>
          <w:sz w:val="20"/>
          <w:szCs w:val="20"/>
          <w:color w:val="auto"/>
        </w:rPr>
      </w:pPr>
    </w:p>
    <w:p>
      <w:pPr>
        <w:ind w:right="80" w:firstLine="3"/>
        <w:spacing w:after="0" w:line="264" w:lineRule="auto"/>
        <w:tabs>
          <w:tab w:leader="none" w:pos="204" w:val="left"/>
        </w:tabs>
        <w:numPr>
          <w:ilvl w:val="0"/>
          <w:numId w:val="214"/>
        </w:numPr>
        <w:rPr>
          <w:rFonts w:ascii="Arial" w:cs="Arial" w:eastAsia="Arial" w:hAnsi="Arial"/>
          <w:sz w:val="17"/>
          <w:szCs w:val="17"/>
          <w:color w:val="auto"/>
        </w:rPr>
      </w:pPr>
      <w:r>
        <w:rPr>
          <w:rFonts w:ascii="Arial" w:cs="Arial" w:eastAsia="Arial" w:hAnsi="Arial"/>
          <w:sz w:val="17"/>
          <w:szCs w:val="17"/>
          <w:color w:val="auto"/>
        </w:rPr>
        <w:t>any merger or consolidation of the corporation or any Subsidiary (as hereafter defined) with (a) any Interested Shareholder (as hereinafter defined) or (b) any other corporation (whether or not itself an Interested Shareholder) which is, or after such merger or consolidation would be, an Affiliate (as hereinafter defined) of an Interested Shareholder; or</w:t>
      </w:r>
    </w:p>
    <w:p>
      <w:pPr>
        <w:spacing w:after="0" w:line="149" w:lineRule="exact"/>
        <w:rPr>
          <w:rFonts w:ascii="Arial" w:cs="Arial" w:eastAsia="Arial" w:hAnsi="Arial"/>
          <w:sz w:val="17"/>
          <w:szCs w:val="17"/>
          <w:color w:val="auto"/>
        </w:rPr>
      </w:pPr>
    </w:p>
    <w:p>
      <w:pPr>
        <w:jc w:val="both"/>
        <w:ind w:firstLine="3"/>
        <w:spacing w:after="0" w:line="264" w:lineRule="auto"/>
        <w:tabs>
          <w:tab w:leader="none" w:pos="251" w:val="left"/>
        </w:tabs>
        <w:numPr>
          <w:ilvl w:val="0"/>
          <w:numId w:val="214"/>
        </w:numPr>
        <w:rPr>
          <w:rFonts w:ascii="Arial" w:cs="Arial" w:eastAsia="Arial" w:hAnsi="Arial"/>
          <w:sz w:val="17"/>
          <w:szCs w:val="17"/>
          <w:color w:val="auto"/>
        </w:rPr>
      </w:pPr>
      <w:r>
        <w:rPr>
          <w:rFonts w:ascii="Arial" w:cs="Arial" w:eastAsia="Arial" w:hAnsi="Arial"/>
          <w:sz w:val="17"/>
          <w:szCs w:val="17"/>
          <w:color w:val="auto"/>
        </w:rPr>
        <w:t>any sale, lease, exchange, mortgage, pledge, transfer or other disposition (in one transaction or a series of transactions) to or with any Interested Shareholder or any Affiliate of any Interested Shareholder of any assets of the corporation or any Subsidiary having an aggregate Fair Market Value (as hereinafter defined) of $1,000,000 or more;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589280</wp:posOffset>
            </wp:positionV>
            <wp:extent cx="7258050"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96" w:name="page197"/>
    <w:bookmarkEnd w:id="196"/>
    <w:p>
      <w:pPr>
        <w:spacing w:after="0" w:line="200" w:lineRule="exact"/>
        <w:rPr>
          <w:sz w:val="20"/>
          <w:szCs w:val="20"/>
          <w:color w:val="auto"/>
        </w:rPr>
      </w:pPr>
    </w:p>
    <w:p>
      <w:pPr>
        <w:spacing w:after="0" w:line="334" w:lineRule="exact"/>
        <w:rPr>
          <w:sz w:val="20"/>
          <w:szCs w:val="20"/>
          <w:color w:val="auto"/>
        </w:rPr>
      </w:pPr>
    </w:p>
    <w:p>
      <w:pPr>
        <w:ind w:right="160" w:firstLine="3"/>
        <w:spacing w:after="0" w:line="264" w:lineRule="auto"/>
        <w:tabs>
          <w:tab w:leader="none" w:pos="299"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issuance or transfer by the corporation or any Subsidiary (in one transaction or a series of transactions) of any securities of the corporation or any Subsidiary to any Interested Shareholder or any Affiliate of any Interested Shareholder in exchange for cash, securities or other property (or a combination thereof) having an aggregate Fair Market Value of $1,000,000 or more; or</w:t>
      </w:r>
    </w:p>
    <w:p>
      <w:pPr>
        <w:spacing w:after="0" w:line="136" w:lineRule="exact"/>
        <w:rPr>
          <w:rFonts w:ascii="Arial" w:cs="Arial" w:eastAsia="Arial" w:hAnsi="Arial"/>
          <w:sz w:val="17"/>
          <w:szCs w:val="17"/>
          <w:color w:val="auto"/>
        </w:rPr>
      </w:pPr>
    </w:p>
    <w:p>
      <w:pPr>
        <w:ind w:right="120" w:firstLine="3"/>
        <w:spacing w:after="0" w:line="277" w:lineRule="auto"/>
        <w:tabs>
          <w:tab w:leader="none" w:pos="289"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adoption of any plan or proposal for the liquidation or dissolution of the corporation proposed by or on behalf of an Interested Shareholder or any Affiliate of any Interested Shareholder; or</w:t>
      </w:r>
    </w:p>
    <w:p>
      <w:pPr>
        <w:spacing w:after="0" w:line="138" w:lineRule="exact"/>
        <w:rPr>
          <w:rFonts w:ascii="Arial" w:cs="Arial" w:eastAsia="Arial" w:hAnsi="Arial"/>
          <w:sz w:val="17"/>
          <w:szCs w:val="17"/>
          <w:color w:val="auto"/>
        </w:rPr>
      </w:pPr>
    </w:p>
    <w:p>
      <w:pPr>
        <w:ind w:right="120" w:firstLine="3"/>
        <w:spacing w:after="0" w:line="260" w:lineRule="auto"/>
        <w:tabs>
          <w:tab w:leader="none" w:pos="242"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any reclassification of securities (including any reverse stock split), or recapitalization of the corporation, or any merger or consolidation of the corporation with any of its Subsidiaries or any other transaction (whether or not with or into or otherwise involving an Interested Shareholder) which has the effect, directly or indirectly, of increasing the proportionate share of the outstanding shares of any class of equity or convertible securities of the corporation or any Subsidiary which is directly or indirectly owned by any Interested Shareholder or any Affiliate of any Interested Shareholder.</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II. For purposes of this Article XII:</w:t>
      </w:r>
    </w:p>
    <w:p>
      <w:pPr>
        <w:spacing w:after="0" w:line="176" w:lineRule="exact"/>
        <w:rPr>
          <w:sz w:val="20"/>
          <w:szCs w:val="20"/>
          <w:color w:val="auto"/>
        </w:rPr>
      </w:pPr>
    </w:p>
    <w:p>
      <w:pPr>
        <w:ind w:left="280" w:hanging="277"/>
        <w:spacing w:after="0"/>
        <w:tabs>
          <w:tab w:leader="none" w:pos="28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 “person” shall mean any individual, firm, corporation or other entity.</w:t>
      </w:r>
    </w:p>
    <w:p>
      <w:pPr>
        <w:spacing w:after="0" w:line="189" w:lineRule="exact"/>
        <w:rPr>
          <w:rFonts w:ascii="Arial" w:cs="Arial" w:eastAsia="Arial" w:hAnsi="Arial"/>
          <w:sz w:val="17"/>
          <w:szCs w:val="17"/>
          <w:color w:val="auto"/>
        </w:rPr>
      </w:pPr>
    </w:p>
    <w:p>
      <w:pPr>
        <w:ind w:right="300" w:firstLine="3"/>
        <w:spacing w:after="0" w:line="277" w:lineRule="auto"/>
        <w:tabs>
          <w:tab w:leader="none" w:pos="27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“Interested Shareholder” shall mean any person (other than the corporation, any Subsidiary or either the corporation or any Subsidiary acting as Trustee or in a similar fiduciary capacity) who or which:</w:t>
      </w:r>
    </w:p>
    <w:p>
      <w:pPr>
        <w:spacing w:after="0" w:line="126" w:lineRule="exact"/>
        <w:rPr>
          <w:sz w:val="20"/>
          <w:szCs w:val="20"/>
          <w:color w:val="auto"/>
        </w:rPr>
      </w:pPr>
    </w:p>
    <w:p>
      <w:pPr>
        <w:ind w:left="200" w:hanging="197"/>
        <w:spacing w:after="0"/>
        <w:tabs>
          <w:tab w:leader="none" w:pos="20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is the beneficial owner of more than 10% of the outstanding Common Stock; or</w:t>
      </w:r>
    </w:p>
    <w:p>
      <w:pPr>
        <w:spacing w:after="0" w:line="176" w:lineRule="exact"/>
        <w:rPr>
          <w:rFonts w:ascii="Arial" w:cs="Arial" w:eastAsia="Arial" w:hAnsi="Arial"/>
          <w:sz w:val="17"/>
          <w:szCs w:val="17"/>
          <w:color w:val="auto"/>
        </w:rPr>
      </w:pPr>
    </w:p>
    <w:p>
      <w:pPr>
        <w:ind w:right="660" w:firstLine="3"/>
        <w:spacing w:after="0" w:line="277" w:lineRule="auto"/>
        <w:tabs>
          <w:tab w:leader="none" w:pos="251" w:val="left"/>
        </w:tabs>
        <w:numPr>
          <w:ilvl w:val="0"/>
          <w:numId w:val="217"/>
        </w:numPr>
        <w:rPr>
          <w:rFonts w:ascii="Arial" w:cs="Arial" w:eastAsia="Arial" w:hAnsi="Arial"/>
          <w:sz w:val="17"/>
          <w:szCs w:val="17"/>
          <w:color w:val="auto"/>
        </w:rPr>
      </w:pPr>
      <w:r>
        <w:rPr>
          <w:rFonts w:ascii="Arial" w:cs="Arial" w:eastAsia="Arial" w:hAnsi="Arial"/>
          <w:sz w:val="17"/>
          <w:szCs w:val="17"/>
          <w:color w:val="auto"/>
        </w:rPr>
        <w:t>is an Affiliate of the corporation and at any time within the two-year period immediately prior to the date in question was the beneficial owner, directly or indirectly, of 10% or more of then outstanding Common Stock; or</w:t>
      </w:r>
    </w:p>
    <w:p>
      <w:pPr>
        <w:spacing w:after="0" w:line="138" w:lineRule="exact"/>
        <w:rPr>
          <w:rFonts w:ascii="Arial" w:cs="Arial" w:eastAsia="Arial" w:hAnsi="Arial"/>
          <w:sz w:val="17"/>
          <w:szCs w:val="17"/>
          <w:color w:val="auto"/>
        </w:rPr>
      </w:pPr>
    </w:p>
    <w:p>
      <w:pPr>
        <w:ind w:left="300" w:hanging="297"/>
        <w:spacing w:after="0"/>
        <w:tabs>
          <w:tab w:leader="none" w:pos="30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acquired any shares of Common Stock which were at any time within the two-year period immediately prior to the date in question beneficially owned by any</w:t>
      </w:r>
    </w:p>
    <w:p>
      <w:pPr>
        <w:spacing w:after="0" w:line="32" w:lineRule="exact"/>
        <w:rPr>
          <w:rFonts w:ascii="Arial" w:cs="Arial" w:eastAsia="Arial" w:hAnsi="Arial"/>
          <w:sz w:val="16"/>
          <w:szCs w:val="16"/>
          <w:color w:val="auto"/>
        </w:rPr>
      </w:pPr>
    </w:p>
    <w:p>
      <w:pPr>
        <w:spacing w:after="0" w:line="263" w:lineRule="auto"/>
        <w:rPr>
          <w:rFonts w:ascii="Arial" w:cs="Arial" w:eastAsia="Arial" w:hAnsi="Arial"/>
          <w:sz w:val="16"/>
          <w:szCs w:val="16"/>
          <w:color w:val="auto"/>
        </w:rPr>
      </w:pPr>
      <w:r>
        <w:rPr>
          <w:rFonts w:ascii="Arial" w:cs="Arial" w:eastAsia="Arial" w:hAnsi="Arial"/>
          <w:sz w:val="17"/>
          <w:szCs w:val="17"/>
          <w:color w:val="auto"/>
        </w:rPr>
        <w:t>Interested Shareholder, if such acquisition shall have occurred in the course of a transaction or series of transactions not involving a public offering within the meaning of the Securities Act of 1993.</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(C) A person shall be a “beneficial owner” of any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(i) which such person or any of its Affiliates or Associates (as hereinafter defined) beneficially owns, directly or indirectly;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622300</wp:posOffset>
            </wp:positionV>
            <wp:extent cx="7258050"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97" w:name="page198"/>
    <w:bookmarkEnd w:id="197"/>
    <w:p>
      <w:pPr>
        <w:spacing w:after="0" w:line="200" w:lineRule="exact"/>
        <w:rPr>
          <w:sz w:val="20"/>
          <w:szCs w:val="20"/>
          <w:color w:val="auto"/>
        </w:rPr>
      </w:pPr>
    </w:p>
    <w:p>
      <w:pPr>
        <w:spacing w:after="0" w:line="334" w:lineRule="exact"/>
        <w:rPr>
          <w:sz w:val="20"/>
          <w:szCs w:val="20"/>
          <w:color w:val="auto"/>
        </w:rPr>
      </w:pPr>
    </w:p>
    <w:p>
      <w:pPr>
        <w:ind w:left="-3" w:right="40" w:firstLine="3"/>
        <w:spacing w:after="0" w:line="264" w:lineRule="auto"/>
        <w:tabs>
          <w:tab w:leader="none" w:pos="249" w:val="left"/>
        </w:tabs>
        <w:numPr>
          <w:ilvl w:val="0"/>
          <w:numId w:val="218"/>
        </w:numPr>
        <w:rPr>
          <w:rFonts w:ascii="Arial" w:cs="Arial" w:eastAsia="Arial" w:hAnsi="Arial"/>
          <w:sz w:val="17"/>
          <w:szCs w:val="17"/>
          <w:color w:val="auto"/>
        </w:rPr>
      </w:pPr>
      <w:r>
        <w:rPr>
          <w:rFonts w:ascii="Arial" w:cs="Arial" w:eastAsia="Arial" w:hAnsi="Arial"/>
          <w:sz w:val="17"/>
          <w:szCs w:val="17"/>
          <w:color w:val="auto"/>
        </w:rPr>
        <w:t>which such person or any of its Affiliates or Associates has, directly or indirectly, (a) the right to acquire (whether such right is exercisable immediately or only after the passage of time), pursuant to any agreement, arrangement or understanding or upon the exercise of conversion rights, exchange rights, warrants or options or otherwise, or (b) the right to vote pursuant to any agreement, arrangement or understanding; or</w:t>
      </w:r>
    </w:p>
    <w:p>
      <w:pPr>
        <w:spacing w:after="0" w:line="136" w:lineRule="exact"/>
        <w:rPr>
          <w:rFonts w:ascii="Arial" w:cs="Arial" w:eastAsia="Arial" w:hAnsi="Arial"/>
          <w:sz w:val="17"/>
          <w:szCs w:val="17"/>
          <w:color w:val="auto"/>
        </w:rPr>
      </w:pPr>
    </w:p>
    <w:p>
      <w:pPr>
        <w:ind w:left="-3" w:right="620" w:firstLine="3"/>
        <w:spacing w:after="0" w:line="277" w:lineRule="auto"/>
        <w:tabs>
          <w:tab w:leader="none" w:pos="296" w:val="left"/>
        </w:tabs>
        <w:numPr>
          <w:ilvl w:val="0"/>
          <w:numId w:val="218"/>
        </w:numPr>
        <w:rPr>
          <w:rFonts w:ascii="Arial" w:cs="Arial" w:eastAsia="Arial" w:hAnsi="Arial"/>
          <w:sz w:val="17"/>
          <w:szCs w:val="17"/>
          <w:color w:val="auto"/>
        </w:rPr>
      </w:pPr>
      <w:r>
        <w:rPr>
          <w:rFonts w:ascii="Arial" w:cs="Arial" w:eastAsia="Arial" w:hAnsi="Arial"/>
          <w:sz w:val="17"/>
          <w:szCs w:val="17"/>
          <w:color w:val="auto"/>
        </w:rPr>
        <w:t>which are beneficially owned, directly or indirectly, by any other person with which such person or any of its Affiliates or Associates has any agreement, arrangement or understanding for the purpose of acquiring, holding, voting or disposing of any shares of Common Stock.</w:t>
      </w:r>
    </w:p>
    <w:p>
      <w:pPr>
        <w:spacing w:after="0" w:line="139" w:lineRule="exact"/>
        <w:rPr>
          <w:sz w:val="20"/>
          <w:szCs w:val="20"/>
          <w:color w:val="auto"/>
        </w:rPr>
      </w:pPr>
    </w:p>
    <w:p>
      <w:pPr>
        <w:ind w:left="-3" w:right="60" w:firstLine="3"/>
        <w:spacing w:after="0" w:line="260" w:lineRule="auto"/>
        <w:tabs>
          <w:tab w:leader="none" w:pos="277" w:val="left"/>
        </w:tabs>
        <w:numPr>
          <w:ilvl w:val="0"/>
          <w:numId w:val="219"/>
        </w:numPr>
        <w:rPr>
          <w:rFonts w:ascii="Arial" w:cs="Arial" w:eastAsia="Arial" w:hAnsi="Arial"/>
          <w:sz w:val="17"/>
          <w:szCs w:val="17"/>
          <w:color w:val="auto"/>
        </w:rPr>
      </w:pPr>
      <w:r>
        <w:rPr>
          <w:rFonts w:ascii="Arial" w:cs="Arial" w:eastAsia="Arial" w:hAnsi="Arial"/>
          <w:sz w:val="17"/>
          <w:szCs w:val="17"/>
          <w:color w:val="auto"/>
        </w:rPr>
        <w:t>For the purposes of determining whether a person is an Interested Shareholder pursuant to paragraph B of this Section II, the number of shares of Common Stock deemed to be outstanding shall include shares deemed owned through application of paragraph C(ii)(a) of this Section II but shall not include any other shares of Common Stock which may be issuable pursuant to any agreement, arrangement or understanding, or upon exercise of conversion rights, warrants or options, or otherwise.</w:t>
      </w:r>
    </w:p>
    <w:p>
      <w:pPr>
        <w:spacing w:after="0" w:line="140" w:lineRule="exact"/>
        <w:rPr>
          <w:rFonts w:ascii="Arial" w:cs="Arial" w:eastAsia="Arial" w:hAnsi="Arial"/>
          <w:sz w:val="17"/>
          <w:szCs w:val="17"/>
          <w:color w:val="auto"/>
        </w:rPr>
      </w:pPr>
    </w:p>
    <w:p>
      <w:pPr>
        <w:ind w:left="-3" w:right="20" w:firstLine="3"/>
        <w:spacing w:after="0" w:line="277" w:lineRule="auto"/>
        <w:tabs>
          <w:tab w:leader="none" w:pos="258"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 An “Affiliate” of a specified person is a person that directly, through one or more intermediaries, controls, or is controlled by, or is under common control with, the person specified.</w:t>
      </w:r>
    </w:p>
    <w:p>
      <w:pPr>
        <w:spacing w:after="0" w:line="126" w:lineRule="exact"/>
        <w:rPr>
          <w:sz w:val="20"/>
          <w:szCs w:val="20"/>
          <w:color w:val="auto"/>
        </w:rPr>
      </w:pPr>
    </w:p>
    <w:p>
      <w:pPr>
        <w:ind w:left="-3" w:right="20" w:firstLine="3"/>
        <w:spacing w:after="0" w:line="260" w:lineRule="auto"/>
        <w:tabs>
          <w:tab w:leader="none" w:pos="246"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term “Associate” used to indicate a relationship with any person means (1) any firm, corporation or other entity (other than the corporation or any Subsidiary) of which such person is an officer or partner or is, directly or indirectly, the beneficial owner of 10% or more of any class of equity securities, (2) any trust or other estate in which such person has a substantial beneficial interest or as to which such person serves as trustee or in a similar fiduciary capacity, and (3) any relative or spouse or such person, or any relative of such spouse who has the same home as such person.</w:t>
      </w:r>
    </w:p>
    <w:p>
      <w:pPr>
        <w:spacing w:after="0" w:line="153" w:lineRule="exact"/>
        <w:rPr>
          <w:sz w:val="20"/>
          <w:szCs w:val="20"/>
          <w:color w:val="auto"/>
        </w:rPr>
      </w:pPr>
    </w:p>
    <w:p>
      <w:pPr>
        <w:ind w:left="-3" w:firstLine="3"/>
        <w:spacing w:after="0" w:line="277" w:lineRule="auto"/>
        <w:tabs>
          <w:tab w:leader="none" w:pos="249" w:val="left"/>
        </w:tabs>
        <w:numPr>
          <w:ilvl w:val="0"/>
          <w:numId w:val="221"/>
        </w:numPr>
        <w:rPr>
          <w:rFonts w:ascii="Arial" w:cs="Arial" w:eastAsia="Arial" w:hAnsi="Arial"/>
          <w:sz w:val="17"/>
          <w:szCs w:val="17"/>
          <w:color w:val="auto"/>
        </w:rPr>
      </w:pPr>
      <w:r>
        <w:rPr>
          <w:rFonts w:ascii="Arial" w:cs="Arial" w:eastAsia="Arial" w:hAnsi="Arial"/>
          <w:sz w:val="17"/>
          <w:szCs w:val="17"/>
          <w:color w:val="auto"/>
        </w:rPr>
        <w:t>“Subsidiary” means any corporation of which a majority of any class of equity securities is owned, directly or indirectly, by the corporation unless owned solely as trustee or other similar fiduciary capacity.</w:t>
      </w:r>
    </w:p>
    <w:p>
      <w:pPr>
        <w:spacing w:after="0" w:line="125" w:lineRule="exact"/>
        <w:rPr>
          <w:rFonts w:ascii="Arial" w:cs="Arial" w:eastAsia="Arial" w:hAnsi="Arial"/>
          <w:sz w:val="17"/>
          <w:szCs w:val="17"/>
          <w:color w:val="auto"/>
        </w:rPr>
      </w:pPr>
    </w:p>
    <w:p>
      <w:pPr>
        <w:ind w:left="277" w:hanging="277"/>
        <w:spacing w:after="0"/>
        <w:tabs>
          <w:tab w:leader="none" w:pos="277" w:val="left"/>
        </w:tabs>
        <w:numPr>
          <w:ilvl w:val="0"/>
          <w:numId w:val="221"/>
        </w:numPr>
        <w:rPr>
          <w:rFonts w:ascii="Arial" w:cs="Arial" w:eastAsia="Arial" w:hAnsi="Arial"/>
          <w:sz w:val="17"/>
          <w:szCs w:val="17"/>
          <w:color w:val="auto"/>
        </w:rPr>
      </w:pPr>
      <w:r>
        <w:rPr>
          <w:rFonts w:ascii="Arial" w:cs="Arial" w:eastAsia="Arial" w:hAnsi="Arial"/>
          <w:sz w:val="17"/>
          <w:szCs w:val="17"/>
          <w:color w:val="auto"/>
        </w:rPr>
        <w:t>“Fair Market value” means:</w:t>
      </w:r>
    </w:p>
    <w:p>
      <w:pPr>
        <w:spacing w:after="0" w:line="176" w:lineRule="exact"/>
        <w:rPr>
          <w:sz w:val="20"/>
          <w:szCs w:val="20"/>
          <w:color w:val="auto"/>
        </w:rPr>
      </w:pPr>
    </w:p>
    <w:p>
      <w:pPr>
        <w:jc w:val="both"/>
        <w:ind w:left="-3" w:right="40" w:firstLine="3"/>
        <w:spacing w:after="0" w:line="256" w:lineRule="auto"/>
        <w:tabs>
          <w:tab w:leader="none" w:pos="201" w:val="left"/>
        </w:tabs>
        <w:numPr>
          <w:ilvl w:val="0"/>
          <w:numId w:val="222"/>
        </w:numPr>
        <w:rPr>
          <w:rFonts w:ascii="Arial" w:cs="Arial" w:eastAsia="Arial" w:hAnsi="Arial"/>
          <w:sz w:val="17"/>
          <w:szCs w:val="17"/>
          <w:color w:val="auto"/>
        </w:rPr>
      </w:pPr>
      <w:r>
        <w:rPr>
          <w:rFonts w:ascii="Arial" w:cs="Arial" w:eastAsia="Arial" w:hAnsi="Arial"/>
          <w:sz w:val="17"/>
          <w:szCs w:val="17"/>
          <w:color w:val="auto"/>
        </w:rPr>
        <w:t>in the case of stock, the closing sales price of a share of such stock on the Composite Tape on the New York Stock Exchange-Listed Stocks, or, if such stock is not quoted on the Composite Tape, on the New York Stock Exchange, or, if such stock is not listed on such Exchange, on the principal United States securities exchange registered under the Securities Exchange Act of 1934, as amended, on which such stock is listed, or, if such stock is not listed on any such exchange, the closing sales price or the sales price or the average of the bid and asked prices reported with respect to a share of such stock on the National Association of Securities Dealers, Inc. Automated Quotation System or any system then in use, or if no such quotations are available, the fair market value on the date in question of a share of such stock as determined by the Board in good faith;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603250</wp:posOffset>
            </wp:positionV>
            <wp:extent cx="7258050"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77"/>
          </w:cols>
          <w:pgMar w:left="243" w:top="1440" w:right="279" w:bottom="1440" w:gutter="0" w:footer="0" w:header="0"/>
        </w:sectPr>
      </w:pPr>
    </w:p>
    <w:bookmarkStart w:id="198" w:name="page199"/>
    <w:bookmarkEnd w:id="198"/>
    <w:p>
      <w:pPr>
        <w:spacing w:after="0" w:line="200" w:lineRule="exact"/>
        <w:rPr>
          <w:sz w:val="20"/>
          <w:szCs w:val="20"/>
          <w:color w:val="auto"/>
        </w:rPr>
      </w:pPr>
    </w:p>
    <w:p>
      <w:pPr>
        <w:spacing w:after="0" w:line="333" w:lineRule="exact"/>
        <w:rPr>
          <w:sz w:val="20"/>
          <w:szCs w:val="20"/>
          <w:color w:val="auto"/>
        </w:rPr>
      </w:pPr>
    </w:p>
    <w:p>
      <w:pPr>
        <w:ind w:left="720" w:hanging="261"/>
        <w:spacing w:after="0"/>
        <w:tabs>
          <w:tab w:leader="none" w:pos="720" w:val="left"/>
        </w:tabs>
        <w:numPr>
          <w:ilvl w:val="1"/>
          <w:numId w:val="223"/>
        </w:numPr>
        <w:rPr>
          <w:rFonts w:ascii="Arial" w:cs="Arial" w:eastAsia="Arial" w:hAnsi="Arial"/>
          <w:sz w:val="15"/>
          <w:szCs w:val="15"/>
          <w:color w:val="auto"/>
        </w:rPr>
      </w:pPr>
      <w:r>
        <w:rPr>
          <w:rFonts w:ascii="Arial" w:cs="Arial" w:eastAsia="Arial" w:hAnsi="Arial"/>
          <w:sz w:val="15"/>
          <w:szCs w:val="15"/>
          <w:color w:val="auto"/>
        </w:rPr>
        <w:t>in the case of property other than cash or stock, the fair market value of such property on the date in question as determined by the Board in good faith.</w:t>
      </w:r>
    </w:p>
    <w:p>
      <w:pPr>
        <w:spacing w:after="0" w:line="199" w:lineRule="exact"/>
        <w:rPr>
          <w:rFonts w:ascii="Arial" w:cs="Arial" w:eastAsia="Arial" w:hAnsi="Arial"/>
          <w:sz w:val="15"/>
          <w:szCs w:val="15"/>
          <w:color w:val="auto"/>
        </w:rPr>
      </w:pPr>
    </w:p>
    <w:p>
      <w:pPr>
        <w:ind w:left="280" w:hanging="277"/>
        <w:spacing w:after="0"/>
        <w:tabs>
          <w:tab w:leader="none" w:pos="28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term “acquire” or “acquired” means the acquisition of beneficial ownership.</w:t>
      </w:r>
    </w:p>
    <w:p>
      <w:pPr>
        <w:spacing w:after="0" w:line="189" w:lineRule="exact"/>
        <w:rPr>
          <w:rFonts w:ascii="Arial" w:cs="Arial" w:eastAsia="Arial" w:hAnsi="Arial"/>
          <w:sz w:val="17"/>
          <w:szCs w:val="17"/>
          <w:color w:val="auto"/>
        </w:rPr>
      </w:pPr>
    </w:p>
    <w:p>
      <w:pPr>
        <w:ind w:right="280" w:firstLine="3"/>
        <w:spacing w:after="0" w:line="277" w:lineRule="auto"/>
        <w:tabs>
          <w:tab w:leader="none" w:pos="21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Board of Directors of the corporation shall have the power and duty to determine for the purposes of this Article XII, on the basis of information known to them after reasonable inquiry,</w:t>
      </w:r>
    </w:p>
    <w:p>
      <w:pPr>
        <w:spacing w:after="0" w:line="126" w:lineRule="exact"/>
        <w:rPr>
          <w:sz w:val="20"/>
          <w:szCs w:val="20"/>
          <w:color w:val="auto"/>
        </w:rPr>
      </w:pPr>
    </w:p>
    <w:p>
      <w:pPr>
        <w:ind w:left="200" w:hanging="197"/>
        <w:spacing w:after="0"/>
        <w:tabs>
          <w:tab w:leader="none" w:pos="20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whether a person is an Interested Shareholder,</w:t>
      </w:r>
    </w:p>
    <w:p>
      <w:pPr>
        <w:spacing w:after="0" w:line="176" w:lineRule="exact"/>
        <w:rPr>
          <w:rFonts w:ascii="Arial" w:cs="Arial" w:eastAsia="Arial" w:hAnsi="Arial"/>
          <w:sz w:val="17"/>
          <w:szCs w:val="17"/>
          <w:color w:val="auto"/>
        </w:rPr>
      </w:pPr>
    </w:p>
    <w:p>
      <w:pPr>
        <w:ind w:left="260" w:hanging="257"/>
        <w:spacing w:after="0"/>
        <w:tabs>
          <w:tab w:leader="none" w:pos="26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number of shares of Common Stock beneficially owned by any person,</w:t>
      </w:r>
    </w:p>
    <w:p>
      <w:pPr>
        <w:spacing w:after="0" w:line="189" w:lineRule="exact"/>
        <w:rPr>
          <w:rFonts w:ascii="Arial" w:cs="Arial" w:eastAsia="Arial" w:hAnsi="Arial"/>
          <w:sz w:val="17"/>
          <w:szCs w:val="17"/>
          <w:color w:val="auto"/>
        </w:rPr>
      </w:pPr>
    </w:p>
    <w:p>
      <w:pPr>
        <w:ind w:left="300" w:hanging="297"/>
        <w:spacing w:after="0"/>
        <w:tabs>
          <w:tab w:leader="none" w:pos="30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whether a person is an Affiliate or Associate or another, and</w:t>
      </w:r>
    </w:p>
    <w:p>
      <w:pPr>
        <w:spacing w:after="0" w:line="176" w:lineRule="exact"/>
        <w:rPr>
          <w:rFonts w:ascii="Arial" w:cs="Arial" w:eastAsia="Arial" w:hAnsi="Arial"/>
          <w:sz w:val="17"/>
          <w:szCs w:val="17"/>
          <w:color w:val="auto"/>
        </w:rPr>
      </w:pPr>
    </w:p>
    <w:p>
      <w:pPr>
        <w:ind w:right="260" w:firstLine="3"/>
        <w:spacing w:after="0" w:line="277" w:lineRule="auto"/>
        <w:tabs>
          <w:tab w:leader="none" w:pos="289" w:val="left"/>
        </w:tabs>
        <w:numPr>
          <w:ilvl w:val="0"/>
          <w:numId w:val="225"/>
        </w:numPr>
        <w:rPr>
          <w:rFonts w:ascii="Arial" w:cs="Arial" w:eastAsia="Arial" w:hAnsi="Arial"/>
          <w:sz w:val="17"/>
          <w:szCs w:val="17"/>
          <w:color w:val="auto"/>
        </w:rPr>
      </w:pPr>
      <w:r>
        <w:rPr>
          <w:rFonts w:ascii="Arial" w:cs="Arial" w:eastAsia="Arial" w:hAnsi="Arial"/>
          <w:sz w:val="17"/>
          <w:szCs w:val="17"/>
          <w:color w:val="auto"/>
        </w:rPr>
        <w:t>whether the assets which are the subject of any Business Combination have, or the consideration to be received for the issuance or transfer of securities by the corporation or any Subsidiary in any Business Combination has, an aggregate Fair Market Value of $1,000,000 or more.</w:t>
      </w:r>
    </w:p>
    <w:p>
      <w:pPr>
        <w:spacing w:after="0" w:line="126" w:lineRule="exact"/>
        <w:rPr>
          <w:sz w:val="20"/>
          <w:szCs w:val="20"/>
          <w:color w:val="auto"/>
        </w:rPr>
      </w:pPr>
    </w:p>
    <w:p>
      <w:pPr>
        <w:ind w:right="200" w:firstLine="3"/>
        <w:spacing w:after="0" w:line="277" w:lineRule="auto"/>
        <w:tabs>
          <w:tab w:leader="none" w:pos="223" w:val="left"/>
        </w:tabs>
        <w:numPr>
          <w:ilvl w:val="0"/>
          <w:numId w:val="226"/>
        </w:numPr>
        <w:rPr>
          <w:rFonts w:ascii="Arial" w:cs="Arial" w:eastAsia="Arial" w:hAnsi="Arial"/>
          <w:sz w:val="17"/>
          <w:szCs w:val="17"/>
          <w:color w:val="auto"/>
        </w:rPr>
      </w:pPr>
      <w:r>
        <w:rPr>
          <w:rFonts w:ascii="Arial" w:cs="Arial" w:eastAsia="Arial" w:hAnsi="Arial"/>
          <w:sz w:val="17"/>
          <w:szCs w:val="17"/>
          <w:color w:val="auto"/>
        </w:rPr>
        <w:t>Nothing contained in this Article XII shall be construed to relieve any Interested Shareholder or any of its Affiliates or Associates from any fiduciary obligation imposed by law.</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XIII.</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A director of the corporation may be removed only for cause and upon the affirmative vote of the holders of two-thirds of the issued and outstanding shares entitled to vote on such matter.</w:t>
      </w:r>
    </w:p>
    <w:p>
      <w:pPr>
        <w:sectPr>
          <w:pgSz w:w="11900" w:h="16838" w:orient="portrait"/>
          <w:cols w:equalWidth="0" w:num="1">
            <w:col w:w="11360"/>
          </w:cols>
          <w:pgMar w:left="240" w:top="1440" w:right="299" w:bottom="1440" w:gutter="0" w:footer="0" w:header="0"/>
        </w:sectPr>
      </w:pPr>
    </w:p>
    <w:bookmarkStart w:id="199" w:name="page200"/>
    <w:bookmarkEnd w:id="199"/>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5360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3605" cy="8255"/>
                    </a:xfrm>
                    <a:prstGeom prst="rect">
                      <a:avLst/>
                    </a:prstGeom>
                    <a:noFill/>
                  </pic:spPr>
                </pic:pic>
              </a:graphicData>
            </a:graphic>
          </wp:anchor>
        </w:drawing>
        <w:t>Exhibit 3.2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OF THE AMENDED AND RESTATED BYLAWS OF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UNITED COMMUNITY BANKS, INC.</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Amended and Restated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United Community Banks, Inc. (the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 are hereby amended as follows:</w:t>
      </w:r>
    </w:p>
    <w:p>
      <w:pPr>
        <w:spacing w:after="0" w:line="200" w:lineRule="exact"/>
        <w:rPr>
          <w:sz w:val="20"/>
          <w:szCs w:val="20"/>
          <w:color w:val="auto"/>
        </w:rPr>
      </w:pPr>
    </w:p>
    <w:p>
      <w:pPr>
        <w:spacing w:after="0" w:line="220" w:lineRule="exact"/>
        <w:rPr>
          <w:sz w:val="20"/>
          <w:szCs w:val="20"/>
          <w:color w:val="auto"/>
        </w:rPr>
      </w:pPr>
    </w:p>
    <w:p>
      <w:pPr>
        <w:ind w:left="1580" w:hanging="424"/>
        <w:spacing w:after="0"/>
        <w:tabs>
          <w:tab w:leader="none" w:pos="158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Section 9.5 is added to the Bylaws:</w:t>
      </w:r>
    </w:p>
    <w:p>
      <w:pPr>
        <w:spacing w:after="0" w:line="211" w:lineRule="exact"/>
        <w:rPr>
          <w:sz w:val="20"/>
          <w:szCs w:val="20"/>
          <w:color w:val="auto"/>
        </w:rPr>
      </w:pPr>
    </w:p>
    <w:p>
      <w:pPr>
        <w:ind w:left="1160" w:right="40"/>
        <w:spacing w:after="0" w:line="296" w:lineRule="auto"/>
        <w:rPr>
          <w:sz w:val="20"/>
          <w:szCs w:val="20"/>
          <w:color w:val="auto"/>
        </w:rPr>
      </w:pPr>
      <w:r>
        <w:rPr>
          <w:rFonts w:ascii="Arial" w:cs="Arial" w:eastAsia="Arial" w:hAnsi="Arial"/>
          <w:sz w:val="15"/>
          <w:szCs w:val="15"/>
          <w:b w:val="1"/>
          <w:bCs w:val="1"/>
          <w:color w:val="auto"/>
        </w:rPr>
        <w:t xml:space="preserve">Exclusive Forum for Certain Disputes. </w:t>
      </w:r>
      <w:r>
        <w:rPr>
          <w:rFonts w:ascii="Arial" w:cs="Arial" w:eastAsia="Arial" w:hAnsi="Arial"/>
          <w:sz w:val="15"/>
          <w:szCs w:val="15"/>
          <w:color w:val="auto"/>
        </w:rPr>
        <w:t>Unless the Corporation consents in writing to the selection of an alternative forum, the United States</w:t>
      </w:r>
      <w:r>
        <w:rPr>
          <w:rFonts w:ascii="Arial" w:cs="Arial" w:eastAsia="Arial" w:hAnsi="Arial"/>
          <w:sz w:val="15"/>
          <w:szCs w:val="15"/>
          <w:b w:val="1"/>
          <w:bCs w:val="1"/>
          <w:color w:val="auto"/>
        </w:rPr>
        <w:t xml:space="preserve"> </w:t>
      </w:r>
      <w:r>
        <w:rPr>
          <w:rFonts w:ascii="Arial" w:cs="Arial" w:eastAsia="Arial" w:hAnsi="Arial"/>
          <w:sz w:val="15"/>
          <w:szCs w:val="15"/>
          <w:color w:val="auto"/>
        </w:rPr>
        <w:t>District Court for the Northern District of Georgia or, if such court lacks jurisdiction, any Georgia state court that has jurisdiction, shall, to the fullest extent permitted by law,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shareholders, (iii) any action asserting a claim arising pursuant to any provisions of the Delaware General Corporation Law, or (iv) any action asserting a claim governed by the internal affairs doctrine. Any person or entity purchasing or otherwise acquiring or holding any interest in shares of capital stock of the Corporation shall be deemed to have notice of and consented to the provisions of this Section .</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Approved by the Board of Directors on April 21, 2015, and effective as of this 21st day of April, 2015.</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Lori McKay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13970</wp:posOffset>
            </wp:positionV>
            <wp:extent cx="28981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898140" cy="8255"/>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Lori McKay</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535940</wp:posOffset>
            </wp:positionV>
            <wp:extent cx="725360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200" w:right="239" w:bottom="1440" w:gutter="0" w:footer="0" w:header="0"/>
        </w:sectPr>
      </w:pPr>
    </w:p>
    <w:bookmarkStart w:id="200" w:name="page201"/>
    <w:bookmarkEnd w:id="200"/>
    <w:p>
      <w:pPr>
        <w:jc w:val="center"/>
        <w:ind w:right="-619"/>
        <w:spacing w:after="0"/>
        <w:rPr>
          <w:sz w:val="20"/>
          <w:szCs w:val="20"/>
          <w:color w:val="auto"/>
        </w:rPr>
      </w:pPr>
      <w:r>
        <w:rPr>
          <w:rFonts w:ascii="Arial" w:cs="Arial" w:eastAsia="Arial" w:hAnsi="Arial"/>
          <w:sz w:val="17"/>
          <w:szCs w:val="17"/>
          <w:b w:val="1"/>
          <w:bCs w:val="1"/>
          <w:color w:val="auto"/>
        </w:rPr>
        <w:t>AMENDMENT OF THE AMENDED AND RESTATED BYLAWS OF</w:t>
      </w:r>
    </w:p>
    <w:p>
      <w:pPr>
        <w:spacing w:after="0" w:line="176" w:lineRule="exact"/>
        <w:rPr>
          <w:sz w:val="20"/>
          <w:szCs w:val="20"/>
          <w:color w:val="auto"/>
        </w:rPr>
      </w:pPr>
    </w:p>
    <w:p>
      <w:pPr>
        <w:jc w:val="center"/>
        <w:ind w:right="-619"/>
        <w:spacing w:after="0"/>
        <w:rPr>
          <w:sz w:val="20"/>
          <w:szCs w:val="20"/>
          <w:color w:val="auto"/>
        </w:rPr>
      </w:pPr>
      <w:r>
        <w:rPr>
          <w:rFonts w:ascii="Arial" w:cs="Arial" w:eastAsia="Arial" w:hAnsi="Arial"/>
          <w:sz w:val="17"/>
          <w:szCs w:val="17"/>
          <w:b w:val="1"/>
          <w:bCs w:val="1"/>
          <w:color w:val="auto"/>
        </w:rPr>
        <w:t>UNITED COMMUNITY BANKS, INC.</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Amended and Restated Bylaws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of United Community Banks, Inc. (the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 are hereby amended as follows: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80" w:hanging="677"/>
        <w:spacing w:after="0"/>
        <w:tabs>
          <w:tab w:leader="none" w:pos="68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Section 7.1 of the Bylaws is deleted in its entirety and replaced with the following: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620" w:firstLine="615"/>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Form</w:t>
      </w:r>
      <w:r>
        <w:rPr>
          <w:rFonts w:ascii="Arial" w:cs="Arial" w:eastAsia="Arial" w:hAnsi="Arial"/>
          <w:sz w:val="15"/>
          <w:szCs w:val="15"/>
          <w:color w:val="auto"/>
        </w:rPr>
        <w:t>. The shares of stock of the Corporation may be certificated or uncertificated, and may be evidenced by registration in the holder’s name in uncertificated, book-entry form on the books of the Corporation in accordance with a direct registration system. Within a reasonable time after the issuance or transfer of uncertificated stock, the Corporation shall send to the registered owner thereof a written notice that shall set forth the name of the Corporation, that the Corporation is organized under the laws of the State of Georgia, the name of the stockholder, the number and class (and the designation of the series, if any) of the shares represented, and any restrictions on the transfer or registration of such shares of stock imposed by the Corporation’s articles of incorporation, these Bylaws, any agreement among stockholders or any agreement between stockholders and the Corporation. Every holder of fully-paid stock in the Corporation shall be entitled, upon request, to have a certificate in such form as the board of directors may from time to time prescribe. The certificates representing shares of stock of the Corporation shall be in such form as may be approved by the board of directors, which certificates representing shares shall be issued to the stockholder of the Corporation in numerical order from the stock book of the Corporation, and each of which shall bear the name of the Corporation, the name of the stockholder, and the number and class of shares and designation of the series, if any, represented by the certificate; and which shall be signed by the President or a Vice-President (or in lieu thereof, by the Chairman of the Board, Chief Executive Officer or the Chief Financial Officer, if there be any) and may be signed by the Secretary or an Assistant Secretary; and which shall be sealed with the seal of the Corporation.”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80" w:hanging="677"/>
        <w:spacing w:after="0"/>
        <w:tabs>
          <w:tab w:leader="none" w:pos="68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Section 7.3 of the Bylaws is deleted in its entirety and replaced with the following: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620" w:firstLine="615"/>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Transfer of Shares</w:t>
      </w:r>
      <w:r>
        <w:rPr>
          <w:rFonts w:ascii="Arial" w:cs="Arial" w:eastAsia="Arial" w:hAnsi="Arial"/>
          <w:sz w:val="16"/>
          <w:szCs w:val="16"/>
          <w:color w:val="auto"/>
        </w:rPr>
        <w:t>. Shares of stock of the Corporation shall be transferred only on the books of the Corporation by the stockholder of record or his duly authorized attorney-in-fact, and with all taxes on the transfer having been paid, and if such shares are represented by a certificate, upon surrender to the Corporation of the certificate representing the shares accompanied by an assignment in writing, or for uncertificated shares, upon the presentation of proper evidence of authority to transfer by the record holder. The Corporation may refuse any requested transfer until furnished evidence satisfactory to it that such transfer is proper. Upon the surrender of shares represented by a certificate for transfer of stock, such certificate shall at once be conspicuously marked on its face “Canceled” and filed with the permanent stock records of the Corporation. If a certificate is alleged to have been lost, stolen or destroyed, the provisions of Section 7.5 of these Bylaws shall have been complied with. The board of directors may make such additional rules concerning the issuance, transfer and registration of stock and requirements regarding the establishment of lost, stolen or destroyed shares (including any requirement of an indemnity bond prior to issuance of any replacement certificate or uncertificated shares in lieu of new certificates) as it deems appropriate. No certificate representing shares (or uncertificated shares in lieu of a certificate) shall be issued until the consideration for the shares represented thereby has been fully paid.”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Approved by the Board of Directors on July 15, 2010 and effective this 11th day of August,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/s/ Lori McKay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3925570</wp:posOffset>
            </wp:positionH>
            <wp:positionV relativeFrom="paragraph">
              <wp:posOffset>13970</wp:posOffset>
            </wp:positionV>
            <wp:extent cx="2531745" cy="16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31745" cy="16510"/>
                    </a:xfrm>
                    <a:prstGeom prst="rect">
                      <a:avLst/>
                    </a:prstGeom>
                    <a:noFill/>
                  </pic:spPr>
                </pic:pic>
              </a:graphicData>
            </a:graphic>
          </wp:anchor>
        </w:drawing>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Lori McKay</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Secretary</w:t>
      </w:r>
    </w:p>
    <w:p>
      <w:pPr>
        <w:sectPr>
          <w:pgSz w:w="11900" w:h="16838" w:orient="portrait"/>
          <w:cols w:equalWidth="0" w:num="1">
            <w:col w:w="10800"/>
          </w:cols>
          <w:pgMar w:left="240" w:top="1238" w:right="859" w:bottom="1440" w:gutter="0" w:footer="0" w:header="0"/>
        </w:sectPr>
      </w:pPr>
    </w:p>
    <w:bookmarkStart w:id="201" w:name="page202"/>
    <w:bookmarkEnd w:id="2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664845</wp:posOffset>
            </wp:positionV>
            <wp:extent cx="7258050"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6"/>
          <w:szCs w:val="16"/>
          <w:color w:val="auto"/>
        </w:rPr>
        <w:t>AMENDED AND RESTATED BYLAWS</w:t>
      </w:r>
    </w:p>
    <w:p>
      <w:pPr>
        <w:spacing w:after="0" w:line="198" w:lineRule="exact"/>
        <w:rPr>
          <w:sz w:val="20"/>
          <w:szCs w:val="20"/>
          <w:color w:val="auto"/>
        </w:rPr>
      </w:pPr>
    </w:p>
    <w:p>
      <w:pPr>
        <w:jc w:val="center"/>
        <w:ind w:right="4819"/>
        <w:spacing w:after="0"/>
        <w:rPr>
          <w:sz w:val="20"/>
          <w:szCs w:val="20"/>
          <w:color w:val="auto"/>
        </w:rPr>
      </w:pPr>
      <w:r>
        <w:rPr>
          <w:rFonts w:ascii="Courier New" w:cs="Courier New" w:eastAsia="Courier New" w:hAnsi="Courier New"/>
          <w:sz w:val="17"/>
          <w:szCs w:val="17"/>
          <w:color w:val="auto"/>
        </w:rPr>
        <w:t>OF</w:t>
      </w:r>
    </w:p>
    <w:p>
      <w:pPr>
        <w:spacing w:after="0" w:line="198"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UNITED COMMUNITY BANKS, INC.</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(A Georgia Corporation)</w:t>
      </w:r>
    </w:p>
    <w:p>
      <w:pPr>
        <w:spacing w:after="0" w:line="192"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AS OF SEPTEMBER 12, 1997</w:t>
      </w:r>
    </w:p>
    <w:p>
      <w:pPr>
        <w:sectPr>
          <w:pgSz w:w="11900" w:h="16838" w:orient="portrait"/>
          <w:cols w:equalWidth="0" w:num="1">
            <w:col w:w="9019"/>
          </w:cols>
          <w:pgMar w:left="1440" w:top="1440" w:right="1440" w:bottom="1440" w:gutter="0" w:footer="0" w:header="0"/>
        </w:sectPr>
      </w:pPr>
    </w:p>
    <w:bookmarkStart w:id="202" w:name="page203"/>
    <w:bookmarkEnd w:id="2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664845</wp:posOffset>
            </wp:positionV>
            <wp:extent cx="7258050"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7"/>
          <w:szCs w:val="17"/>
          <w:color w:val="auto"/>
        </w:rPr>
        <w:t>AMENDED AND RESTATED BYLAWS</w:t>
      </w:r>
    </w:p>
    <w:p>
      <w:pPr>
        <w:spacing w:after="0" w:line="192"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7"/>
          <w:szCs w:val="17"/>
          <w:color w:val="auto"/>
        </w:rPr>
        <w:t>OF</w:t>
      </w:r>
    </w:p>
    <w:p>
      <w:pPr>
        <w:spacing w:after="0" w:line="192"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UNITED COMMUNITY BANKS, INC.</w:t>
      </w:r>
    </w:p>
    <w:p>
      <w:pPr>
        <w:ind w:left="2100"/>
        <w:spacing w:after="0"/>
        <w:rPr>
          <w:sz w:val="20"/>
          <w:szCs w:val="20"/>
          <w:color w:val="auto"/>
        </w:rPr>
      </w:pPr>
      <w:r>
        <w:rPr>
          <w:rFonts w:ascii="Courier New" w:cs="Courier New" w:eastAsia="Courier New" w:hAnsi="Courier New"/>
          <w:sz w:val="17"/>
          <w:szCs w:val="17"/>
          <w:color w:val="auto"/>
        </w:rPr>
        <w:t>(A GEORGIA CORPORATION)</w:t>
      </w:r>
    </w:p>
    <w:p>
      <w:pPr>
        <w:spacing w:after="0" w:line="192"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TABLE OF CONTENTS</w:t>
      </w:r>
    </w:p>
    <w:p>
      <w:pPr>
        <w:spacing w:after="0" w:line="5" w:lineRule="exact"/>
        <w:rPr>
          <w:sz w:val="20"/>
          <w:szCs w:val="20"/>
          <w:color w:val="auto"/>
        </w:rPr>
      </w:pPr>
    </w:p>
    <w:p>
      <w:pPr>
        <w:ind w:left="7400"/>
        <w:spacing w:after="0"/>
        <w:rPr>
          <w:sz w:val="20"/>
          <w:szCs w:val="20"/>
          <w:color w:val="auto"/>
        </w:rPr>
      </w:pPr>
      <w:r>
        <w:rPr>
          <w:rFonts w:ascii="Courier New" w:cs="Courier New" w:eastAsia="Courier New" w:hAnsi="Courier New"/>
          <w:sz w:val="16"/>
          <w:szCs w:val="16"/>
          <w:color w:val="auto"/>
        </w:rPr>
        <w:t>Page</w:t>
      </w:r>
    </w:p>
    <w:p>
      <w:pPr>
        <w:spacing w:after="0" w:line="198" w:lineRule="exact"/>
        <w:rPr>
          <w:sz w:val="20"/>
          <w:szCs w:val="20"/>
          <w:color w:val="auto"/>
        </w:rPr>
      </w:pPr>
    </w:p>
    <w:p>
      <w:pPr>
        <w:spacing w:after="0"/>
        <w:tabs>
          <w:tab w:leader="none" w:pos="7680" w:val="left"/>
        </w:tabs>
        <w:rPr>
          <w:sz w:val="20"/>
          <w:szCs w:val="20"/>
          <w:color w:val="auto"/>
        </w:rPr>
      </w:pPr>
      <w:r>
        <w:rPr>
          <w:rFonts w:ascii="Courier New" w:cs="Courier New" w:eastAsia="Courier New" w:hAnsi="Courier New"/>
          <w:sz w:val="17"/>
          <w:szCs w:val="17"/>
          <w:color w:val="auto"/>
        </w:rPr>
        <w:t>ARTICLE ONE OFFICE. . . . . . . . . . . . . . . . . . . . . . . . . . . . .</w:t>
      </w:r>
      <w:r>
        <w:rPr>
          <w:sz w:val="20"/>
          <w:szCs w:val="20"/>
          <w:color w:val="auto"/>
        </w:rPr>
        <w:tab/>
      </w:r>
      <w:r>
        <w:rPr>
          <w:rFonts w:ascii="Courier New" w:cs="Courier New" w:eastAsia="Courier New" w:hAnsi="Courier New"/>
          <w:sz w:val="16"/>
          <w:szCs w:val="16"/>
          <w:color w:val="auto"/>
        </w:rPr>
        <w:t>1</w:t>
      </w:r>
    </w:p>
    <w:p>
      <w:pPr>
        <w:spacing w:after="0" w:line="192" w:lineRule="exact"/>
        <w:rPr>
          <w:sz w:val="20"/>
          <w:szCs w:val="20"/>
          <w:color w:val="auto"/>
        </w:rPr>
      </w:pP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1.1 Registered Office and Agent . . . . . . . . . . . . . . . . . . . . .</w:t>
      </w:r>
      <w:r>
        <w:rPr>
          <w:sz w:val="20"/>
          <w:szCs w:val="20"/>
          <w:color w:val="auto"/>
        </w:rPr>
        <w:tab/>
      </w:r>
      <w:r>
        <w:rPr>
          <w:rFonts w:ascii="Courier New" w:cs="Courier New" w:eastAsia="Courier New" w:hAnsi="Courier New"/>
          <w:sz w:val="16"/>
          <w:szCs w:val="16"/>
          <w:color w:val="auto"/>
        </w:rPr>
        <w:t>1</w:t>
      </w: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1.2 Other Offices . . . . . . . . . . . . . . . . . . . . . . . . . . . .</w:t>
      </w:r>
      <w:r>
        <w:rPr>
          <w:sz w:val="20"/>
          <w:szCs w:val="20"/>
          <w:color w:val="auto"/>
        </w:rPr>
        <w:tab/>
      </w:r>
      <w:r>
        <w:rPr>
          <w:rFonts w:ascii="Courier New" w:cs="Courier New" w:eastAsia="Courier New" w:hAnsi="Courier New"/>
          <w:sz w:val="16"/>
          <w:szCs w:val="16"/>
          <w:color w:val="auto"/>
        </w:rPr>
        <w:t>1</w:t>
      </w:r>
    </w:p>
    <w:p>
      <w:pPr>
        <w:spacing w:after="0" w:line="192" w:lineRule="exact"/>
        <w:rPr>
          <w:sz w:val="20"/>
          <w:szCs w:val="20"/>
          <w:color w:val="auto"/>
        </w:rPr>
      </w:pPr>
    </w:p>
    <w:p>
      <w:pPr>
        <w:spacing w:after="0"/>
        <w:tabs>
          <w:tab w:leader="none" w:pos="7680" w:val="left"/>
        </w:tabs>
        <w:rPr>
          <w:sz w:val="20"/>
          <w:szCs w:val="20"/>
          <w:color w:val="auto"/>
        </w:rPr>
      </w:pPr>
      <w:r>
        <w:rPr>
          <w:rFonts w:ascii="Courier New" w:cs="Courier New" w:eastAsia="Courier New" w:hAnsi="Courier New"/>
          <w:sz w:val="17"/>
          <w:szCs w:val="17"/>
          <w:color w:val="auto"/>
        </w:rPr>
        <w:t>ARTICLE TWO STOCKHOLDERS' MEETING . . . . . . . . . . . . . . . . . . . . .</w:t>
      </w:r>
      <w:r>
        <w:rPr>
          <w:sz w:val="20"/>
          <w:szCs w:val="20"/>
          <w:color w:val="auto"/>
        </w:rPr>
        <w:tab/>
      </w:r>
      <w:r>
        <w:rPr>
          <w:rFonts w:ascii="Courier New" w:cs="Courier New" w:eastAsia="Courier New" w:hAnsi="Courier New"/>
          <w:sz w:val="16"/>
          <w:szCs w:val="16"/>
          <w:color w:val="auto"/>
        </w:rPr>
        <w:t>1</w:t>
      </w:r>
    </w:p>
    <w:p>
      <w:pPr>
        <w:spacing w:after="0" w:line="192" w:lineRule="exact"/>
        <w:rPr>
          <w:sz w:val="20"/>
          <w:szCs w:val="20"/>
          <w:color w:val="auto"/>
        </w:rPr>
      </w:pP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2.1 Place of Meetings . . . . . . . . . . . . . . . . . . . . . . . . . .</w:t>
      </w:r>
      <w:r>
        <w:rPr>
          <w:sz w:val="20"/>
          <w:szCs w:val="20"/>
          <w:color w:val="auto"/>
        </w:rPr>
        <w:tab/>
      </w:r>
      <w:r>
        <w:rPr>
          <w:rFonts w:ascii="Courier New" w:cs="Courier New" w:eastAsia="Courier New" w:hAnsi="Courier New"/>
          <w:sz w:val="16"/>
          <w:szCs w:val="16"/>
          <w:color w:val="auto"/>
        </w:rPr>
        <w:t>1</w:t>
      </w:r>
    </w:p>
    <w:p>
      <w:pPr>
        <w:ind w:left="200"/>
        <w:spacing w:after="0"/>
        <w:tabs>
          <w:tab w:leader="none" w:pos="2380" w:val="left"/>
          <w:tab w:leader="none" w:pos="7680" w:val="left"/>
        </w:tabs>
        <w:rPr>
          <w:sz w:val="20"/>
          <w:szCs w:val="20"/>
          <w:color w:val="auto"/>
        </w:rPr>
      </w:pPr>
      <w:r>
        <w:rPr>
          <w:rFonts w:ascii="Courier New" w:cs="Courier New" w:eastAsia="Courier New" w:hAnsi="Courier New"/>
          <w:sz w:val="17"/>
          <w:szCs w:val="17"/>
          <w:color w:val="auto"/>
        </w:rPr>
        <w:t>2.2 Annual Meetings</w:t>
      </w:r>
      <w:r>
        <w:rPr>
          <w:sz w:val="20"/>
          <w:szCs w:val="20"/>
          <w:color w:val="auto"/>
        </w:rPr>
        <w:tab/>
      </w:r>
      <w:r>
        <w:rPr>
          <w:rFonts w:ascii="Courier New" w:cs="Courier New" w:eastAsia="Courier New" w:hAnsi="Courier New"/>
          <w:sz w:val="17"/>
          <w:szCs w:val="17"/>
          <w:color w:val="auto"/>
        </w:rPr>
        <w:t>. . . . . . . . . . . . . . . . . . . . . . . . . .</w:t>
      </w:r>
      <w:r>
        <w:rPr>
          <w:sz w:val="20"/>
          <w:szCs w:val="20"/>
          <w:color w:val="auto"/>
        </w:rPr>
        <w:tab/>
      </w:r>
      <w:r>
        <w:rPr>
          <w:rFonts w:ascii="Courier New" w:cs="Courier New" w:eastAsia="Courier New" w:hAnsi="Courier New"/>
          <w:sz w:val="16"/>
          <w:szCs w:val="16"/>
          <w:color w:val="auto"/>
        </w:rPr>
        <w:t>1</w:t>
      </w:r>
    </w:p>
    <w:p>
      <w:pPr>
        <w:ind w:left="200"/>
        <w:spacing w:after="0"/>
        <w:tabs>
          <w:tab w:leader="none" w:pos="2380" w:val="left"/>
          <w:tab w:leader="none" w:pos="7680" w:val="left"/>
        </w:tabs>
        <w:rPr>
          <w:sz w:val="20"/>
          <w:szCs w:val="20"/>
          <w:color w:val="auto"/>
        </w:rPr>
      </w:pPr>
      <w:r>
        <w:rPr>
          <w:rFonts w:ascii="Courier New" w:cs="Courier New" w:eastAsia="Courier New" w:hAnsi="Courier New"/>
          <w:sz w:val="17"/>
          <w:szCs w:val="17"/>
          <w:color w:val="auto"/>
        </w:rPr>
        <w:t>2.3 Special Meetings</w:t>
        <w:tab/>
        <w:t>. . . . . . . . . . . . . . . . . . . . . . . . . .</w:t>
      </w:r>
      <w:r>
        <w:rPr>
          <w:sz w:val="20"/>
          <w:szCs w:val="20"/>
          <w:color w:val="auto"/>
        </w:rPr>
        <w:tab/>
      </w:r>
      <w:r>
        <w:rPr>
          <w:rFonts w:ascii="Courier New" w:cs="Courier New" w:eastAsia="Courier New" w:hAnsi="Courier New"/>
          <w:sz w:val="16"/>
          <w:szCs w:val="16"/>
          <w:color w:val="auto"/>
        </w:rPr>
        <w:t>2</w:t>
      </w: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2.4 Notice of Meetings. . . . . . . . . . . . . . . . . . . . . . . . . .</w:t>
      </w:r>
      <w:r>
        <w:rPr>
          <w:sz w:val="20"/>
          <w:szCs w:val="20"/>
          <w:color w:val="auto"/>
        </w:rPr>
        <w:tab/>
      </w:r>
      <w:r>
        <w:rPr>
          <w:rFonts w:ascii="Courier New" w:cs="Courier New" w:eastAsia="Courier New" w:hAnsi="Courier New"/>
          <w:sz w:val="16"/>
          <w:szCs w:val="16"/>
          <w:color w:val="auto"/>
        </w:rPr>
        <w:t>2</w:t>
      </w:r>
    </w:p>
    <w:p>
      <w:pPr>
        <w:ind w:left="200"/>
        <w:spacing w:after="0"/>
        <w:tabs>
          <w:tab w:leader="none" w:pos="2380" w:val="left"/>
          <w:tab w:leader="none" w:pos="7680" w:val="left"/>
        </w:tabs>
        <w:rPr>
          <w:sz w:val="20"/>
          <w:szCs w:val="20"/>
          <w:color w:val="auto"/>
        </w:rPr>
      </w:pPr>
      <w:r>
        <w:rPr>
          <w:rFonts w:ascii="Courier New" w:cs="Courier New" w:eastAsia="Courier New" w:hAnsi="Courier New"/>
          <w:sz w:val="17"/>
          <w:szCs w:val="17"/>
          <w:color w:val="auto"/>
        </w:rPr>
        <w:t>2.5 Waiver of Notice</w:t>
        <w:tab/>
        <w:t>. . . . . . . . . . . . . . . . . . . . . . . . . .</w:t>
      </w:r>
      <w:r>
        <w:rPr>
          <w:sz w:val="20"/>
          <w:szCs w:val="20"/>
          <w:color w:val="auto"/>
        </w:rPr>
        <w:tab/>
      </w:r>
      <w:r>
        <w:rPr>
          <w:rFonts w:ascii="Courier New" w:cs="Courier New" w:eastAsia="Courier New" w:hAnsi="Courier New"/>
          <w:sz w:val="16"/>
          <w:szCs w:val="16"/>
          <w:color w:val="auto"/>
        </w:rPr>
        <w:t>2</w:t>
      </w: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2.6 Quorum; Vote Required to Act. . . . . . . . . . . . . . . . . . . . .</w:t>
      </w:r>
      <w:r>
        <w:rPr>
          <w:sz w:val="20"/>
          <w:szCs w:val="20"/>
          <w:color w:val="auto"/>
        </w:rPr>
        <w:tab/>
      </w:r>
      <w:r>
        <w:rPr>
          <w:rFonts w:ascii="Courier New" w:cs="Courier New" w:eastAsia="Courier New" w:hAnsi="Courier New"/>
          <w:sz w:val="16"/>
          <w:szCs w:val="16"/>
          <w:color w:val="auto"/>
        </w:rPr>
        <w:t>2</w:t>
      </w:r>
    </w:p>
    <w:p>
      <w:pPr>
        <w:ind w:left="200"/>
        <w:spacing w:after="0"/>
        <w:tabs>
          <w:tab w:leader="none" w:pos="2380" w:val="left"/>
          <w:tab w:leader="none" w:pos="7680" w:val="left"/>
        </w:tabs>
        <w:rPr>
          <w:sz w:val="20"/>
          <w:szCs w:val="20"/>
          <w:color w:val="auto"/>
        </w:rPr>
      </w:pPr>
      <w:r>
        <w:rPr>
          <w:rFonts w:ascii="Courier New" w:cs="Courier New" w:eastAsia="Courier New" w:hAnsi="Courier New"/>
          <w:sz w:val="17"/>
          <w:szCs w:val="17"/>
          <w:color w:val="auto"/>
        </w:rPr>
        <w:t>2.7 Voting of Shares</w:t>
        <w:tab/>
        <w:t>. . . . . . . . . . . . . . . . . . . . . . . . . .</w:t>
      </w:r>
      <w:r>
        <w:rPr>
          <w:sz w:val="20"/>
          <w:szCs w:val="20"/>
          <w:color w:val="auto"/>
        </w:rPr>
        <w:tab/>
      </w:r>
      <w:r>
        <w:rPr>
          <w:rFonts w:ascii="Courier New" w:cs="Courier New" w:eastAsia="Courier New" w:hAnsi="Courier New"/>
          <w:sz w:val="16"/>
          <w:szCs w:val="16"/>
          <w:color w:val="auto"/>
        </w:rPr>
        <w:t>3</w:t>
      </w: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2.8 Proxies . . . . . . . . . . . . . . . . . . . . . . . . . . . . . . .</w:t>
      </w:r>
      <w:r>
        <w:rPr>
          <w:sz w:val="20"/>
          <w:szCs w:val="20"/>
          <w:color w:val="auto"/>
        </w:rPr>
        <w:tab/>
      </w:r>
      <w:r>
        <w:rPr>
          <w:rFonts w:ascii="Courier New" w:cs="Courier New" w:eastAsia="Courier New" w:hAnsi="Courier New"/>
          <w:sz w:val="16"/>
          <w:szCs w:val="16"/>
          <w:color w:val="auto"/>
        </w:rPr>
        <w:t>3</w:t>
      </w: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2.9 Presiding Officer . . . . . . . . . . . . . . . . . . . . . . . . . .</w:t>
      </w:r>
      <w:r>
        <w:rPr>
          <w:sz w:val="20"/>
          <w:szCs w:val="20"/>
          <w:color w:val="auto"/>
        </w:rPr>
        <w:tab/>
      </w:r>
      <w:r>
        <w:rPr>
          <w:rFonts w:ascii="Courier New" w:cs="Courier New" w:eastAsia="Courier New" w:hAnsi="Courier New"/>
          <w:sz w:val="16"/>
          <w:szCs w:val="16"/>
          <w:color w:val="auto"/>
        </w:rPr>
        <w:t>3</w:t>
      </w: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2.10 Adjournments . . . . . . . . . . . . . . . . . . . . . . . . . . . .</w:t>
      </w:r>
      <w:r>
        <w:rPr>
          <w:sz w:val="20"/>
          <w:szCs w:val="20"/>
          <w:color w:val="auto"/>
        </w:rPr>
        <w:tab/>
      </w:r>
      <w:r>
        <w:rPr>
          <w:rFonts w:ascii="Courier New" w:cs="Courier New" w:eastAsia="Courier New" w:hAnsi="Courier New"/>
          <w:sz w:val="16"/>
          <w:szCs w:val="16"/>
          <w:color w:val="auto"/>
        </w:rPr>
        <w:t>3</w:t>
      </w: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2.11 Conduct of the Meeting . . . . . . . . . . . . . . . . . . . . . . .</w:t>
      </w:r>
      <w:r>
        <w:rPr>
          <w:sz w:val="20"/>
          <w:szCs w:val="20"/>
          <w:color w:val="auto"/>
        </w:rPr>
        <w:tab/>
      </w:r>
      <w:r>
        <w:rPr>
          <w:rFonts w:ascii="Courier New" w:cs="Courier New" w:eastAsia="Courier New" w:hAnsi="Courier New"/>
          <w:sz w:val="16"/>
          <w:szCs w:val="16"/>
          <w:color w:val="auto"/>
        </w:rPr>
        <w:t>3</w:t>
      </w: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2.12 Action of Stockholders Without a Meeting . . . . . . . . . . . . . .</w:t>
      </w:r>
      <w:r>
        <w:rPr>
          <w:sz w:val="20"/>
          <w:szCs w:val="20"/>
          <w:color w:val="auto"/>
        </w:rPr>
        <w:tab/>
      </w:r>
      <w:r>
        <w:rPr>
          <w:rFonts w:ascii="Courier New" w:cs="Courier New" w:eastAsia="Courier New" w:hAnsi="Courier New"/>
          <w:sz w:val="16"/>
          <w:szCs w:val="16"/>
          <w:color w:val="auto"/>
        </w:rPr>
        <w:t>3</w:t>
      </w: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2.13 Matters Considered at Annual Meetings. . . . . . . . . . . . . . . .</w:t>
      </w:r>
      <w:r>
        <w:rPr>
          <w:sz w:val="20"/>
          <w:szCs w:val="20"/>
          <w:color w:val="auto"/>
        </w:rPr>
        <w:tab/>
      </w:r>
      <w:r>
        <w:rPr>
          <w:rFonts w:ascii="Courier New" w:cs="Courier New" w:eastAsia="Courier New" w:hAnsi="Courier New"/>
          <w:sz w:val="16"/>
          <w:szCs w:val="16"/>
          <w:color w:val="auto"/>
        </w:rPr>
        <w:t>4</w:t>
      </w:r>
    </w:p>
    <w:p>
      <w:pPr>
        <w:spacing w:after="0" w:line="191" w:lineRule="exact"/>
        <w:rPr>
          <w:sz w:val="20"/>
          <w:szCs w:val="20"/>
          <w:color w:val="auto"/>
        </w:rPr>
      </w:pPr>
    </w:p>
    <w:p>
      <w:pPr>
        <w:spacing w:after="0"/>
        <w:tabs>
          <w:tab w:leader="none" w:pos="3380" w:val="left"/>
          <w:tab w:leader="none" w:pos="7680" w:val="left"/>
        </w:tabs>
        <w:rPr>
          <w:sz w:val="20"/>
          <w:szCs w:val="20"/>
          <w:color w:val="auto"/>
        </w:rPr>
      </w:pPr>
      <w:r>
        <w:rPr>
          <w:rFonts w:ascii="Courier New" w:cs="Courier New" w:eastAsia="Courier New" w:hAnsi="Courier New"/>
          <w:sz w:val="17"/>
          <w:szCs w:val="17"/>
          <w:color w:val="auto"/>
        </w:rPr>
        <w:t>ARTICLE THREE BOARD OF DIRECTORS</w:t>
        <w:tab/>
        <w:t>. . . . . . . . . . . . . . . . . . . . .</w:t>
      </w:r>
      <w:r>
        <w:rPr>
          <w:sz w:val="20"/>
          <w:szCs w:val="20"/>
          <w:color w:val="auto"/>
        </w:rPr>
        <w:tab/>
      </w:r>
      <w:r>
        <w:rPr>
          <w:rFonts w:ascii="Courier New" w:cs="Courier New" w:eastAsia="Courier New" w:hAnsi="Courier New"/>
          <w:sz w:val="16"/>
          <w:szCs w:val="16"/>
          <w:color w:val="auto"/>
        </w:rPr>
        <w:t>4</w:t>
      </w:r>
    </w:p>
    <w:p>
      <w:pPr>
        <w:spacing w:after="0" w:line="192" w:lineRule="exact"/>
        <w:rPr>
          <w:sz w:val="20"/>
          <w:szCs w:val="20"/>
          <w:color w:val="auto"/>
        </w:rPr>
      </w:pP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3.1 General Powers. . . . . . . . . . . . . . . . . . . . . . . . . . . .</w:t>
      </w:r>
      <w:r>
        <w:rPr>
          <w:sz w:val="20"/>
          <w:szCs w:val="20"/>
          <w:color w:val="auto"/>
        </w:rPr>
        <w:tab/>
      </w:r>
      <w:r>
        <w:rPr>
          <w:rFonts w:ascii="Courier New" w:cs="Courier New" w:eastAsia="Courier New" w:hAnsi="Courier New"/>
          <w:sz w:val="16"/>
          <w:szCs w:val="16"/>
          <w:color w:val="auto"/>
        </w:rPr>
        <w:t>4</w:t>
      </w: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3.2 Number, Election and Term of Office . . . . . . . . . . . . . . . . .</w:t>
      </w:r>
      <w:r>
        <w:rPr>
          <w:sz w:val="20"/>
          <w:szCs w:val="20"/>
          <w:color w:val="auto"/>
        </w:rPr>
        <w:tab/>
      </w:r>
      <w:r>
        <w:rPr>
          <w:rFonts w:ascii="Courier New" w:cs="Courier New" w:eastAsia="Courier New" w:hAnsi="Courier New"/>
          <w:sz w:val="16"/>
          <w:szCs w:val="16"/>
          <w:color w:val="auto"/>
        </w:rPr>
        <w:t>4</w:t>
      </w: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3.3 Removal of Directors. . . . . . . . . . . . . . . . . . . . . . . . .</w:t>
      </w:r>
      <w:r>
        <w:rPr>
          <w:sz w:val="20"/>
          <w:szCs w:val="20"/>
          <w:color w:val="auto"/>
        </w:rPr>
        <w:tab/>
      </w:r>
      <w:r>
        <w:rPr>
          <w:rFonts w:ascii="Courier New" w:cs="Courier New" w:eastAsia="Courier New" w:hAnsi="Courier New"/>
          <w:sz w:val="16"/>
          <w:szCs w:val="16"/>
          <w:color w:val="auto"/>
        </w:rPr>
        <w:t>5</w:t>
      </w: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3.4 Vacancies . . . . . . . . . . . . . . . . . . . . . . . . . . . . . .</w:t>
      </w:r>
      <w:r>
        <w:rPr>
          <w:sz w:val="20"/>
          <w:szCs w:val="20"/>
          <w:color w:val="auto"/>
        </w:rPr>
        <w:tab/>
      </w:r>
      <w:r>
        <w:rPr>
          <w:rFonts w:ascii="Courier New" w:cs="Courier New" w:eastAsia="Courier New" w:hAnsi="Courier New"/>
          <w:sz w:val="16"/>
          <w:szCs w:val="16"/>
          <w:color w:val="auto"/>
        </w:rPr>
        <w:t>5</w:t>
      </w:r>
    </w:p>
    <w:p>
      <w:pPr>
        <w:ind w:left="200"/>
        <w:spacing w:after="0"/>
        <w:tabs>
          <w:tab w:leader="none" w:pos="1980" w:val="left"/>
          <w:tab w:leader="none" w:pos="7680" w:val="left"/>
        </w:tabs>
        <w:rPr>
          <w:sz w:val="20"/>
          <w:szCs w:val="20"/>
          <w:color w:val="auto"/>
        </w:rPr>
      </w:pPr>
      <w:r>
        <w:rPr>
          <w:rFonts w:ascii="Courier New" w:cs="Courier New" w:eastAsia="Courier New" w:hAnsi="Courier New"/>
          <w:sz w:val="17"/>
          <w:szCs w:val="17"/>
          <w:color w:val="auto"/>
        </w:rPr>
        <w:t>3.5 Compensation</w:t>
        <w:tab/>
        <w:t>. . . . . . . . . . . . . . . . . . . . . . . . . . . .</w:t>
      </w:r>
      <w:r>
        <w:rPr>
          <w:sz w:val="20"/>
          <w:szCs w:val="20"/>
          <w:color w:val="auto"/>
        </w:rPr>
        <w:tab/>
      </w:r>
      <w:r>
        <w:rPr>
          <w:rFonts w:ascii="Courier New" w:cs="Courier New" w:eastAsia="Courier New" w:hAnsi="Courier New"/>
          <w:sz w:val="16"/>
          <w:szCs w:val="16"/>
          <w:color w:val="auto"/>
        </w:rPr>
        <w:t>5</w:t>
      </w: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3.6 Committees of the Board of Directors. . . . . . . . . . . . . . . . .</w:t>
      </w:r>
      <w:r>
        <w:rPr>
          <w:sz w:val="20"/>
          <w:szCs w:val="20"/>
          <w:color w:val="auto"/>
        </w:rPr>
        <w:tab/>
      </w:r>
      <w:r>
        <w:rPr>
          <w:rFonts w:ascii="Courier New" w:cs="Courier New" w:eastAsia="Courier New" w:hAnsi="Courier New"/>
          <w:sz w:val="16"/>
          <w:szCs w:val="16"/>
          <w:color w:val="auto"/>
        </w:rPr>
        <w:t>5</w:t>
      </w: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3.7 Qualification of Directors. . . . . . . . . . . . . . . . . . . . . .</w:t>
      </w:r>
      <w:r>
        <w:rPr>
          <w:sz w:val="20"/>
          <w:szCs w:val="20"/>
          <w:color w:val="auto"/>
        </w:rPr>
        <w:tab/>
      </w:r>
      <w:r>
        <w:rPr>
          <w:rFonts w:ascii="Courier New" w:cs="Courier New" w:eastAsia="Courier New" w:hAnsi="Courier New"/>
          <w:sz w:val="16"/>
          <w:szCs w:val="16"/>
          <w:color w:val="auto"/>
        </w:rPr>
        <w:t>5</w:t>
      </w:r>
    </w:p>
    <w:p>
      <w:pPr>
        <w:spacing w:after="0" w:line="384"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0219"/>
          </w:cols>
          <w:pgMar w:left="240" w:top="1440" w:right="1440" w:bottom="1440" w:gutter="0" w:footer="0" w:header="0"/>
        </w:sectPr>
      </w:pPr>
    </w:p>
    <w:bookmarkStart w:id="203" w:name="page204"/>
    <w:bookmarkEnd w:id="2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664845</wp:posOffset>
            </wp:positionV>
            <wp:extent cx="7258050"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219"/>
        <w:spacing w:after="0"/>
        <w:tabs>
          <w:tab w:leader="none" w:pos="180" w:val="left"/>
        </w:tabs>
        <w:rPr>
          <w:sz w:val="20"/>
          <w:szCs w:val="20"/>
          <w:color w:val="auto"/>
        </w:rPr>
      </w:pPr>
      <w:r>
        <w:rPr>
          <w:rFonts w:ascii="Courier New" w:cs="Courier New" w:eastAsia="Courier New" w:hAnsi="Courier New"/>
          <w:sz w:val="17"/>
          <w:szCs w:val="17"/>
          <w:color w:val="auto"/>
        </w:rPr>
        <w:t>ARTICLE FOUR MEETING OF THE BOARD OF DIRECTORS. . . . . . . . . . . . . . .</w:t>
      </w:r>
      <w:r>
        <w:rPr>
          <w:sz w:val="20"/>
          <w:szCs w:val="20"/>
          <w:color w:val="auto"/>
        </w:rPr>
        <w:tab/>
      </w:r>
      <w:r>
        <w:rPr>
          <w:rFonts w:ascii="Courier New" w:cs="Courier New" w:eastAsia="Courier New" w:hAnsi="Courier New"/>
          <w:sz w:val="16"/>
          <w:szCs w:val="16"/>
          <w:color w:val="auto"/>
        </w:rPr>
        <w:t>5</w:t>
      </w:r>
    </w:p>
    <w:p>
      <w:pPr>
        <w:spacing w:after="0" w:line="192" w:lineRule="exact"/>
        <w:rPr>
          <w:sz w:val="20"/>
          <w:szCs w:val="20"/>
          <w:color w:val="auto"/>
        </w:rPr>
      </w:pP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4.1 Regular Meetings. . . . . . . . . . . . . . . . . . . . . . . . . . .</w:t>
      </w:r>
      <w:r>
        <w:rPr>
          <w:sz w:val="20"/>
          <w:szCs w:val="20"/>
          <w:color w:val="auto"/>
        </w:rPr>
        <w:tab/>
      </w:r>
      <w:r>
        <w:rPr>
          <w:rFonts w:ascii="Courier New" w:cs="Courier New" w:eastAsia="Courier New" w:hAnsi="Courier New"/>
          <w:sz w:val="16"/>
          <w:szCs w:val="16"/>
          <w:color w:val="auto"/>
        </w:rPr>
        <w:t>5</w:t>
      </w: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4.2 Chairman of the Board . . . . . . . . . . . . . . . . . . . . . . . .</w:t>
      </w:r>
      <w:r>
        <w:rPr>
          <w:sz w:val="20"/>
          <w:szCs w:val="20"/>
          <w:color w:val="auto"/>
        </w:rPr>
        <w:tab/>
      </w:r>
      <w:r>
        <w:rPr>
          <w:rFonts w:ascii="Courier New" w:cs="Courier New" w:eastAsia="Courier New" w:hAnsi="Courier New"/>
          <w:sz w:val="16"/>
          <w:szCs w:val="16"/>
          <w:color w:val="auto"/>
        </w:rPr>
        <w:t>5</w:t>
      </w: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4.3 Special Meetings. . . . . . . . . . . . . . . . . . . . . . . . . . .</w:t>
      </w:r>
      <w:r>
        <w:rPr>
          <w:sz w:val="20"/>
          <w:szCs w:val="20"/>
          <w:color w:val="auto"/>
        </w:rPr>
        <w:tab/>
      </w:r>
      <w:r>
        <w:rPr>
          <w:rFonts w:ascii="Courier New" w:cs="Courier New" w:eastAsia="Courier New" w:hAnsi="Courier New"/>
          <w:sz w:val="16"/>
          <w:szCs w:val="16"/>
          <w:color w:val="auto"/>
        </w:rPr>
        <w:t>6</w:t>
      </w: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4.4 Place of Meetings . . . . . . . . . . . . . . . . . . . . . . . . . .</w:t>
      </w:r>
      <w:r>
        <w:rPr>
          <w:sz w:val="20"/>
          <w:szCs w:val="20"/>
          <w:color w:val="auto"/>
        </w:rPr>
        <w:tab/>
      </w:r>
      <w:r>
        <w:rPr>
          <w:rFonts w:ascii="Courier New" w:cs="Courier New" w:eastAsia="Courier New" w:hAnsi="Courier New"/>
          <w:sz w:val="16"/>
          <w:szCs w:val="16"/>
          <w:color w:val="auto"/>
        </w:rPr>
        <w:t>6</w:t>
      </w: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4.5 Notice of Meetings. . . . . . . . . . . . . . . . . . . . . . . . . .</w:t>
      </w:r>
      <w:r>
        <w:rPr>
          <w:sz w:val="20"/>
          <w:szCs w:val="20"/>
          <w:color w:val="auto"/>
        </w:rPr>
        <w:tab/>
      </w:r>
      <w:r>
        <w:rPr>
          <w:rFonts w:ascii="Courier New" w:cs="Courier New" w:eastAsia="Courier New" w:hAnsi="Courier New"/>
          <w:sz w:val="16"/>
          <w:szCs w:val="16"/>
          <w:color w:val="auto"/>
        </w:rPr>
        <w:t>6</w:t>
      </w:r>
    </w:p>
    <w:p>
      <w:pPr>
        <w:ind w:left="200"/>
        <w:spacing w:after="0"/>
        <w:tabs>
          <w:tab w:leader="none" w:pos="1380" w:val="left"/>
          <w:tab w:leader="none" w:pos="7680" w:val="left"/>
        </w:tabs>
        <w:rPr>
          <w:sz w:val="20"/>
          <w:szCs w:val="20"/>
          <w:color w:val="auto"/>
        </w:rPr>
      </w:pPr>
      <w:r>
        <w:rPr>
          <w:rFonts w:ascii="Courier New" w:cs="Courier New" w:eastAsia="Courier New" w:hAnsi="Courier New"/>
          <w:sz w:val="17"/>
          <w:szCs w:val="17"/>
          <w:color w:val="auto"/>
        </w:rPr>
        <w:t>4.6 Quorum</w:t>
        <w:tab/>
        <w:t>. . . . . . . . . . . . . . . . . . . . . . . . . . . . . . .</w:t>
      </w:r>
      <w:r>
        <w:rPr>
          <w:sz w:val="20"/>
          <w:szCs w:val="20"/>
          <w:color w:val="auto"/>
        </w:rPr>
        <w:tab/>
      </w:r>
      <w:r>
        <w:rPr>
          <w:rFonts w:ascii="Courier New" w:cs="Courier New" w:eastAsia="Courier New" w:hAnsi="Courier New"/>
          <w:sz w:val="16"/>
          <w:szCs w:val="16"/>
          <w:color w:val="auto"/>
        </w:rPr>
        <w:t>6</w:t>
      </w: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4.7 Vote Required for Action. . . . . . . . . . . . . . . . . . . . . . .</w:t>
      </w:r>
      <w:r>
        <w:rPr>
          <w:sz w:val="20"/>
          <w:szCs w:val="20"/>
          <w:color w:val="auto"/>
        </w:rPr>
        <w:tab/>
      </w:r>
      <w:r>
        <w:rPr>
          <w:rFonts w:ascii="Courier New" w:cs="Courier New" w:eastAsia="Courier New" w:hAnsi="Courier New"/>
          <w:sz w:val="16"/>
          <w:szCs w:val="16"/>
          <w:color w:val="auto"/>
        </w:rPr>
        <w:t>6</w:t>
      </w: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4.8 Participation by Conference Telephone . . . . . . . . . . . . . . . .</w:t>
      </w:r>
      <w:r>
        <w:rPr>
          <w:sz w:val="20"/>
          <w:szCs w:val="20"/>
          <w:color w:val="auto"/>
        </w:rPr>
        <w:tab/>
      </w:r>
      <w:r>
        <w:rPr>
          <w:rFonts w:ascii="Courier New" w:cs="Courier New" w:eastAsia="Courier New" w:hAnsi="Courier New"/>
          <w:sz w:val="16"/>
          <w:szCs w:val="16"/>
          <w:color w:val="auto"/>
        </w:rPr>
        <w:t>6</w:t>
      </w: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4.9 Action by Directors Without a Meeting . . . . . . . . . . . . . . . .</w:t>
      </w:r>
      <w:r>
        <w:rPr>
          <w:sz w:val="20"/>
          <w:szCs w:val="20"/>
          <w:color w:val="auto"/>
        </w:rPr>
        <w:tab/>
      </w:r>
      <w:r>
        <w:rPr>
          <w:rFonts w:ascii="Courier New" w:cs="Courier New" w:eastAsia="Courier New" w:hAnsi="Courier New"/>
          <w:sz w:val="16"/>
          <w:szCs w:val="16"/>
          <w:color w:val="auto"/>
        </w:rPr>
        <w:t>6</w:t>
      </w: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4.10 Adjournments . . . . . . . . . . . . . . . . . . . . . . . . . . . .</w:t>
      </w:r>
      <w:r>
        <w:rPr>
          <w:sz w:val="20"/>
          <w:szCs w:val="20"/>
          <w:color w:val="auto"/>
        </w:rPr>
        <w:tab/>
      </w:r>
      <w:r>
        <w:rPr>
          <w:rFonts w:ascii="Courier New" w:cs="Courier New" w:eastAsia="Courier New" w:hAnsi="Courier New"/>
          <w:sz w:val="16"/>
          <w:szCs w:val="16"/>
          <w:color w:val="auto"/>
        </w:rPr>
        <w:t>7</w:t>
      </w: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4.11 Waiver of Notice . . . . . . . . . . . . . . . . . . . . . . . . . .</w:t>
      </w:r>
      <w:r>
        <w:rPr>
          <w:sz w:val="20"/>
          <w:szCs w:val="20"/>
          <w:color w:val="auto"/>
        </w:rPr>
        <w:tab/>
      </w:r>
      <w:r>
        <w:rPr>
          <w:rFonts w:ascii="Courier New" w:cs="Courier New" w:eastAsia="Courier New" w:hAnsi="Courier New"/>
          <w:sz w:val="16"/>
          <w:szCs w:val="16"/>
          <w:color w:val="auto"/>
        </w:rPr>
        <w:t>7</w:t>
      </w:r>
    </w:p>
    <w:p>
      <w:pPr>
        <w:spacing w:after="0" w:line="192" w:lineRule="exact"/>
        <w:rPr>
          <w:sz w:val="20"/>
          <w:szCs w:val="20"/>
          <w:color w:val="auto"/>
        </w:rPr>
      </w:pPr>
    </w:p>
    <w:p>
      <w:pPr>
        <w:spacing w:after="0"/>
        <w:tabs>
          <w:tab w:leader="none" w:pos="7680" w:val="left"/>
        </w:tabs>
        <w:rPr>
          <w:sz w:val="20"/>
          <w:szCs w:val="20"/>
          <w:color w:val="auto"/>
        </w:rPr>
      </w:pPr>
      <w:r>
        <w:rPr>
          <w:rFonts w:ascii="Courier New" w:cs="Courier New" w:eastAsia="Courier New" w:hAnsi="Courier New"/>
          <w:sz w:val="17"/>
          <w:szCs w:val="17"/>
          <w:color w:val="auto"/>
        </w:rPr>
        <w:t>ARTICLE FIVE OFFICERS . . . . . . . . . . . . . . . . . . . . . . . . . . .</w:t>
      </w:r>
      <w:r>
        <w:rPr>
          <w:sz w:val="20"/>
          <w:szCs w:val="20"/>
          <w:color w:val="auto"/>
        </w:rPr>
        <w:tab/>
      </w:r>
      <w:r>
        <w:rPr>
          <w:rFonts w:ascii="Courier New" w:cs="Courier New" w:eastAsia="Courier New" w:hAnsi="Courier New"/>
          <w:sz w:val="16"/>
          <w:szCs w:val="16"/>
          <w:color w:val="auto"/>
        </w:rPr>
        <w:t>7</w:t>
      </w:r>
    </w:p>
    <w:p>
      <w:pPr>
        <w:spacing w:after="0" w:line="192" w:lineRule="exact"/>
        <w:rPr>
          <w:sz w:val="20"/>
          <w:szCs w:val="20"/>
          <w:color w:val="auto"/>
        </w:rPr>
      </w:pP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5.1 Officers. . . . . . . . . . . . . . . . . . . . . . . . . . . . . . .</w:t>
      </w:r>
      <w:r>
        <w:rPr>
          <w:sz w:val="20"/>
          <w:szCs w:val="20"/>
          <w:color w:val="auto"/>
        </w:rPr>
        <w:tab/>
      </w:r>
      <w:r>
        <w:rPr>
          <w:rFonts w:ascii="Courier New" w:cs="Courier New" w:eastAsia="Courier New" w:hAnsi="Courier New"/>
          <w:sz w:val="16"/>
          <w:szCs w:val="16"/>
          <w:color w:val="auto"/>
        </w:rPr>
        <w:t>7</w:t>
      </w:r>
    </w:p>
    <w:p>
      <w:pPr>
        <w:ind w:left="200"/>
        <w:spacing w:after="0"/>
        <w:tabs>
          <w:tab w:leader="none" w:pos="1180" w:val="left"/>
          <w:tab w:leader="none" w:pos="7680" w:val="left"/>
        </w:tabs>
        <w:rPr>
          <w:sz w:val="20"/>
          <w:szCs w:val="20"/>
          <w:color w:val="auto"/>
        </w:rPr>
      </w:pPr>
      <w:r>
        <w:rPr>
          <w:rFonts w:ascii="Courier New" w:cs="Courier New" w:eastAsia="Courier New" w:hAnsi="Courier New"/>
          <w:sz w:val="17"/>
          <w:szCs w:val="17"/>
          <w:color w:val="auto"/>
        </w:rPr>
        <w:t>5.2 Term</w:t>
        <w:tab/>
        <w:t>. . . . . . . . . . . . . . . . . . . . . . . . . . . . . . . .</w:t>
      </w:r>
      <w:r>
        <w:rPr>
          <w:sz w:val="20"/>
          <w:szCs w:val="20"/>
          <w:color w:val="auto"/>
        </w:rPr>
        <w:tab/>
      </w:r>
      <w:r>
        <w:rPr>
          <w:rFonts w:ascii="Courier New" w:cs="Courier New" w:eastAsia="Courier New" w:hAnsi="Courier New"/>
          <w:sz w:val="16"/>
          <w:szCs w:val="16"/>
          <w:color w:val="auto"/>
        </w:rPr>
        <w:t>7</w:t>
      </w: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5.3 Compensation. . . . . . . . . . . . . . . . . . . . . . . . . . . . .</w:t>
      </w:r>
      <w:r>
        <w:rPr>
          <w:sz w:val="20"/>
          <w:szCs w:val="20"/>
          <w:color w:val="auto"/>
        </w:rPr>
        <w:tab/>
      </w:r>
      <w:r>
        <w:rPr>
          <w:rFonts w:ascii="Courier New" w:cs="Courier New" w:eastAsia="Courier New" w:hAnsi="Courier New"/>
          <w:sz w:val="16"/>
          <w:szCs w:val="16"/>
          <w:color w:val="auto"/>
        </w:rPr>
        <w:t>8</w:t>
      </w: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5.4 Removal . . . . . . . . . . . . . . . . . . . . . . . . . . . . . . .</w:t>
      </w:r>
      <w:r>
        <w:rPr>
          <w:sz w:val="20"/>
          <w:szCs w:val="20"/>
          <w:color w:val="auto"/>
        </w:rPr>
        <w:tab/>
      </w:r>
      <w:r>
        <w:rPr>
          <w:rFonts w:ascii="Courier New" w:cs="Courier New" w:eastAsia="Courier New" w:hAnsi="Courier New"/>
          <w:sz w:val="16"/>
          <w:szCs w:val="16"/>
          <w:color w:val="auto"/>
        </w:rPr>
        <w:t>8</w:t>
      </w: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5.5 Chairman of the Board . . . . . . . . . . . . . . . . . . . . . . . .</w:t>
      </w:r>
      <w:r>
        <w:rPr>
          <w:sz w:val="20"/>
          <w:szCs w:val="20"/>
          <w:color w:val="auto"/>
        </w:rPr>
        <w:tab/>
      </w:r>
      <w:r>
        <w:rPr>
          <w:rFonts w:ascii="Courier New" w:cs="Courier New" w:eastAsia="Courier New" w:hAnsi="Courier New"/>
          <w:sz w:val="16"/>
          <w:szCs w:val="16"/>
          <w:color w:val="auto"/>
        </w:rPr>
        <w:t>8</w:t>
      </w: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5.6 Chief Executive Officer . . . . . . . . . . . . . . . . . . . . . . .</w:t>
      </w:r>
      <w:r>
        <w:rPr>
          <w:sz w:val="20"/>
          <w:szCs w:val="20"/>
          <w:color w:val="auto"/>
        </w:rPr>
        <w:tab/>
      </w:r>
      <w:r>
        <w:rPr>
          <w:rFonts w:ascii="Courier New" w:cs="Courier New" w:eastAsia="Courier New" w:hAnsi="Courier New"/>
          <w:sz w:val="16"/>
          <w:szCs w:val="16"/>
          <w:color w:val="auto"/>
        </w:rPr>
        <w:t>8</w:t>
      </w: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5.7 President . . . . . . . . . . . . . . . . . . . . . . . . . . . . . .</w:t>
      </w:r>
      <w:r>
        <w:rPr>
          <w:sz w:val="20"/>
          <w:szCs w:val="20"/>
          <w:color w:val="auto"/>
        </w:rPr>
        <w:tab/>
      </w:r>
      <w:r>
        <w:rPr>
          <w:rFonts w:ascii="Courier New" w:cs="Courier New" w:eastAsia="Courier New" w:hAnsi="Courier New"/>
          <w:sz w:val="16"/>
          <w:szCs w:val="16"/>
          <w:color w:val="auto"/>
        </w:rPr>
        <w:t>8</w:t>
      </w: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5.8 Chief Financial Officer . . . . . . . . . . . . . . . . . . . . . . .</w:t>
      </w:r>
      <w:r>
        <w:rPr>
          <w:sz w:val="20"/>
          <w:szCs w:val="20"/>
          <w:color w:val="auto"/>
        </w:rPr>
        <w:tab/>
      </w:r>
      <w:r>
        <w:rPr>
          <w:rFonts w:ascii="Courier New" w:cs="Courier New" w:eastAsia="Courier New" w:hAnsi="Courier New"/>
          <w:sz w:val="16"/>
          <w:szCs w:val="16"/>
          <w:color w:val="auto"/>
        </w:rPr>
        <w:t>8</w:t>
      </w:r>
    </w:p>
    <w:p>
      <w:pPr>
        <w:ind w:left="200"/>
        <w:spacing w:after="0"/>
        <w:tabs>
          <w:tab w:leader="none" w:pos="7680" w:val="left"/>
        </w:tabs>
        <w:rPr>
          <w:sz w:val="20"/>
          <w:szCs w:val="20"/>
          <w:color w:val="auto"/>
        </w:rPr>
      </w:pPr>
      <w:r>
        <w:rPr>
          <w:rFonts w:ascii="Courier New" w:cs="Courier New" w:eastAsia="Courier New" w:hAnsi="Courier New"/>
          <w:sz w:val="17"/>
          <w:szCs w:val="17"/>
          <w:color w:val="auto"/>
        </w:rPr>
        <w:t>5.9 Vice President. . . . . . . . . . . . . . . . . . . . . . . . . . . .</w:t>
      </w:r>
      <w:r>
        <w:rPr>
          <w:sz w:val="20"/>
          <w:szCs w:val="20"/>
          <w:color w:val="auto"/>
        </w:rPr>
        <w:tab/>
      </w:r>
      <w:r>
        <w:rPr>
          <w:rFonts w:ascii="Courier New" w:cs="Courier New" w:eastAsia="Courier New" w:hAnsi="Courier New"/>
          <w:sz w:val="16"/>
          <w:szCs w:val="16"/>
          <w:color w:val="auto"/>
        </w:rPr>
        <w:t>9</w:t>
      </w:r>
    </w:p>
    <w:p>
      <w:pPr>
        <w:ind w:left="200"/>
        <w:spacing w:after="0"/>
        <w:tabs>
          <w:tab w:leader="none" w:pos="1780" w:val="left"/>
          <w:tab w:leader="none" w:pos="7680" w:val="left"/>
        </w:tabs>
        <w:rPr>
          <w:sz w:val="20"/>
          <w:szCs w:val="20"/>
          <w:color w:val="auto"/>
        </w:rPr>
      </w:pPr>
      <w:r>
        <w:rPr>
          <w:rFonts w:ascii="Courier New" w:cs="Courier New" w:eastAsia="Courier New" w:hAnsi="Courier New"/>
          <w:sz w:val="17"/>
          <w:szCs w:val="17"/>
          <w:color w:val="auto"/>
        </w:rPr>
        <w:t>5.10 Secretary</w:t>
        <w:tab/>
        <w:t>. . . . . . . . . . . . . . . . . . . . . . . . . . . . .</w:t>
      </w:r>
      <w:r>
        <w:rPr>
          <w:sz w:val="20"/>
          <w:szCs w:val="20"/>
          <w:color w:val="auto"/>
        </w:rPr>
        <w:tab/>
      </w:r>
      <w:r>
        <w:rPr>
          <w:rFonts w:ascii="Courier New" w:cs="Courier New" w:eastAsia="Courier New" w:hAnsi="Courier New"/>
          <w:sz w:val="16"/>
          <w:szCs w:val="16"/>
          <w:color w:val="auto"/>
        </w:rPr>
        <w:t>9</w:t>
      </w:r>
    </w:p>
    <w:p>
      <w:pPr>
        <w:ind w:left="200"/>
        <w:spacing w:after="0"/>
        <w:tabs>
          <w:tab w:leader="none" w:pos="1780" w:val="left"/>
          <w:tab w:leader="none" w:pos="7680" w:val="left"/>
        </w:tabs>
        <w:rPr>
          <w:sz w:val="20"/>
          <w:szCs w:val="20"/>
          <w:color w:val="auto"/>
        </w:rPr>
      </w:pPr>
      <w:r>
        <w:rPr>
          <w:rFonts w:ascii="Courier New" w:cs="Courier New" w:eastAsia="Courier New" w:hAnsi="Courier New"/>
          <w:sz w:val="17"/>
          <w:szCs w:val="17"/>
          <w:color w:val="auto"/>
        </w:rPr>
        <w:t>5.11 Treasurer</w:t>
        <w:tab/>
        <w:t>. . . . . . . . . . . . . . . . . . . . . . . . . . . . .</w:t>
      </w:r>
      <w:r>
        <w:rPr>
          <w:sz w:val="20"/>
          <w:szCs w:val="20"/>
          <w:color w:val="auto"/>
        </w:rPr>
        <w:tab/>
      </w:r>
      <w:r>
        <w:rPr>
          <w:rFonts w:ascii="Courier New" w:cs="Courier New" w:eastAsia="Courier New" w:hAnsi="Courier New"/>
          <w:sz w:val="16"/>
          <w:szCs w:val="16"/>
          <w:color w:val="auto"/>
        </w:rPr>
        <w:t>9</w:t>
      </w:r>
    </w:p>
    <w:p>
      <w:pPr>
        <w:spacing w:after="0" w:line="192" w:lineRule="exact"/>
        <w:rPr>
          <w:sz w:val="20"/>
          <w:szCs w:val="20"/>
          <w:color w:val="auto"/>
        </w:rPr>
      </w:pPr>
    </w:p>
    <w:p>
      <w:pPr>
        <w:spacing w:after="0"/>
        <w:tabs>
          <w:tab w:leader="none" w:pos="7680" w:val="left"/>
        </w:tabs>
        <w:rPr>
          <w:sz w:val="20"/>
          <w:szCs w:val="20"/>
          <w:color w:val="auto"/>
        </w:rPr>
      </w:pPr>
      <w:r>
        <w:rPr>
          <w:rFonts w:ascii="Courier New" w:cs="Courier New" w:eastAsia="Courier New" w:hAnsi="Courier New"/>
          <w:sz w:val="17"/>
          <w:szCs w:val="17"/>
          <w:color w:val="auto"/>
        </w:rPr>
        <w:t>ARTICLE SIX DISTRIBUTIONS AND DIVIDENDS . . . . . . . . . . . . . . . . . .</w:t>
      </w:r>
      <w:r>
        <w:rPr>
          <w:sz w:val="20"/>
          <w:szCs w:val="20"/>
          <w:color w:val="auto"/>
        </w:rPr>
        <w:tab/>
      </w:r>
      <w:r>
        <w:rPr>
          <w:rFonts w:ascii="Courier New" w:cs="Courier New" w:eastAsia="Courier New" w:hAnsi="Courier New"/>
          <w:sz w:val="16"/>
          <w:szCs w:val="16"/>
          <w:color w:val="auto"/>
        </w:rPr>
        <w:t>9</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SEVEN SHARES. . . . . . . . . . . . . . . . . . . . . . . . . . . . 10</w:t>
      </w:r>
    </w:p>
    <w:p>
      <w:pPr>
        <w:spacing w:after="0" w:line="198" w:lineRule="exact"/>
        <w:rPr>
          <w:sz w:val="20"/>
          <w:szCs w:val="20"/>
          <w:color w:val="auto"/>
        </w:rPr>
      </w:pPr>
    </w:p>
    <w:p>
      <w:pPr>
        <w:ind w:left="200"/>
        <w:spacing w:after="0"/>
        <w:tabs>
          <w:tab w:leader="none" w:pos="7580" w:val="left"/>
        </w:tabs>
        <w:rPr>
          <w:sz w:val="20"/>
          <w:szCs w:val="20"/>
          <w:color w:val="auto"/>
        </w:rPr>
      </w:pPr>
      <w:r>
        <w:rPr>
          <w:rFonts w:ascii="Courier New" w:cs="Courier New" w:eastAsia="Courier New" w:hAnsi="Courier New"/>
          <w:sz w:val="17"/>
          <w:szCs w:val="17"/>
          <w:color w:val="auto"/>
        </w:rPr>
        <w:t>7.1 Share Certificates . . . . . . . . . . . . . . . . . . . . . . . . .</w:t>
      </w:r>
      <w:r>
        <w:rPr>
          <w:sz w:val="20"/>
          <w:szCs w:val="20"/>
          <w:color w:val="auto"/>
        </w:rPr>
        <w:tab/>
      </w:r>
      <w:r>
        <w:rPr>
          <w:rFonts w:ascii="Courier New" w:cs="Courier New" w:eastAsia="Courier New" w:hAnsi="Courier New"/>
          <w:sz w:val="16"/>
          <w:szCs w:val="16"/>
          <w:color w:val="auto"/>
        </w:rPr>
        <w:t>10</w:t>
      </w:r>
    </w:p>
    <w:p>
      <w:pPr>
        <w:ind w:left="200"/>
        <w:spacing w:after="0"/>
        <w:tabs>
          <w:tab w:leader="none" w:pos="6280" w:val="left"/>
          <w:tab w:leader="none" w:pos="7580" w:val="left"/>
        </w:tabs>
        <w:rPr>
          <w:sz w:val="20"/>
          <w:szCs w:val="20"/>
          <w:color w:val="auto"/>
        </w:rPr>
      </w:pPr>
      <w:r>
        <w:rPr>
          <w:rFonts w:ascii="Courier New" w:cs="Courier New" w:eastAsia="Courier New" w:hAnsi="Courier New"/>
          <w:sz w:val="17"/>
          <w:szCs w:val="17"/>
          <w:color w:val="auto"/>
        </w:rPr>
        <w:t>7.2 Rights of Corporation with Respect to Registered Owners</w:t>
        <w:tab/>
        <w:t>. . . . . .</w:t>
      </w:r>
      <w:r>
        <w:rPr>
          <w:sz w:val="20"/>
          <w:szCs w:val="20"/>
          <w:color w:val="auto"/>
        </w:rPr>
        <w:tab/>
      </w:r>
      <w:r>
        <w:rPr>
          <w:rFonts w:ascii="Courier New" w:cs="Courier New" w:eastAsia="Courier New" w:hAnsi="Courier New"/>
          <w:sz w:val="16"/>
          <w:szCs w:val="16"/>
          <w:color w:val="auto"/>
        </w:rPr>
        <w:t>10</w:t>
      </w:r>
    </w:p>
    <w:p>
      <w:pPr>
        <w:ind w:left="200"/>
        <w:spacing w:after="0"/>
        <w:tabs>
          <w:tab w:leader="none" w:pos="2680" w:val="left"/>
          <w:tab w:leader="none" w:pos="7580" w:val="left"/>
        </w:tabs>
        <w:rPr>
          <w:sz w:val="20"/>
          <w:szCs w:val="20"/>
          <w:color w:val="auto"/>
        </w:rPr>
      </w:pPr>
      <w:r>
        <w:rPr>
          <w:rFonts w:ascii="Courier New" w:cs="Courier New" w:eastAsia="Courier New" w:hAnsi="Courier New"/>
          <w:sz w:val="17"/>
          <w:szCs w:val="17"/>
          <w:color w:val="auto"/>
        </w:rPr>
        <w:t>7.3 Transfers of Shares</w:t>
        <w:tab/>
        <w:t>. . . . . . . . . . . . . . . . . . . . . . . .</w:t>
      </w:r>
      <w:r>
        <w:rPr>
          <w:sz w:val="20"/>
          <w:szCs w:val="20"/>
          <w:color w:val="auto"/>
        </w:rPr>
        <w:tab/>
      </w:r>
      <w:r>
        <w:rPr>
          <w:rFonts w:ascii="Courier New" w:cs="Courier New" w:eastAsia="Courier New" w:hAnsi="Courier New"/>
          <w:sz w:val="16"/>
          <w:szCs w:val="16"/>
          <w:color w:val="auto"/>
        </w:rPr>
        <w:t>10</w:t>
      </w:r>
    </w:p>
    <w:p>
      <w:pPr>
        <w:ind w:left="200"/>
        <w:spacing w:after="0"/>
        <w:tabs>
          <w:tab w:leader="none" w:pos="7580" w:val="left"/>
        </w:tabs>
        <w:rPr>
          <w:sz w:val="20"/>
          <w:szCs w:val="20"/>
          <w:color w:val="auto"/>
        </w:rPr>
      </w:pPr>
      <w:r>
        <w:rPr>
          <w:rFonts w:ascii="Courier New" w:cs="Courier New" w:eastAsia="Courier New" w:hAnsi="Courier New"/>
          <w:sz w:val="17"/>
          <w:szCs w:val="17"/>
          <w:color w:val="auto"/>
        </w:rPr>
        <w:t>7.4 Duty of Corporation to Register Transfer . . . . . . . . . . . . . .</w:t>
      </w:r>
      <w:r>
        <w:rPr>
          <w:sz w:val="20"/>
          <w:szCs w:val="20"/>
          <w:color w:val="auto"/>
        </w:rPr>
        <w:tab/>
      </w:r>
      <w:r>
        <w:rPr>
          <w:rFonts w:ascii="Courier New" w:cs="Courier New" w:eastAsia="Courier New" w:hAnsi="Courier New"/>
          <w:sz w:val="16"/>
          <w:szCs w:val="16"/>
          <w:color w:val="auto"/>
        </w:rPr>
        <w:t>10</w:t>
      </w:r>
    </w:p>
    <w:p>
      <w:pPr>
        <w:ind w:left="200"/>
        <w:spacing w:after="0"/>
        <w:tabs>
          <w:tab w:leader="none" w:pos="4680" w:val="left"/>
          <w:tab w:leader="none" w:pos="7580" w:val="left"/>
        </w:tabs>
        <w:rPr>
          <w:sz w:val="20"/>
          <w:szCs w:val="20"/>
          <w:color w:val="auto"/>
        </w:rPr>
      </w:pPr>
      <w:r>
        <w:rPr>
          <w:rFonts w:ascii="Courier New" w:cs="Courier New" w:eastAsia="Courier New" w:hAnsi="Courier New"/>
          <w:sz w:val="17"/>
          <w:szCs w:val="17"/>
          <w:color w:val="auto"/>
        </w:rPr>
        <w:t>7.5 Lost, Stolen, or Destroyed Certificates</w:t>
        <w:tab/>
        <w:t>. . . . . . . . . . . . . .</w:t>
      </w:r>
      <w:r>
        <w:rPr>
          <w:sz w:val="20"/>
          <w:szCs w:val="20"/>
          <w:color w:val="auto"/>
        </w:rPr>
        <w:tab/>
      </w:r>
      <w:r>
        <w:rPr>
          <w:rFonts w:ascii="Courier New" w:cs="Courier New" w:eastAsia="Courier New" w:hAnsi="Courier New"/>
          <w:sz w:val="16"/>
          <w:szCs w:val="16"/>
          <w:color w:val="auto"/>
        </w:rPr>
        <w:t>10</w:t>
      </w:r>
    </w:p>
    <w:p>
      <w:pPr>
        <w:ind w:left="200"/>
        <w:spacing w:after="0"/>
        <w:tabs>
          <w:tab w:leader="none" w:pos="2880" w:val="left"/>
          <w:tab w:leader="none" w:pos="7580" w:val="left"/>
        </w:tabs>
        <w:rPr>
          <w:sz w:val="20"/>
          <w:szCs w:val="20"/>
          <w:color w:val="auto"/>
        </w:rPr>
      </w:pPr>
      <w:r>
        <w:rPr>
          <w:rFonts w:ascii="Courier New" w:cs="Courier New" w:eastAsia="Courier New" w:hAnsi="Courier New"/>
          <w:sz w:val="17"/>
          <w:szCs w:val="17"/>
          <w:color w:val="auto"/>
        </w:rPr>
        <w:t>7.6 Fixing of Record Date</w:t>
        <w:tab/>
        <w:t>. . . . . . . . . . . . . . . . . . . . . . .</w:t>
      </w:r>
      <w:r>
        <w:rPr>
          <w:sz w:val="20"/>
          <w:szCs w:val="20"/>
          <w:color w:val="auto"/>
        </w:rPr>
        <w:tab/>
      </w:r>
      <w:r>
        <w:rPr>
          <w:rFonts w:ascii="Courier New" w:cs="Courier New" w:eastAsia="Courier New" w:hAnsi="Courier New"/>
          <w:sz w:val="16"/>
          <w:szCs w:val="16"/>
          <w:color w:val="auto"/>
        </w:rPr>
        <w:t>11</w:t>
      </w:r>
    </w:p>
    <w:p>
      <w:pPr>
        <w:ind w:left="200"/>
        <w:spacing w:after="0"/>
        <w:tabs>
          <w:tab w:leader="none" w:pos="7580" w:val="left"/>
        </w:tabs>
        <w:rPr>
          <w:sz w:val="20"/>
          <w:szCs w:val="20"/>
          <w:color w:val="auto"/>
        </w:rPr>
      </w:pPr>
      <w:r>
        <w:rPr>
          <w:rFonts w:ascii="Courier New" w:cs="Courier New" w:eastAsia="Courier New" w:hAnsi="Courier New"/>
          <w:sz w:val="17"/>
          <w:szCs w:val="17"/>
          <w:color w:val="auto"/>
        </w:rPr>
        <w:t>7.7 Record Date if None Fixed. . . . . . . . . . . . . . . . . . . . . .</w:t>
      </w:r>
      <w:r>
        <w:rPr>
          <w:sz w:val="20"/>
          <w:szCs w:val="20"/>
          <w:color w:val="auto"/>
        </w:rPr>
        <w:tab/>
      </w:r>
      <w:r>
        <w:rPr>
          <w:rFonts w:ascii="Courier New" w:cs="Courier New" w:eastAsia="Courier New" w:hAnsi="Courier New"/>
          <w:sz w:val="16"/>
          <w:szCs w:val="16"/>
          <w:color w:val="auto"/>
        </w:rPr>
        <w:t>11</w:t>
      </w:r>
    </w:p>
    <w:p>
      <w:pPr>
        <w:spacing w:after="0" w:line="384"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10219"/>
          </w:cols>
          <w:pgMar w:left="240" w:top="1440" w:right="1440" w:bottom="1440" w:gutter="0" w:footer="0" w:header="0"/>
        </w:sectPr>
      </w:pPr>
    </w:p>
    <w:bookmarkStart w:id="204" w:name="page205"/>
    <w:bookmarkEnd w:id="2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664845</wp:posOffset>
            </wp:positionV>
            <wp:extent cx="7258050"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6"/>
          <w:szCs w:val="16"/>
          <w:color w:val="auto"/>
        </w:rPr>
        <w:t>ARTICLE EIGHT INDEMNIFICATION . . . . . . . . . . . . . . . . . . . . . . . 11</w:t>
      </w:r>
    </w:p>
    <w:p>
      <w:pPr>
        <w:spacing w:after="0" w:line="198" w:lineRule="exact"/>
        <w:rPr>
          <w:sz w:val="20"/>
          <w:szCs w:val="20"/>
          <w:color w:val="auto"/>
        </w:rPr>
      </w:pPr>
    </w:p>
    <w:p>
      <w:pPr>
        <w:ind w:left="200"/>
        <w:spacing w:after="0"/>
        <w:tabs>
          <w:tab w:leader="none" w:pos="7580" w:val="left"/>
        </w:tabs>
        <w:rPr>
          <w:sz w:val="20"/>
          <w:szCs w:val="20"/>
          <w:color w:val="auto"/>
        </w:rPr>
      </w:pPr>
      <w:r>
        <w:rPr>
          <w:rFonts w:ascii="Courier New" w:cs="Courier New" w:eastAsia="Courier New" w:hAnsi="Courier New"/>
          <w:sz w:val="17"/>
          <w:szCs w:val="17"/>
          <w:color w:val="auto"/>
        </w:rPr>
        <w:t>8.1 Action by Persons other than the Corporation . . . . . . . . . . . .</w:t>
      </w:r>
      <w:r>
        <w:rPr>
          <w:sz w:val="20"/>
          <w:szCs w:val="20"/>
          <w:color w:val="auto"/>
        </w:rPr>
        <w:tab/>
      </w:r>
      <w:r>
        <w:rPr>
          <w:rFonts w:ascii="Courier New" w:cs="Courier New" w:eastAsia="Courier New" w:hAnsi="Courier New"/>
          <w:sz w:val="16"/>
          <w:szCs w:val="16"/>
          <w:color w:val="auto"/>
        </w:rPr>
        <w:t>11</w:t>
      </w:r>
    </w:p>
    <w:p>
      <w:pPr>
        <w:ind w:left="200"/>
        <w:spacing w:after="0"/>
        <w:tabs>
          <w:tab w:leader="none" w:pos="7580" w:val="left"/>
        </w:tabs>
        <w:rPr>
          <w:sz w:val="20"/>
          <w:szCs w:val="20"/>
          <w:color w:val="auto"/>
        </w:rPr>
      </w:pPr>
      <w:r>
        <w:rPr>
          <w:rFonts w:ascii="Courier New" w:cs="Courier New" w:eastAsia="Courier New" w:hAnsi="Courier New"/>
          <w:sz w:val="17"/>
          <w:szCs w:val="17"/>
          <w:color w:val="auto"/>
        </w:rPr>
        <w:t>8.2 Actions By or in the Name of the Corporation . . . . . . . . . . . .</w:t>
      </w:r>
      <w:r>
        <w:rPr>
          <w:sz w:val="20"/>
          <w:szCs w:val="20"/>
          <w:color w:val="auto"/>
        </w:rPr>
        <w:tab/>
      </w:r>
      <w:r>
        <w:rPr>
          <w:rFonts w:ascii="Courier New" w:cs="Courier New" w:eastAsia="Courier New" w:hAnsi="Courier New"/>
          <w:sz w:val="16"/>
          <w:szCs w:val="16"/>
          <w:color w:val="auto"/>
        </w:rPr>
        <w:t>11</w:t>
      </w:r>
    </w:p>
    <w:p>
      <w:pPr>
        <w:ind w:left="200"/>
        <w:spacing w:after="0"/>
        <w:tabs>
          <w:tab w:leader="none" w:pos="7580" w:val="left"/>
        </w:tabs>
        <w:rPr>
          <w:sz w:val="20"/>
          <w:szCs w:val="20"/>
          <w:color w:val="auto"/>
        </w:rPr>
      </w:pPr>
      <w:r>
        <w:rPr>
          <w:rFonts w:ascii="Courier New" w:cs="Courier New" w:eastAsia="Courier New" w:hAnsi="Courier New"/>
          <w:sz w:val="17"/>
          <w:szCs w:val="17"/>
          <w:color w:val="auto"/>
        </w:rPr>
        <w:t>8.3 Successful Defense . . . . . . . . . . . . . . . . . . . . . . . . .</w:t>
      </w:r>
      <w:r>
        <w:rPr>
          <w:sz w:val="20"/>
          <w:szCs w:val="20"/>
          <w:color w:val="auto"/>
        </w:rPr>
        <w:tab/>
      </w:r>
      <w:r>
        <w:rPr>
          <w:rFonts w:ascii="Courier New" w:cs="Courier New" w:eastAsia="Courier New" w:hAnsi="Courier New"/>
          <w:sz w:val="16"/>
          <w:szCs w:val="16"/>
          <w:color w:val="auto"/>
        </w:rPr>
        <w:t>12</w:t>
      </w:r>
    </w:p>
    <w:p>
      <w:pPr>
        <w:ind w:left="200"/>
        <w:spacing w:after="0"/>
        <w:tabs>
          <w:tab w:leader="none" w:pos="7580" w:val="left"/>
        </w:tabs>
        <w:rPr>
          <w:sz w:val="20"/>
          <w:szCs w:val="20"/>
          <w:color w:val="auto"/>
        </w:rPr>
      </w:pPr>
      <w:r>
        <w:rPr>
          <w:rFonts w:ascii="Courier New" w:cs="Courier New" w:eastAsia="Courier New" w:hAnsi="Courier New"/>
          <w:sz w:val="17"/>
          <w:szCs w:val="17"/>
          <w:color w:val="auto"/>
        </w:rPr>
        <w:t>8.4 Authorization of Indemnification . . . . . . . . . . . . . . . . . .</w:t>
      </w:r>
      <w:r>
        <w:rPr>
          <w:sz w:val="20"/>
          <w:szCs w:val="20"/>
          <w:color w:val="auto"/>
        </w:rPr>
        <w:tab/>
      </w:r>
      <w:r>
        <w:rPr>
          <w:rFonts w:ascii="Courier New" w:cs="Courier New" w:eastAsia="Courier New" w:hAnsi="Courier New"/>
          <w:sz w:val="16"/>
          <w:szCs w:val="16"/>
          <w:color w:val="auto"/>
        </w:rPr>
        <w:t>12</w:t>
      </w:r>
    </w:p>
    <w:p>
      <w:pPr>
        <w:ind w:left="200"/>
        <w:spacing w:after="0"/>
        <w:tabs>
          <w:tab w:leader="none" w:pos="7580" w:val="left"/>
        </w:tabs>
        <w:rPr>
          <w:sz w:val="20"/>
          <w:szCs w:val="20"/>
          <w:color w:val="auto"/>
        </w:rPr>
      </w:pPr>
      <w:r>
        <w:rPr>
          <w:rFonts w:ascii="Courier New" w:cs="Courier New" w:eastAsia="Courier New" w:hAnsi="Courier New"/>
          <w:sz w:val="17"/>
          <w:szCs w:val="17"/>
          <w:color w:val="auto"/>
        </w:rPr>
        <w:t>8.5 Prepayment of Expenses . . . . . . . . . . . . . . . . . . . . . . .</w:t>
      </w:r>
      <w:r>
        <w:rPr>
          <w:sz w:val="20"/>
          <w:szCs w:val="20"/>
          <w:color w:val="auto"/>
        </w:rPr>
        <w:tab/>
      </w:r>
      <w:r>
        <w:rPr>
          <w:rFonts w:ascii="Courier New" w:cs="Courier New" w:eastAsia="Courier New" w:hAnsi="Courier New"/>
          <w:sz w:val="16"/>
          <w:szCs w:val="16"/>
          <w:color w:val="auto"/>
        </w:rPr>
        <w:t>12</w:t>
      </w:r>
    </w:p>
    <w:p>
      <w:pPr>
        <w:ind w:left="200"/>
        <w:spacing w:after="0"/>
        <w:tabs>
          <w:tab w:leader="none" w:pos="2680" w:val="left"/>
          <w:tab w:leader="none" w:pos="7580" w:val="left"/>
        </w:tabs>
        <w:rPr>
          <w:sz w:val="20"/>
          <w:szCs w:val="20"/>
          <w:color w:val="auto"/>
        </w:rPr>
      </w:pPr>
      <w:r>
        <w:rPr>
          <w:rFonts w:ascii="Courier New" w:cs="Courier New" w:eastAsia="Courier New" w:hAnsi="Courier New"/>
          <w:sz w:val="17"/>
          <w:szCs w:val="17"/>
          <w:color w:val="auto"/>
        </w:rPr>
        <w:t>8.6 Non-Exclusive Right</w:t>
        <w:tab/>
        <w:t>. . . . . . . . . . . . . . . . . . . . . . . .</w:t>
      </w:r>
      <w:r>
        <w:rPr>
          <w:sz w:val="20"/>
          <w:szCs w:val="20"/>
          <w:color w:val="auto"/>
        </w:rPr>
        <w:tab/>
      </w:r>
      <w:r>
        <w:rPr>
          <w:rFonts w:ascii="Courier New" w:cs="Courier New" w:eastAsia="Courier New" w:hAnsi="Courier New"/>
          <w:sz w:val="16"/>
          <w:szCs w:val="16"/>
          <w:color w:val="auto"/>
        </w:rPr>
        <w:t>12</w:t>
      </w:r>
    </w:p>
    <w:p>
      <w:pPr>
        <w:ind w:left="200"/>
        <w:spacing w:after="0"/>
        <w:tabs>
          <w:tab w:leader="none" w:pos="1680" w:val="left"/>
          <w:tab w:leader="none" w:pos="7580" w:val="left"/>
        </w:tabs>
        <w:rPr>
          <w:sz w:val="20"/>
          <w:szCs w:val="20"/>
          <w:color w:val="auto"/>
        </w:rPr>
      </w:pPr>
      <w:r>
        <w:rPr>
          <w:rFonts w:ascii="Courier New" w:cs="Courier New" w:eastAsia="Courier New" w:hAnsi="Courier New"/>
          <w:sz w:val="17"/>
          <w:szCs w:val="17"/>
          <w:color w:val="auto"/>
        </w:rPr>
        <w:t>8.7 Insurance</w:t>
        <w:tab/>
        <w:t>. . . . . . . . . . . . . . . . . . . . . . . . . . . . .</w:t>
      </w:r>
      <w:r>
        <w:rPr>
          <w:sz w:val="20"/>
          <w:szCs w:val="20"/>
          <w:color w:val="auto"/>
        </w:rPr>
        <w:tab/>
      </w:r>
      <w:r>
        <w:rPr>
          <w:rFonts w:ascii="Courier New" w:cs="Courier New" w:eastAsia="Courier New" w:hAnsi="Courier New"/>
          <w:sz w:val="16"/>
          <w:szCs w:val="16"/>
          <w:color w:val="auto"/>
        </w:rPr>
        <w:t>12</w:t>
      </w:r>
    </w:p>
    <w:p>
      <w:pPr>
        <w:ind w:left="200"/>
        <w:spacing w:after="0"/>
        <w:tabs>
          <w:tab w:leader="none" w:pos="7580" w:val="left"/>
        </w:tabs>
        <w:rPr>
          <w:sz w:val="20"/>
          <w:szCs w:val="20"/>
          <w:color w:val="auto"/>
        </w:rPr>
      </w:pPr>
      <w:r>
        <w:rPr>
          <w:rFonts w:ascii="Courier New" w:cs="Courier New" w:eastAsia="Courier New" w:hAnsi="Courier New"/>
          <w:sz w:val="17"/>
          <w:szCs w:val="17"/>
          <w:color w:val="auto"/>
        </w:rPr>
        <w:t>8.8 Constituent Corporations to Merger . . . . . . . . . . . . . . . . .</w:t>
      </w:r>
      <w:r>
        <w:rPr>
          <w:sz w:val="20"/>
          <w:szCs w:val="20"/>
          <w:color w:val="auto"/>
        </w:rPr>
        <w:tab/>
      </w:r>
      <w:r>
        <w:rPr>
          <w:rFonts w:ascii="Courier New" w:cs="Courier New" w:eastAsia="Courier New" w:hAnsi="Courier New"/>
          <w:sz w:val="16"/>
          <w:szCs w:val="16"/>
          <w:color w:val="auto"/>
        </w:rPr>
        <w:t>13</w:t>
      </w:r>
    </w:p>
    <w:p>
      <w:pPr>
        <w:ind w:left="200"/>
        <w:spacing w:after="0"/>
        <w:tabs>
          <w:tab w:leader="none" w:pos="1880" w:val="left"/>
          <w:tab w:leader="none" w:pos="7580" w:val="left"/>
        </w:tabs>
        <w:rPr>
          <w:sz w:val="20"/>
          <w:szCs w:val="20"/>
          <w:color w:val="auto"/>
        </w:rPr>
      </w:pPr>
      <w:r>
        <w:rPr>
          <w:rFonts w:ascii="Courier New" w:cs="Courier New" w:eastAsia="Courier New" w:hAnsi="Courier New"/>
          <w:sz w:val="17"/>
          <w:szCs w:val="17"/>
          <w:color w:val="auto"/>
        </w:rPr>
        <w:t>8.9 Definitions</w:t>
        <w:tab/>
        <w:t>. . . . . . . . . . . . . . . . . . . . . . . . . . . .</w:t>
      </w:r>
      <w:r>
        <w:rPr>
          <w:sz w:val="20"/>
          <w:szCs w:val="20"/>
          <w:color w:val="auto"/>
        </w:rPr>
        <w:tab/>
      </w:r>
      <w:r>
        <w:rPr>
          <w:rFonts w:ascii="Courier New" w:cs="Courier New" w:eastAsia="Courier New" w:hAnsi="Courier New"/>
          <w:sz w:val="16"/>
          <w:szCs w:val="16"/>
          <w:color w:val="auto"/>
        </w:rPr>
        <w:t>13</w:t>
      </w:r>
    </w:p>
    <w:p>
      <w:pPr>
        <w:ind w:left="200"/>
        <w:spacing w:after="0"/>
        <w:tabs>
          <w:tab w:leader="none" w:pos="7580" w:val="left"/>
        </w:tabs>
        <w:rPr>
          <w:sz w:val="20"/>
          <w:szCs w:val="20"/>
          <w:color w:val="auto"/>
        </w:rPr>
      </w:pPr>
      <w:r>
        <w:rPr>
          <w:rFonts w:ascii="Courier New" w:cs="Courier New" w:eastAsia="Courier New" w:hAnsi="Courier New"/>
          <w:sz w:val="17"/>
          <w:szCs w:val="17"/>
          <w:color w:val="auto"/>
        </w:rPr>
        <w:t>8.10 Continuation of Indemnification . . . . . . . . . . . . . . . . . .</w:t>
      </w:r>
      <w:r>
        <w:rPr>
          <w:sz w:val="20"/>
          <w:szCs w:val="20"/>
          <w:color w:val="auto"/>
        </w:rPr>
        <w:tab/>
      </w:r>
      <w:r>
        <w:rPr>
          <w:rFonts w:ascii="Courier New" w:cs="Courier New" w:eastAsia="Courier New" w:hAnsi="Courier New"/>
          <w:sz w:val="16"/>
          <w:szCs w:val="16"/>
          <w:color w:val="auto"/>
        </w:rPr>
        <w:t>13</w:t>
      </w:r>
    </w:p>
    <w:p>
      <w:pPr>
        <w:ind w:left="200"/>
        <w:spacing w:after="0"/>
        <w:tabs>
          <w:tab w:leader="none" w:pos="2280" w:val="left"/>
          <w:tab w:leader="none" w:pos="7580" w:val="left"/>
        </w:tabs>
        <w:rPr>
          <w:sz w:val="20"/>
          <w:szCs w:val="20"/>
          <w:color w:val="auto"/>
        </w:rPr>
      </w:pPr>
      <w:r>
        <w:rPr>
          <w:rFonts w:ascii="Courier New" w:cs="Courier New" w:eastAsia="Courier New" w:hAnsi="Courier New"/>
          <w:sz w:val="17"/>
          <w:szCs w:val="17"/>
          <w:color w:val="auto"/>
        </w:rPr>
        <w:t>8.11 Changes in Law</w:t>
        <w:tab/>
        <w:t>. . . . . . . . . . . . . . . . . . . . . . . . . .</w:t>
      </w:r>
      <w:r>
        <w:rPr>
          <w:sz w:val="20"/>
          <w:szCs w:val="20"/>
          <w:color w:val="auto"/>
        </w:rPr>
        <w:tab/>
      </w:r>
      <w:r>
        <w:rPr>
          <w:rFonts w:ascii="Courier New" w:cs="Courier New" w:eastAsia="Courier New" w:hAnsi="Courier New"/>
          <w:sz w:val="16"/>
          <w:szCs w:val="16"/>
          <w:color w:val="auto"/>
        </w:rPr>
        <w:t>13</w:t>
      </w:r>
    </w:p>
    <w:p>
      <w:pPr>
        <w:ind w:left="200"/>
        <w:spacing w:after="0"/>
        <w:tabs>
          <w:tab w:leader="none" w:pos="7580" w:val="left"/>
        </w:tabs>
        <w:rPr>
          <w:sz w:val="20"/>
          <w:szCs w:val="20"/>
          <w:color w:val="auto"/>
        </w:rPr>
      </w:pPr>
      <w:r>
        <w:rPr>
          <w:rFonts w:ascii="Courier New" w:cs="Courier New" w:eastAsia="Courier New" w:hAnsi="Courier New"/>
          <w:sz w:val="17"/>
          <w:szCs w:val="17"/>
          <w:color w:val="auto"/>
        </w:rPr>
        <w:t>8.12 Other Permitted Indemnification . . . . . . . . . . . . . . . . . .</w:t>
      </w:r>
      <w:r>
        <w:rPr>
          <w:sz w:val="20"/>
          <w:szCs w:val="20"/>
          <w:color w:val="auto"/>
        </w:rPr>
        <w:tab/>
      </w:r>
      <w:r>
        <w:rPr>
          <w:rFonts w:ascii="Courier New" w:cs="Courier New" w:eastAsia="Courier New" w:hAnsi="Courier New"/>
          <w:sz w:val="16"/>
          <w:szCs w:val="16"/>
          <w:color w:val="auto"/>
        </w:rPr>
        <w:t>13</w:t>
      </w:r>
    </w:p>
    <w:p>
      <w:pPr>
        <w:ind w:left="200"/>
        <w:spacing w:after="0"/>
        <w:tabs>
          <w:tab w:leader="none" w:pos="7580" w:val="left"/>
        </w:tabs>
        <w:rPr>
          <w:sz w:val="20"/>
          <w:szCs w:val="20"/>
          <w:color w:val="auto"/>
        </w:rPr>
      </w:pPr>
      <w:r>
        <w:rPr>
          <w:rFonts w:ascii="Courier New" w:cs="Courier New" w:eastAsia="Courier New" w:hAnsi="Courier New"/>
          <w:sz w:val="17"/>
          <w:szCs w:val="17"/>
          <w:color w:val="auto"/>
        </w:rPr>
        <w:t>8.13 Amendment . . . . . . . . . . . . . . . . . . . . . . . . . . . . .</w:t>
      </w:r>
      <w:r>
        <w:rPr>
          <w:sz w:val="20"/>
          <w:szCs w:val="20"/>
          <w:color w:val="auto"/>
        </w:rPr>
        <w:tab/>
      </w:r>
      <w:r>
        <w:rPr>
          <w:rFonts w:ascii="Courier New" w:cs="Courier New" w:eastAsia="Courier New" w:hAnsi="Courier New"/>
          <w:sz w:val="16"/>
          <w:szCs w:val="16"/>
          <w:color w:val="auto"/>
        </w:rPr>
        <w:t>14</w:t>
      </w:r>
    </w:p>
    <w:p>
      <w:pPr>
        <w:ind w:left="200"/>
        <w:spacing w:after="0"/>
        <w:tabs>
          <w:tab w:leader="none" w:pos="2080" w:val="left"/>
          <w:tab w:leader="none" w:pos="7580" w:val="left"/>
        </w:tabs>
        <w:rPr>
          <w:sz w:val="20"/>
          <w:szCs w:val="20"/>
          <w:color w:val="auto"/>
        </w:rPr>
      </w:pPr>
      <w:r>
        <w:rPr>
          <w:rFonts w:ascii="Courier New" w:cs="Courier New" w:eastAsia="Courier New" w:hAnsi="Courier New"/>
          <w:sz w:val="17"/>
          <w:szCs w:val="17"/>
          <w:color w:val="auto"/>
        </w:rPr>
        <w:t>8.14 Severability</w:t>
        <w:tab/>
        <w:t>. . . . . . . . . . . . . . . . . . . . . . . . . . .</w:t>
      </w:r>
      <w:r>
        <w:rPr>
          <w:sz w:val="20"/>
          <w:szCs w:val="20"/>
          <w:color w:val="auto"/>
        </w:rPr>
        <w:tab/>
      </w:r>
      <w:r>
        <w:rPr>
          <w:rFonts w:ascii="Courier New" w:cs="Courier New" w:eastAsia="Courier New" w:hAnsi="Courier New"/>
          <w:sz w:val="16"/>
          <w:szCs w:val="16"/>
          <w:color w:val="auto"/>
        </w:rPr>
        <w:t>14</w:t>
      </w:r>
    </w:p>
    <w:p>
      <w:pPr>
        <w:spacing w:after="0" w:line="191"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7"/>
          <w:szCs w:val="17"/>
          <w:color w:val="auto"/>
        </w:rPr>
        <w:t>ARTICLE NINE MISCELLANEOUS</w:t>
      </w:r>
      <w:r>
        <w:rPr>
          <w:sz w:val="20"/>
          <w:szCs w:val="20"/>
          <w:color w:val="auto"/>
        </w:rPr>
        <w:tab/>
      </w:r>
      <w:r>
        <w:rPr>
          <w:rFonts w:ascii="Courier New" w:cs="Courier New" w:eastAsia="Courier New" w:hAnsi="Courier New"/>
          <w:sz w:val="16"/>
          <w:szCs w:val="16"/>
          <w:color w:val="auto"/>
        </w:rPr>
        <w:t>. . . . . . . . . . . . . . . . . . . . . . . . 15</w:t>
      </w:r>
    </w:p>
    <w:p>
      <w:pPr>
        <w:spacing w:after="0" w:line="192" w:lineRule="exact"/>
        <w:rPr>
          <w:sz w:val="20"/>
          <w:szCs w:val="20"/>
          <w:color w:val="auto"/>
        </w:rPr>
      </w:pPr>
    </w:p>
    <w:p>
      <w:pPr>
        <w:ind w:left="200"/>
        <w:spacing w:after="0"/>
        <w:tabs>
          <w:tab w:leader="none" w:pos="7580" w:val="left"/>
        </w:tabs>
        <w:rPr>
          <w:sz w:val="20"/>
          <w:szCs w:val="20"/>
          <w:color w:val="auto"/>
        </w:rPr>
      </w:pPr>
      <w:r>
        <w:rPr>
          <w:rFonts w:ascii="Courier New" w:cs="Courier New" w:eastAsia="Courier New" w:hAnsi="Courier New"/>
          <w:sz w:val="17"/>
          <w:szCs w:val="17"/>
          <w:color w:val="auto"/>
        </w:rPr>
        <w:t>9.1 Inspection of Books and Records. . . . . . . . . . . . . . . . . . .</w:t>
      </w:r>
      <w:r>
        <w:rPr>
          <w:sz w:val="20"/>
          <w:szCs w:val="20"/>
          <w:color w:val="auto"/>
        </w:rPr>
        <w:tab/>
      </w:r>
      <w:r>
        <w:rPr>
          <w:rFonts w:ascii="Courier New" w:cs="Courier New" w:eastAsia="Courier New" w:hAnsi="Courier New"/>
          <w:sz w:val="16"/>
          <w:szCs w:val="16"/>
          <w:color w:val="auto"/>
        </w:rPr>
        <w:t>15</w:t>
      </w:r>
    </w:p>
    <w:p>
      <w:pPr>
        <w:ind w:left="200"/>
        <w:spacing w:after="0"/>
        <w:tabs>
          <w:tab w:leader="none" w:pos="1880" w:val="left"/>
          <w:tab w:leader="none" w:pos="7580" w:val="left"/>
        </w:tabs>
        <w:rPr>
          <w:sz w:val="20"/>
          <w:szCs w:val="20"/>
          <w:color w:val="auto"/>
        </w:rPr>
      </w:pPr>
      <w:r>
        <w:rPr>
          <w:rFonts w:ascii="Courier New" w:cs="Courier New" w:eastAsia="Courier New" w:hAnsi="Courier New"/>
          <w:sz w:val="17"/>
          <w:szCs w:val="17"/>
          <w:color w:val="auto"/>
        </w:rPr>
        <w:t>9.2 Fiscal Year</w:t>
        <w:tab/>
        <w:t>. . . . . . . . . . . . . . . . . . . . . . . . . . . .</w:t>
      </w:r>
      <w:r>
        <w:rPr>
          <w:sz w:val="20"/>
          <w:szCs w:val="20"/>
          <w:color w:val="auto"/>
        </w:rPr>
        <w:tab/>
      </w:r>
      <w:r>
        <w:rPr>
          <w:rFonts w:ascii="Courier New" w:cs="Courier New" w:eastAsia="Courier New" w:hAnsi="Courier New"/>
          <w:sz w:val="16"/>
          <w:szCs w:val="16"/>
          <w:color w:val="auto"/>
        </w:rPr>
        <w:t>15</w:t>
      </w:r>
    </w:p>
    <w:p>
      <w:pPr>
        <w:ind w:left="200"/>
        <w:spacing w:after="0"/>
        <w:tabs>
          <w:tab w:leader="none" w:pos="7580" w:val="left"/>
        </w:tabs>
        <w:rPr>
          <w:sz w:val="20"/>
          <w:szCs w:val="20"/>
          <w:color w:val="auto"/>
        </w:rPr>
      </w:pPr>
      <w:r>
        <w:rPr>
          <w:rFonts w:ascii="Courier New" w:cs="Courier New" w:eastAsia="Courier New" w:hAnsi="Courier New"/>
          <w:sz w:val="17"/>
          <w:szCs w:val="17"/>
          <w:color w:val="auto"/>
        </w:rPr>
        <w:t>9.3 Corporate Seal . . . . . . . . . . . . . . . . . . . . . . . . . . .</w:t>
      </w:r>
      <w:r>
        <w:rPr>
          <w:sz w:val="20"/>
          <w:szCs w:val="20"/>
          <w:color w:val="auto"/>
        </w:rPr>
        <w:tab/>
      </w:r>
      <w:r>
        <w:rPr>
          <w:rFonts w:ascii="Courier New" w:cs="Courier New" w:eastAsia="Courier New" w:hAnsi="Courier New"/>
          <w:sz w:val="16"/>
          <w:szCs w:val="16"/>
          <w:color w:val="auto"/>
        </w:rPr>
        <w:t>15</w:t>
      </w:r>
    </w:p>
    <w:p>
      <w:pPr>
        <w:ind w:left="200"/>
        <w:spacing w:after="0"/>
        <w:tabs>
          <w:tab w:leader="none" w:pos="7580" w:val="left"/>
        </w:tabs>
        <w:rPr>
          <w:sz w:val="20"/>
          <w:szCs w:val="20"/>
          <w:color w:val="auto"/>
        </w:rPr>
      </w:pPr>
      <w:r>
        <w:rPr>
          <w:rFonts w:ascii="Courier New" w:cs="Courier New" w:eastAsia="Courier New" w:hAnsi="Courier New"/>
          <w:sz w:val="17"/>
          <w:szCs w:val="17"/>
          <w:color w:val="auto"/>
        </w:rPr>
        <w:t>9.4 Notice . . . . . . . . . . . . . . . . . . . . . . . . . . . . . . .</w:t>
      </w:r>
      <w:r>
        <w:rPr>
          <w:sz w:val="20"/>
          <w:szCs w:val="20"/>
          <w:color w:val="auto"/>
        </w:rPr>
        <w:tab/>
      </w:r>
      <w:r>
        <w:rPr>
          <w:rFonts w:ascii="Courier New" w:cs="Courier New" w:eastAsia="Courier New" w:hAnsi="Courier New"/>
          <w:sz w:val="16"/>
          <w:szCs w:val="16"/>
          <w:color w:val="auto"/>
        </w:rPr>
        <w:t>15</w:t>
      </w:r>
    </w:p>
    <w:p>
      <w:pPr>
        <w:spacing w:after="0" w:line="191" w:lineRule="exact"/>
        <w:rPr>
          <w:sz w:val="20"/>
          <w:szCs w:val="20"/>
          <w:color w:val="auto"/>
        </w:rPr>
      </w:pPr>
    </w:p>
    <w:p>
      <w:pPr>
        <w:spacing w:after="0"/>
        <w:tabs>
          <w:tab w:leader="none" w:pos="2380" w:val="left"/>
        </w:tabs>
        <w:rPr>
          <w:sz w:val="20"/>
          <w:szCs w:val="20"/>
          <w:color w:val="auto"/>
        </w:rPr>
      </w:pPr>
      <w:r>
        <w:rPr>
          <w:rFonts w:ascii="Courier New" w:cs="Courier New" w:eastAsia="Courier New" w:hAnsi="Courier New"/>
          <w:sz w:val="17"/>
          <w:szCs w:val="17"/>
          <w:color w:val="auto"/>
        </w:rPr>
        <w:t>ARTICLE TEN AMENDMENTS</w:t>
      </w:r>
      <w:r>
        <w:rPr>
          <w:sz w:val="20"/>
          <w:szCs w:val="20"/>
          <w:color w:val="auto"/>
        </w:rPr>
        <w:tab/>
      </w:r>
      <w:r>
        <w:rPr>
          <w:rFonts w:ascii="Courier New" w:cs="Courier New" w:eastAsia="Courier New" w:hAnsi="Courier New"/>
          <w:sz w:val="16"/>
          <w:szCs w:val="16"/>
          <w:color w:val="auto"/>
        </w:rPr>
        <w:t>. . . . . . . . . . . . . . . . . . . . . . . . . . 16</w:t>
      </w:r>
    </w:p>
    <w:p>
      <w:pPr>
        <w:spacing w:after="0" w:line="384"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iii</w:t>
      </w:r>
    </w:p>
    <w:p>
      <w:pPr>
        <w:sectPr>
          <w:pgSz w:w="11900" w:h="16838" w:orient="portrait"/>
          <w:cols w:equalWidth="0" w:num="1">
            <w:col w:w="10219"/>
          </w:cols>
          <w:pgMar w:left="240" w:top="1440" w:right="1440" w:bottom="1440" w:gutter="0" w:footer="0" w:header="0"/>
        </w:sectPr>
      </w:pPr>
    </w:p>
    <w:bookmarkStart w:id="205" w:name="page206"/>
    <w:bookmarkEnd w:id="2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664210</wp:posOffset>
            </wp:positionV>
            <wp:extent cx="7258050"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AMENDED AND RESTATED BYLAWS</w:t>
      </w:r>
    </w:p>
    <w:p>
      <w:pPr>
        <w:spacing w:after="0" w:line="192"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7"/>
          <w:szCs w:val="17"/>
          <w:color w:val="auto"/>
        </w:rPr>
        <w:t>OF</w:t>
      </w:r>
    </w:p>
    <w:p>
      <w:pPr>
        <w:spacing w:after="0" w:line="192"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7"/>
          <w:szCs w:val="17"/>
          <w:color w:val="auto"/>
        </w:rPr>
        <w:t>UNITED COMMUNITY BANKS, INC.</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03" w:lineRule="exact"/>
        <w:rPr>
          <w:sz w:val="20"/>
          <w:szCs w:val="20"/>
          <w:color w:val="auto"/>
        </w:rPr>
      </w:pPr>
    </w:p>
    <w:p>
      <w:pPr>
        <w:ind w:right="2419" w:firstLine="600"/>
        <w:spacing w:after="0" w:line="237" w:lineRule="auto"/>
        <w:rPr>
          <w:sz w:val="20"/>
          <w:szCs w:val="20"/>
          <w:color w:val="auto"/>
        </w:rPr>
      </w:pPr>
      <w:r>
        <w:rPr>
          <w:rFonts w:ascii="Courier New" w:cs="Courier New" w:eastAsia="Courier New" w:hAnsi="Courier New"/>
          <w:sz w:val="17"/>
          <w:szCs w:val="17"/>
          <w:color w:val="auto"/>
        </w:rPr>
        <w:t>References in these Amended and Restated Bylaws to "Articles of Incorporation" are to the Articles of Incorporation of United Community Banks, Inc., a Georgia corporation (the "Corporation"), as amended and restated from time to time.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All of these</w:t>
            </w:r>
          </w:p>
        </w:tc>
        <w:tc>
          <w:tcPr>
            <w:tcW w:w="430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8"/>
              </w:rPr>
              <w:t>Amended and Restated Bylaws are subject to</w:t>
            </w:r>
          </w:p>
        </w:tc>
        <w:tc>
          <w:tcPr>
            <w:tcW w:w="1540" w:type="dxa"/>
            <w:vAlign w:val="bottom"/>
          </w:tcPr>
          <w:p>
            <w:pPr>
              <w:ind w:left="40"/>
              <w:spacing w:after="0"/>
              <w:rPr>
                <w:sz w:val="20"/>
                <w:szCs w:val="20"/>
                <w:color w:val="auto"/>
              </w:rPr>
            </w:pPr>
            <w:r>
              <w:rPr>
                <w:rFonts w:ascii="Courier New" w:cs="Courier New" w:eastAsia="Courier New" w:hAnsi="Courier New"/>
                <w:sz w:val="17"/>
                <w:szCs w:val="17"/>
                <w:color w:val="auto"/>
              </w:rPr>
              <w:t>contrary</w:t>
            </w:r>
          </w:p>
        </w:tc>
      </w:tr>
      <w:tr>
        <w:trPr>
          <w:trHeight w:val="192"/>
        </w:trPr>
        <w:tc>
          <w:tcPr>
            <w:tcW w:w="1160" w:type="dxa"/>
            <w:vAlign w:val="bottom"/>
          </w:tcPr>
          <w:p>
            <w:pPr>
              <w:spacing w:after="0"/>
              <w:rPr>
                <w:sz w:val="20"/>
                <w:szCs w:val="20"/>
                <w:color w:val="auto"/>
              </w:rPr>
            </w:pPr>
            <w:r>
              <w:rPr>
                <w:rFonts w:ascii="Courier New" w:cs="Courier New" w:eastAsia="Courier New" w:hAnsi="Courier New"/>
                <w:sz w:val="17"/>
                <w:szCs w:val="17"/>
                <w:color w:val="auto"/>
              </w:rPr>
              <w:t>provisions,</w:t>
            </w:r>
          </w:p>
        </w:tc>
        <w:tc>
          <w:tcPr>
            <w:tcW w:w="11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if any, of</w:t>
            </w:r>
          </w:p>
        </w:tc>
        <w:tc>
          <w:tcPr>
            <w:tcW w:w="544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the Articles of Incorporation (including provisions</w:t>
            </w:r>
          </w:p>
        </w:tc>
      </w:tr>
      <w:tr>
        <w:trPr>
          <w:trHeight w:val="192"/>
        </w:trPr>
        <w:tc>
          <w:tcPr>
            <w:tcW w:w="1160" w:type="dxa"/>
            <w:vAlign w:val="bottom"/>
          </w:tcPr>
          <w:p>
            <w:pPr>
              <w:spacing w:after="0"/>
              <w:rPr>
                <w:sz w:val="20"/>
                <w:szCs w:val="20"/>
                <w:color w:val="auto"/>
              </w:rPr>
            </w:pPr>
            <w:r>
              <w:rPr>
                <w:rFonts w:ascii="Courier New" w:cs="Courier New" w:eastAsia="Courier New" w:hAnsi="Courier New"/>
                <w:sz w:val="17"/>
                <w:szCs w:val="17"/>
                <w:color w:val="auto"/>
              </w:rPr>
              <w:t>designating</w:t>
            </w:r>
          </w:p>
        </w:tc>
        <w:tc>
          <w:tcPr>
            <w:tcW w:w="170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9"/>
              </w:rPr>
              <w:t>the preferences,</w:t>
            </w:r>
          </w:p>
        </w:tc>
        <w:tc>
          <w:tcPr>
            <w:tcW w:w="3300" w:type="dxa"/>
            <w:vAlign w:val="bottom"/>
          </w:tcPr>
          <w:p>
            <w:pPr>
              <w:jc w:val="right"/>
              <w:spacing w:after="0"/>
              <w:rPr>
                <w:sz w:val="20"/>
                <w:szCs w:val="20"/>
                <w:color w:val="auto"/>
              </w:rPr>
            </w:pPr>
            <w:r>
              <w:rPr>
                <w:rFonts w:ascii="Courier New" w:cs="Courier New" w:eastAsia="Courier New" w:hAnsi="Courier New"/>
                <w:sz w:val="17"/>
                <w:szCs w:val="17"/>
                <w:color w:val="auto"/>
                <w:w w:val="98"/>
              </w:rPr>
              <w:t>limitations, and relative rights</w:t>
            </w:r>
          </w:p>
        </w:tc>
        <w:tc>
          <w:tcPr>
            <w:tcW w:w="1540" w:type="dxa"/>
            <w:vAlign w:val="bottom"/>
          </w:tcPr>
          <w:p>
            <w:pPr>
              <w:ind w:left="40"/>
              <w:spacing w:after="0"/>
              <w:rPr>
                <w:sz w:val="20"/>
                <w:szCs w:val="20"/>
                <w:color w:val="auto"/>
              </w:rPr>
            </w:pPr>
            <w:r>
              <w:rPr>
                <w:rFonts w:ascii="Courier New" w:cs="Courier New" w:eastAsia="Courier New" w:hAnsi="Courier New"/>
                <w:sz w:val="17"/>
                <w:szCs w:val="17"/>
                <w:color w:val="auto"/>
                <w:w w:val="96"/>
              </w:rPr>
              <w:t>of any class or</w:t>
            </w:r>
          </w:p>
        </w:tc>
      </w:tr>
      <w:tr>
        <w:trPr>
          <w:trHeight w:val="192"/>
        </w:trPr>
        <w:tc>
          <w:tcPr>
            <w:tcW w:w="1860" w:type="dxa"/>
            <w:vAlign w:val="bottom"/>
            <w:gridSpan w:val="2"/>
          </w:tcPr>
          <w:p>
            <w:pPr>
              <w:spacing w:after="0"/>
              <w:rPr>
                <w:sz w:val="20"/>
                <w:szCs w:val="20"/>
                <w:color w:val="auto"/>
              </w:rPr>
            </w:pPr>
            <w:r>
              <w:rPr>
                <w:rFonts w:ascii="Courier New" w:cs="Courier New" w:eastAsia="Courier New" w:hAnsi="Courier New"/>
                <w:sz w:val="17"/>
                <w:szCs w:val="17"/>
                <w:color w:val="auto"/>
              </w:rPr>
              <w:t>series of shares),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the</w:t>
            </w:r>
          </w:p>
        </w:tc>
        <w:tc>
          <w:tcPr>
            <w:tcW w:w="39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Georgia Business Corporation Code (the</w:t>
            </w:r>
          </w:p>
        </w:tc>
        <w:tc>
          <w:tcPr>
            <w:tcW w:w="1540" w:type="dxa"/>
            <w:vAlign w:val="bottom"/>
          </w:tcPr>
          <w:p>
            <w:pPr>
              <w:ind w:left="40"/>
              <w:spacing w:after="0"/>
              <w:rPr>
                <w:sz w:val="20"/>
                <w:szCs w:val="20"/>
                <w:color w:val="auto"/>
              </w:rPr>
            </w:pPr>
            <w:r>
              <w:rPr>
                <w:rFonts w:ascii="Courier New" w:cs="Courier New" w:eastAsia="Courier New" w:hAnsi="Courier New"/>
                <w:sz w:val="17"/>
                <w:szCs w:val="17"/>
                <w:color w:val="auto"/>
              </w:rPr>
              <w:t>"Code"), and</w:t>
            </w:r>
          </w:p>
        </w:tc>
      </w:tr>
      <w:tr>
        <w:trPr>
          <w:trHeight w:val="192"/>
        </w:trPr>
        <w:tc>
          <w:tcPr>
            <w:tcW w:w="6160" w:type="dxa"/>
            <w:vAlign w:val="bottom"/>
            <w:gridSpan w:val="5"/>
          </w:tcPr>
          <w:p>
            <w:pPr>
              <w:spacing w:after="0"/>
              <w:rPr>
                <w:sz w:val="20"/>
                <w:szCs w:val="20"/>
                <w:color w:val="auto"/>
              </w:rPr>
            </w:pPr>
            <w:r>
              <w:rPr>
                <w:rFonts w:ascii="Courier New" w:cs="Courier New" w:eastAsia="Courier New" w:hAnsi="Courier New"/>
                <w:sz w:val="17"/>
                <w:szCs w:val="17"/>
                <w:color w:val="auto"/>
                <w:w w:val="98"/>
              </w:rPr>
              <w:t>other applicable law, as in effect on and after the effective</w:t>
            </w:r>
          </w:p>
        </w:tc>
        <w:tc>
          <w:tcPr>
            <w:tcW w:w="1540" w:type="dxa"/>
            <w:vAlign w:val="bottom"/>
          </w:tcPr>
          <w:p>
            <w:pPr>
              <w:ind w:left="40"/>
              <w:spacing w:after="0"/>
              <w:rPr>
                <w:sz w:val="20"/>
                <w:szCs w:val="20"/>
                <w:color w:val="auto"/>
              </w:rPr>
            </w:pPr>
            <w:r>
              <w:rPr>
                <w:rFonts w:ascii="Courier New" w:cs="Courier New" w:eastAsia="Courier New" w:hAnsi="Courier New"/>
                <w:sz w:val="17"/>
                <w:szCs w:val="17"/>
                <w:color w:val="auto"/>
              </w:rPr>
              <w:t>date of these</w:t>
            </w:r>
          </w:p>
        </w:tc>
      </w:tr>
      <w:tr>
        <w:trPr>
          <w:trHeight w:val="192"/>
        </w:trPr>
        <w:tc>
          <w:tcPr>
            <w:tcW w:w="2260" w:type="dxa"/>
            <w:vAlign w:val="bottom"/>
            <w:gridSpan w:val="3"/>
          </w:tcPr>
          <w:p>
            <w:pPr>
              <w:spacing w:after="0"/>
              <w:rPr>
                <w:sz w:val="20"/>
                <w:szCs w:val="20"/>
                <w:color w:val="auto"/>
              </w:rPr>
            </w:pPr>
            <w:r>
              <w:rPr>
                <w:rFonts w:ascii="Courier New" w:cs="Courier New" w:eastAsia="Courier New" w:hAnsi="Courier New"/>
                <w:sz w:val="17"/>
                <w:szCs w:val="17"/>
                <w:color w:val="auto"/>
                <w:w w:val="99"/>
              </w:rPr>
              <w:t>Bylaws.  References in</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these</w:t>
            </w:r>
          </w:p>
        </w:tc>
        <w:tc>
          <w:tcPr>
            <w:tcW w:w="3300" w:type="dxa"/>
            <w:vAlign w:val="bottom"/>
          </w:tcPr>
          <w:p>
            <w:pPr>
              <w:jc w:val="right"/>
              <w:spacing w:after="0"/>
              <w:rPr>
                <w:sz w:val="20"/>
                <w:szCs w:val="20"/>
                <w:color w:val="auto"/>
              </w:rPr>
            </w:pPr>
            <w:r>
              <w:rPr>
                <w:rFonts w:ascii="Courier New" w:cs="Courier New" w:eastAsia="Courier New" w:hAnsi="Courier New"/>
                <w:sz w:val="17"/>
                <w:szCs w:val="17"/>
                <w:color w:val="auto"/>
                <w:w w:val="98"/>
              </w:rPr>
              <w:t>Bylaws to "Sections" shall refer</w:t>
            </w:r>
          </w:p>
        </w:tc>
        <w:tc>
          <w:tcPr>
            <w:tcW w:w="1540" w:type="dxa"/>
            <w:vAlign w:val="bottom"/>
          </w:tcPr>
          <w:p>
            <w:pPr>
              <w:ind w:left="40"/>
              <w:spacing w:after="0"/>
              <w:rPr>
                <w:sz w:val="20"/>
                <w:szCs w:val="20"/>
                <w:color w:val="auto"/>
              </w:rPr>
            </w:pPr>
            <w:r>
              <w:rPr>
                <w:rFonts w:ascii="Courier New" w:cs="Courier New" w:eastAsia="Courier New" w:hAnsi="Courier New"/>
                <w:sz w:val="17"/>
                <w:szCs w:val="17"/>
                <w:color w:val="auto"/>
              </w:rPr>
              <w:t>to sections of</w:t>
            </w:r>
          </w:p>
        </w:tc>
      </w:tr>
      <w:tr>
        <w:trPr>
          <w:trHeight w:val="192"/>
        </w:trPr>
        <w:tc>
          <w:tcPr>
            <w:tcW w:w="1160" w:type="dxa"/>
            <w:vAlign w:val="bottom"/>
          </w:tcPr>
          <w:p>
            <w:pPr>
              <w:spacing w:after="0"/>
              <w:rPr>
                <w:sz w:val="20"/>
                <w:szCs w:val="20"/>
                <w:color w:val="auto"/>
              </w:rPr>
            </w:pPr>
            <w:r>
              <w:rPr>
                <w:rFonts w:ascii="Courier New" w:cs="Courier New" w:eastAsia="Courier New" w:hAnsi="Courier New"/>
                <w:sz w:val="17"/>
                <w:szCs w:val="17"/>
                <w:color w:val="auto"/>
              </w:rPr>
              <w:t>the Bylaws,</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unless</w:t>
            </w:r>
          </w:p>
        </w:tc>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otherwise</w:t>
            </w:r>
          </w:p>
        </w:tc>
        <w:tc>
          <w:tcPr>
            <w:tcW w:w="3300" w:type="dxa"/>
            <w:vAlign w:val="bottom"/>
          </w:tcPr>
          <w:p>
            <w:pPr>
              <w:jc w:val="right"/>
              <w:ind w:right="2177"/>
              <w:spacing w:after="0"/>
              <w:rPr>
                <w:sz w:val="20"/>
                <w:szCs w:val="20"/>
                <w:color w:val="auto"/>
              </w:rPr>
            </w:pPr>
            <w:r>
              <w:rPr>
                <w:rFonts w:ascii="Courier New" w:cs="Courier New" w:eastAsia="Courier New" w:hAnsi="Courier New"/>
                <w:sz w:val="17"/>
                <w:szCs w:val="17"/>
                <w:color w:val="auto"/>
                <w:w w:val="99"/>
              </w:rPr>
              <w:t>indicated.</w:t>
            </w:r>
          </w:p>
        </w:tc>
        <w:tc>
          <w:tcPr>
            <w:tcW w:w="1540" w:type="dxa"/>
            <w:vAlign w:val="bottom"/>
          </w:tcPr>
          <w:p>
            <w:pPr>
              <w:spacing w:after="0"/>
              <w:rPr>
                <w:sz w:val="16"/>
                <w:szCs w:val="16"/>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390"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ARTICLE ONE</w:t>
      </w:r>
    </w:p>
    <w:p>
      <w:pPr>
        <w:spacing w:after="0" w:line="192"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7"/>
          <w:szCs w:val="17"/>
          <w:color w:val="auto"/>
        </w:rPr>
        <w:t>OFFICE</w:t>
      </w:r>
    </w:p>
    <w:p>
      <w:pPr>
        <w:spacing w:after="0" w:line="198" w:lineRule="exact"/>
        <w:rPr>
          <w:sz w:val="20"/>
          <w:szCs w:val="20"/>
          <w:color w:val="auto"/>
        </w:rPr>
      </w:pPr>
    </w:p>
    <w:p>
      <w:pPr>
        <w:ind w:right="2719" w:firstLine="600"/>
        <w:spacing w:after="0" w:line="237" w:lineRule="auto"/>
        <w:rPr>
          <w:sz w:val="20"/>
          <w:szCs w:val="20"/>
          <w:color w:val="auto"/>
        </w:rPr>
      </w:pPr>
      <w:r>
        <w:rPr>
          <w:rFonts w:ascii="Courier New" w:cs="Courier New" w:eastAsia="Courier New" w:hAnsi="Courier New"/>
          <w:sz w:val="17"/>
          <w:szCs w:val="17"/>
          <w:color w:val="auto"/>
        </w:rPr>
        <w:t>1.1 REGISTERED OFFICE AND AGENT. The Corporation shall maintain a registered office in the State of Georgia and shall have a registered agent whose business office is the same as the registered office.</w:t>
      </w:r>
    </w:p>
    <w:p>
      <w:pPr>
        <w:spacing w:after="0" w:line="199" w:lineRule="exact"/>
        <w:rPr>
          <w:sz w:val="20"/>
          <w:szCs w:val="20"/>
          <w:color w:val="auto"/>
        </w:rPr>
      </w:pPr>
    </w:p>
    <w:p>
      <w:pPr>
        <w:ind w:right="2519" w:firstLine="600"/>
        <w:spacing w:after="0" w:line="237" w:lineRule="auto"/>
        <w:rPr>
          <w:sz w:val="20"/>
          <w:szCs w:val="20"/>
          <w:color w:val="auto"/>
        </w:rPr>
      </w:pPr>
      <w:r>
        <w:rPr>
          <w:rFonts w:ascii="Courier New" w:cs="Courier New" w:eastAsia="Courier New" w:hAnsi="Courier New"/>
          <w:sz w:val="17"/>
          <w:szCs w:val="17"/>
          <w:color w:val="auto"/>
        </w:rPr>
        <w:t>1.2 OTHER OFFICES. The Corporation may also have other offices at such other place or places, both within or without the State of Georgia, as the Board of Directors may from time to time designate or the business of the Corporation requires.</w:t>
      </w:r>
    </w:p>
    <w:p>
      <w:pPr>
        <w:spacing w:after="0" w:line="19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ARTICLE TWO</w:t>
      </w:r>
    </w:p>
    <w:p>
      <w:pPr>
        <w:spacing w:after="0" w:line="192"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STOCKHOLDERS' MEETINGS</w:t>
      </w:r>
    </w:p>
    <w:p>
      <w:pPr>
        <w:spacing w:after="0" w:line="198" w:lineRule="exact"/>
        <w:rPr>
          <w:sz w:val="20"/>
          <w:szCs w:val="20"/>
          <w:color w:val="auto"/>
        </w:rPr>
      </w:pPr>
    </w:p>
    <w:p>
      <w:pPr>
        <w:ind w:right="2419" w:firstLine="600"/>
        <w:spacing w:after="0" w:line="238" w:lineRule="auto"/>
        <w:rPr>
          <w:sz w:val="20"/>
          <w:szCs w:val="20"/>
          <w:color w:val="auto"/>
        </w:rPr>
      </w:pPr>
      <w:r>
        <w:rPr>
          <w:rFonts w:ascii="Courier New" w:cs="Courier New" w:eastAsia="Courier New" w:hAnsi="Courier New"/>
          <w:sz w:val="17"/>
          <w:szCs w:val="17"/>
          <w:color w:val="auto"/>
        </w:rPr>
        <w:t>2.1 PLACE OF MEETINGS. Meetings of the Corporation's stockholders may be held at any location inside or outside the State of Georgia designated by the Board of Directors or any other person or persons who properly call the meeting, or if the Board of Directors or such other person or persons do not specify a location, at the Corporation's principal office.</w:t>
      </w:r>
    </w:p>
    <w:p>
      <w:pPr>
        <w:spacing w:after="0" w:line="199" w:lineRule="exact"/>
        <w:rPr>
          <w:sz w:val="20"/>
          <w:szCs w:val="20"/>
          <w:color w:val="auto"/>
        </w:rPr>
      </w:pPr>
    </w:p>
    <w:p>
      <w:pPr>
        <w:ind w:right="2519" w:firstLine="600"/>
        <w:spacing w:after="0" w:line="238" w:lineRule="auto"/>
        <w:rPr>
          <w:sz w:val="20"/>
          <w:szCs w:val="20"/>
          <w:color w:val="auto"/>
        </w:rPr>
      </w:pPr>
      <w:r>
        <w:rPr>
          <w:rFonts w:ascii="Courier New" w:cs="Courier New" w:eastAsia="Courier New" w:hAnsi="Courier New"/>
          <w:sz w:val="17"/>
          <w:szCs w:val="17"/>
          <w:color w:val="auto"/>
        </w:rPr>
        <w:t>2.2 ANNUAL MEETINGS. The Corporation shall hold an annual meeting of stockholders, at a time determined by the Board of Directors, to elect directors and to transact any business that properly may come before the meeting. The annual meeting may be combined with any other meeting of stockholders, whether annual or special.</w:t>
      </w:r>
    </w:p>
    <w:p>
      <w:pPr>
        <w:spacing w:after="0" w:line="386"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1440" w:right="1440" w:bottom="1440" w:gutter="0" w:footer="0" w:header="0"/>
        </w:sectPr>
      </w:pPr>
    </w:p>
    <w:bookmarkStart w:id="206" w:name="page207"/>
    <w:bookmarkEnd w:id="2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664845</wp:posOffset>
            </wp:positionV>
            <wp:extent cx="7258050"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419" w:firstLine="600"/>
        <w:spacing w:after="0" w:line="239" w:lineRule="auto"/>
        <w:rPr>
          <w:sz w:val="20"/>
          <w:szCs w:val="20"/>
          <w:color w:val="auto"/>
        </w:rPr>
      </w:pPr>
      <w:r>
        <w:rPr>
          <w:rFonts w:ascii="Courier New" w:cs="Courier New" w:eastAsia="Courier New" w:hAnsi="Courier New"/>
          <w:sz w:val="17"/>
          <w:szCs w:val="17"/>
          <w:color w:val="auto"/>
        </w:rPr>
        <w:t>2.3 SPECIAL MEETINGS. Special meetings of stockholders may be called at any time by the Board of Directors, the Chairman of the Board, the Chief Executive Officer, the President, or the Chief Financial Officer, and shall be called by the Corporation upon the written request (in compliance with applicable requirements of the Code) of the holders of shares representing twenty-five percent (25%) or more of the votes entitled to be cast on each issue proposed to be considered at the special meeting. The business that may be transacted at any special meeting of stockholders shall be limited to that proposed in the notice of the special meeting given in accordance with Section 2.4 (including related or incidental matters that may be necessary or appropriate to effectuate the proposed business).</w:t>
      </w:r>
    </w:p>
    <w:p>
      <w:pPr>
        <w:spacing w:after="0" w:line="198" w:lineRule="exact"/>
        <w:rPr>
          <w:sz w:val="20"/>
          <w:szCs w:val="20"/>
          <w:color w:val="auto"/>
        </w:rPr>
      </w:pPr>
    </w:p>
    <w:p>
      <w:pPr>
        <w:ind w:right="2419" w:firstLine="600"/>
        <w:spacing w:after="0" w:line="239" w:lineRule="auto"/>
        <w:rPr>
          <w:sz w:val="20"/>
          <w:szCs w:val="20"/>
          <w:color w:val="auto"/>
        </w:rPr>
      </w:pPr>
      <w:r>
        <w:rPr>
          <w:rFonts w:ascii="Courier New" w:cs="Courier New" w:eastAsia="Courier New" w:hAnsi="Courier New"/>
          <w:sz w:val="17"/>
          <w:szCs w:val="17"/>
          <w:color w:val="auto"/>
        </w:rPr>
        <w:t>2.4 NOTICE OF MEETINGS. In accordance with Section 9.4 and subject to waiver by a stockholder pursuant to Section 2.5, the Corporation shall give written notice of the date, time, and place of each annual and special stockholders' meeting no fewer than 10 days nor more than 60 days before the meeting date to each stockholder of record entitled to vote at the meeting. The notice of an annual meeting need not state the purpose of the meeting unless these Bylaws require otherwise. The notice of a special meeting shall state the purpose for which the meeting is called. If an annual or special stockholders' meeting is adjourned to a different date, time, or location, the Corporation shall give stockholders notice of the new date, time, or location of the adjourned meeting, unless a quorum of stockholders was present at the meeting and information regarding the adjournment was announced before the meeting was adjourned; provided, however, that if (i) the adjournment is for more than 30 days, or (ii) a new record date is or must be fixed in accordance with Section 7.6, the Corporation must give notice of the adjourned meeting to all stockholders of record as of the new record date who are entitled to vote at the adjourned meeting.</w:t>
      </w:r>
    </w:p>
    <w:p>
      <w:pPr>
        <w:spacing w:after="0" w:line="201" w:lineRule="exact"/>
        <w:rPr>
          <w:sz w:val="20"/>
          <w:szCs w:val="20"/>
          <w:color w:val="auto"/>
        </w:rPr>
      </w:pPr>
    </w:p>
    <w:p>
      <w:pPr>
        <w:ind w:right="2519" w:firstLine="600"/>
        <w:spacing w:after="0" w:line="254" w:lineRule="auto"/>
        <w:rPr>
          <w:sz w:val="20"/>
          <w:szCs w:val="20"/>
          <w:color w:val="auto"/>
        </w:rPr>
      </w:pPr>
      <w:r>
        <w:rPr>
          <w:rFonts w:ascii="Courier New" w:cs="Courier New" w:eastAsia="Courier New" w:hAnsi="Courier New"/>
          <w:sz w:val="16"/>
          <w:szCs w:val="16"/>
          <w:color w:val="auto"/>
        </w:rPr>
        <w:t>2.5 WAIVER OF NOTICE. A stockholder may waive any notice required by the Code, the Articles of Incorporation, or these Bylaws, before or after the date and time of the matter to which the notice relates, by delivering to the Corporation a written waiver of notice signed by the stockholder entitled to the notice. In addition, a stockholder's attendance at a meeting shall be</w:t>
      </w:r>
    </w:p>
    <w:p>
      <w:pPr>
        <w:spacing w:after="0" w:line="2" w:lineRule="exact"/>
        <w:rPr>
          <w:sz w:val="20"/>
          <w:szCs w:val="20"/>
          <w:color w:val="auto"/>
        </w:rPr>
      </w:pPr>
    </w:p>
    <w:p>
      <w:pPr>
        <w:ind w:right="2419" w:firstLine="3"/>
        <w:spacing w:after="0" w:line="238" w:lineRule="auto"/>
        <w:tabs>
          <w:tab w:leader="none" w:pos="400" w:val="left"/>
        </w:tabs>
        <w:numPr>
          <w:ilvl w:val="0"/>
          <w:numId w:val="2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waiver of objection to lack of notice or defective notice of the meeting unless the stockholder attends the meeting for the express purpose of objecting at the beginning of the meeting, and (b) a waiver of objection to consideration of a particular matter at the meeting that is not within the purpose stated in the meeting notice, unless the stockholder objects to considering the matter when it is presented. Except as otherwise required by the Code, neither the purpose of nor the business transacted at the meeting need be specified in any waiver.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60" w:type="dxa"/>
            <w:vAlign w:val="bottom"/>
          </w:tcPr>
          <w:p>
            <w:pPr>
              <w:ind w:left="600"/>
              <w:spacing w:after="0"/>
              <w:rPr>
                <w:sz w:val="20"/>
                <w:szCs w:val="20"/>
                <w:color w:val="auto"/>
              </w:rPr>
            </w:pPr>
            <w:r>
              <w:rPr>
                <w:rFonts w:ascii="Courier New" w:cs="Courier New" w:eastAsia="Courier New" w:hAnsi="Courier New"/>
                <w:sz w:val="17"/>
                <w:szCs w:val="17"/>
                <w:color w:val="auto"/>
              </w:rPr>
              <w:t>2.6</w:t>
            </w:r>
          </w:p>
        </w:tc>
        <w:tc>
          <w:tcPr>
            <w:tcW w:w="2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QUOROM; VOTE REQUIRED</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TO ACT.</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(a) At</w:t>
            </w:r>
          </w:p>
        </w:tc>
        <w:tc>
          <w:tcPr>
            <w:tcW w:w="16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all meetings of</w:t>
            </w: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92"/>
        </w:trPr>
        <w:tc>
          <w:tcPr>
            <w:tcW w:w="5960" w:type="dxa"/>
            <w:vAlign w:val="bottom"/>
            <w:gridSpan w:val="6"/>
          </w:tcPr>
          <w:p>
            <w:pPr>
              <w:spacing w:after="0"/>
              <w:rPr>
                <w:sz w:val="20"/>
                <w:szCs w:val="20"/>
                <w:color w:val="auto"/>
              </w:rPr>
            </w:pPr>
            <w:r>
              <w:rPr>
                <w:rFonts w:ascii="Courier New" w:cs="Courier New" w:eastAsia="Courier New" w:hAnsi="Courier New"/>
                <w:sz w:val="17"/>
                <w:szCs w:val="17"/>
                <w:color w:val="auto"/>
                <w:w w:val="98"/>
              </w:rPr>
              <w:t>stockholders, stockholders entitled to vote on a matter may</w:t>
            </w:r>
          </w:p>
        </w:tc>
        <w:tc>
          <w:tcPr>
            <w:tcW w:w="1840" w:type="dxa"/>
            <w:vAlign w:val="bottom"/>
            <w:gridSpan w:val="3"/>
          </w:tcPr>
          <w:p>
            <w:pPr>
              <w:ind w:left="40"/>
              <w:spacing w:after="0"/>
              <w:rPr>
                <w:sz w:val="20"/>
                <w:szCs w:val="20"/>
                <w:color w:val="auto"/>
              </w:rPr>
            </w:pPr>
            <w:r>
              <w:rPr>
                <w:rFonts w:ascii="Courier New" w:cs="Courier New" w:eastAsia="Courier New" w:hAnsi="Courier New"/>
                <w:sz w:val="17"/>
                <w:szCs w:val="17"/>
                <w:color w:val="auto"/>
                <w:w w:val="96"/>
              </w:rPr>
              <w:t>take action on the</w:t>
            </w:r>
          </w:p>
        </w:tc>
      </w:tr>
      <w:tr>
        <w:trPr>
          <w:trHeight w:val="192"/>
        </w:trPr>
        <w:tc>
          <w:tcPr>
            <w:tcW w:w="1660" w:type="dxa"/>
            <w:vAlign w:val="bottom"/>
            <w:gridSpan w:val="2"/>
          </w:tcPr>
          <w:p>
            <w:pPr>
              <w:spacing w:after="0"/>
              <w:rPr>
                <w:sz w:val="20"/>
                <w:szCs w:val="20"/>
                <w:color w:val="auto"/>
              </w:rPr>
            </w:pPr>
            <w:r>
              <w:rPr>
                <w:rFonts w:ascii="Courier New" w:cs="Courier New" w:eastAsia="Courier New" w:hAnsi="Courier New"/>
                <w:sz w:val="17"/>
                <w:szCs w:val="17"/>
                <w:color w:val="auto"/>
              </w:rPr>
              <w:t>matter only if a</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w w:val="99"/>
              </w:rPr>
              <w:t>quorum exists at</w:t>
            </w:r>
          </w:p>
        </w:tc>
        <w:tc>
          <w:tcPr>
            <w:tcW w:w="16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the meeting.  A</w:t>
            </w:r>
          </w:p>
        </w:tc>
        <w:tc>
          <w:tcPr>
            <w:tcW w:w="1000" w:type="dxa"/>
            <w:vAlign w:val="bottom"/>
          </w:tcPr>
          <w:p>
            <w:pPr>
              <w:ind w:left="40"/>
              <w:spacing w:after="0"/>
              <w:rPr>
                <w:sz w:val="20"/>
                <w:szCs w:val="20"/>
                <w:color w:val="auto"/>
              </w:rPr>
            </w:pPr>
            <w:r>
              <w:rPr>
                <w:rFonts w:ascii="Courier New" w:cs="Courier New" w:eastAsia="Courier New" w:hAnsi="Courier New"/>
                <w:sz w:val="17"/>
                <w:szCs w:val="17"/>
                <w:color w:val="auto"/>
              </w:rPr>
              <w:t>quorum at</w:t>
            </w:r>
          </w:p>
        </w:tc>
        <w:tc>
          <w:tcPr>
            <w:tcW w:w="184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all meetings of</w:t>
            </w:r>
          </w:p>
        </w:tc>
      </w:tr>
      <w:tr>
        <w:trPr>
          <w:trHeight w:val="192"/>
        </w:trPr>
        <w:tc>
          <w:tcPr>
            <w:tcW w:w="3360" w:type="dxa"/>
            <w:vAlign w:val="bottom"/>
            <w:gridSpan w:val="3"/>
          </w:tcPr>
          <w:p>
            <w:pPr>
              <w:spacing w:after="0"/>
              <w:rPr>
                <w:sz w:val="20"/>
                <w:szCs w:val="20"/>
                <w:color w:val="auto"/>
              </w:rPr>
            </w:pPr>
            <w:r>
              <w:rPr>
                <w:rFonts w:ascii="Courier New" w:cs="Courier New" w:eastAsia="Courier New" w:hAnsi="Courier New"/>
                <w:sz w:val="17"/>
                <w:szCs w:val="17"/>
                <w:color w:val="auto"/>
                <w:w w:val="99"/>
              </w:rPr>
              <w:t>stockholders shall consist of the</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holders</w:t>
            </w:r>
          </w:p>
        </w:tc>
        <w:tc>
          <w:tcPr>
            <w:tcW w:w="2400" w:type="dxa"/>
            <w:vAlign w:val="bottom"/>
            <w:gridSpan w:val="3"/>
          </w:tcPr>
          <w:p>
            <w:pPr>
              <w:ind w:left="40"/>
              <w:spacing w:after="0"/>
              <w:rPr>
                <w:sz w:val="20"/>
                <w:szCs w:val="20"/>
                <w:color w:val="auto"/>
              </w:rPr>
            </w:pPr>
            <w:r>
              <w:rPr>
                <w:rFonts w:ascii="Courier New" w:cs="Courier New" w:eastAsia="Courier New" w:hAnsi="Courier New"/>
                <w:sz w:val="17"/>
                <w:szCs w:val="17"/>
                <w:color w:val="auto"/>
                <w:w w:val="99"/>
              </w:rPr>
              <w:t>of record of a majority</w:t>
            </w:r>
          </w:p>
        </w:tc>
        <w:tc>
          <w:tcPr>
            <w:tcW w:w="8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of the</w:t>
            </w:r>
          </w:p>
        </w:tc>
        <w:tc>
          <w:tcPr>
            <w:tcW w:w="440" w:type="dxa"/>
            <w:vAlign w:val="bottom"/>
          </w:tcPr>
          <w:p>
            <w:pPr>
              <w:spacing w:after="0"/>
              <w:rPr>
                <w:sz w:val="16"/>
                <w:szCs w:val="16"/>
                <w:color w:val="auto"/>
              </w:rPr>
            </w:pPr>
          </w:p>
        </w:tc>
      </w:tr>
      <w:tr>
        <w:trPr>
          <w:trHeight w:val="192"/>
        </w:trPr>
        <w:tc>
          <w:tcPr>
            <w:tcW w:w="960" w:type="dxa"/>
            <w:vAlign w:val="bottom"/>
          </w:tcPr>
          <w:p>
            <w:pPr>
              <w:spacing w:after="0"/>
              <w:rPr>
                <w:sz w:val="20"/>
                <w:szCs w:val="20"/>
                <w:color w:val="auto"/>
              </w:rPr>
            </w:pPr>
            <w:r>
              <w:rPr>
                <w:rFonts w:ascii="Courier New" w:cs="Courier New" w:eastAsia="Courier New" w:hAnsi="Courier New"/>
                <w:sz w:val="17"/>
                <w:szCs w:val="17"/>
                <w:color w:val="auto"/>
              </w:rPr>
              <w:t>shares of</w:t>
            </w:r>
          </w:p>
        </w:tc>
        <w:tc>
          <w:tcPr>
            <w:tcW w:w="6400" w:type="dxa"/>
            <w:vAlign w:val="bottom"/>
            <w:gridSpan w:val="7"/>
          </w:tcPr>
          <w:p>
            <w:pPr>
              <w:ind w:left="40"/>
              <w:spacing w:after="0"/>
              <w:rPr>
                <w:sz w:val="20"/>
                <w:szCs w:val="20"/>
                <w:color w:val="auto"/>
              </w:rPr>
            </w:pPr>
            <w:r>
              <w:rPr>
                <w:rFonts w:ascii="Courier New" w:cs="Courier New" w:eastAsia="Courier New" w:hAnsi="Courier New"/>
                <w:sz w:val="17"/>
                <w:szCs w:val="17"/>
                <w:color w:val="auto"/>
              </w:rPr>
              <w:t>the capital stock of the Corporation, issued and outstanding,</w:t>
            </w:r>
          </w:p>
        </w:tc>
        <w:tc>
          <w:tcPr>
            <w:tcW w:w="440" w:type="dxa"/>
            <w:vAlign w:val="bottom"/>
          </w:tcPr>
          <w:p>
            <w:pPr>
              <w:spacing w:after="0"/>
              <w:rPr>
                <w:sz w:val="16"/>
                <w:szCs w:val="16"/>
                <w:color w:val="auto"/>
              </w:rPr>
            </w:pPr>
          </w:p>
        </w:tc>
      </w:tr>
      <w:tr>
        <w:trPr>
          <w:trHeight w:val="192"/>
        </w:trPr>
        <w:tc>
          <w:tcPr>
            <w:tcW w:w="1660" w:type="dxa"/>
            <w:vAlign w:val="bottom"/>
            <w:gridSpan w:val="2"/>
          </w:tcPr>
          <w:p>
            <w:pPr>
              <w:spacing w:after="0"/>
              <w:rPr>
                <w:sz w:val="20"/>
                <w:szCs w:val="20"/>
                <w:color w:val="auto"/>
              </w:rPr>
            </w:pPr>
            <w:r>
              <w:rPr>
                <w:rFonts w:ascii="Courier New" w:cs="Courier New" w:eastAsia="Courier New" w:hAnsi="Courier New"/>
                <w:sz w:val="17"/>
                <w:szCs w:val="17"/>
                <w:color w:val="auto"/>
              </w:rPr>
              <w:t>entitled to vote</w:t>
            </w:r>
          </w:p>
        </w:tc>
        <w:tc>
          <w:tcPr>
            <w:tcW w:w="5700" w:type="dxa"/>
            <w:vAlign w:val="bottom"/>
            <w:gridSpan w:val="6"/>
          </w:tcPr>
          <w:p>
            <w:pPr>
              <w:jc w:val="right"/>
              <w:spacing w:after="0"/>
              <w:rPr>
                <w:sz w:val="20"/>
                <w:szCs w:val="20"/>
                <w:color w:val="auto"/>
              </w:rPr>
            </w:pPr>
            <w:r>
              <w:rPr>
                <w:rFonts w:ascii="Courier New" w:cs="Courier New" w:eastAsia="Courier New" w:hAnsi="Courier New"/>
                <w:sz w:val="17"/>
                <w:szCs w:val="17"/>
                <w:color w:val="auto"/>
                <w:w w:val="98"/>
              </w:rPr>
              <w:t>at the meeting, present in person or by proxy, except as</w:t>
            </w:r>
          </w:p>
        </w:tc>
        <w:tc>
          <w:tcPr>
            <w:tcW w:w="440" w:type="dxa"/>
            <w:vAlign w:val="bottom"/>
          </w:tcPr>
          <w:p>
            <w:pPr>
              <w:spacing w:after="0"/>
              <w:rPr>
                <w:sz w:val="16"/>
                <w:szCs w:val="16"/>
                <w:color w:val="auto"/>
              </w:rPr>
            </w:pPr>
          </w:p>
        </w:tc>
      </w:tr>
      <w:tr>
        <w:trPr>
          <w:trHeight w:val="192"/>
        </w:trPr>
        <w:tc>
          <w:tcPr>
            <w:tcW w:w="960" w:type="dxa"/>
            <w:vAlign w:val="bottom"/>
          </w:tcPr>
          <w:p>
            <w:pPr>
              <w:spacing w:after="0"/>
              <w:rPr>
                <w:sz w:val="20"/>
                <w:szCs w:val="20"/>
                <w:color w:val="auto"/>
              </w:rPr>
            </w:pPr>
            <w:r>
              <w:rPr>
                <w:rFonts w:ascii="Courier New" w:cs="Courier New" w:eastAsia="Courier New" w:hAnsi="Courier New"/>
                <w:sz w:val="17"/>
                <w:szCs w:val="17"/>
                <w:color w:val="auto"/>
              </w:rPr>
              <w:t>otherwise</w:t>
            </w:r>
          </w:p>
        </w:tc>
        <w:tc>
          <w:tcPr>
            <w:tcW w:w="320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8"/>
              </w:rPr>
              <w:t>provided by law or the Articles</w:t>
            </w:r>
          </w:p>
        </w:tc>
        <w:tc>
          <w:tcPr>
            <w:tcW w:w="18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of Incorporation.</w:t>
            </w:r>
          </w:p>
        </w:tc>
        <w:tc>
          <w:tcPr>
            <w:tcW w:w="600" w:type="dxa"/>
            <w:vAlign w:val="bottom"/>
          </w:tcPr>
          <w:p>
            <w:pPr>
              <w:ind w:left="140"/>
              <w:spacing w:after="0"/>
              <w:rPr>
                <w:sz w:val="20"/>
                <w:szCs w:val="20"/>
                <w:color w:val="auto"/>
              </w:rPr>
            </w:pPr>
            <w:r>
              <w:rPr>
                <w:rFonts w:ascii="Courier New" w:cs="Courier New" w:eastAsia="Courier New" w:hAnsi="Courier New"/>
                <w:sz w:val="17"/>
                <w:szCs w:val="17"/>
                <w:color w:val="auto"/>
              </w:rPr>
              <w:t>Once</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a share</w:t>
            </w:r>
          </w:p>
        </w:tc>
        <w:tc>
          <w:tcPr>
            <w:tcW w:w="440" w:type="dxa"/>
            <w:vAlign w:val="bottom"/>
          </w:tcPr>
          <w:p>
            <w:pPr>
              <w:ind w:left="40"/>
              <w:spacing w:after="0"/>
              <w:rPr>
                <w:sz w:val="20"/>
                <w:szCs w:val="20"/>
                <w:color w:val="auto"/>
              </w:rPr>
            </w:pPr>
            <w:r>
              <w:rPr>
                <w:rFonts w:ascii="Courier New" w:cs="Courier New" w:eastAsia="Courier New" w:hAnsi="Courier New"/>
                <w:sz w:val="17"/>
                <w:szCs w:val="17"/>
                <w:color w:val="auto"/>
              </w:rPr>
              <w:t>is</w:t>
            </w:r>
          </w:p>
        </w:tc>
      </w:tr>
      <w:tr>
        <w:trPr>
          <w:trHeight w:val="192"/>
        </w:trPr>
        <w:tc>
          <w:tcPr>
            <w:tcW w:w="3360" w:type="dxa"/>
            <w:vAlign w:val="bottom"/>
            <w:gridSpan w:val="3"/>
          </w:tcPr>
          <w:p>
            <w:pPr>
              <w:spacing w:after="0"/>
              <w:rPr>
                <w:sz w:val="20"/>
                <w:szCs w:val="20"/>
                <w:color w:val="auto"/>
              </w:rPr>
            </w:pPr>
            <w:r>
              <w:rPr>
                <w:rFonts w:ascii="Courier New" w:cs="Courier New" w:eastAsia="Courier New" w:hAnsi="Courier New"/>
                <w:sz w:val="17"/>
                <w:szCs w:val="17"/>
                <w:color w:val="auto"/>
                <w:w w:val="99"/>
              </w:rPr>
              <w:t>present at any meeting other than</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for the</w:t>
            </w:r>
          </w:p>
        </w:tc>
        <w:tc>
          <w:tcPr>
            <w:tcW w:w="800" w:type="dxa"/>
            <w:vAlign w:val="bottom"/>
          </w:tcPr>
          <w:p>
            <w:pPr>
              <w:ind w:left="40"/>
              <w:spacing w:after="0"/>
              <w:rPr>
                <w:sz w:val="20"/>
                <w:szCs w:val="20"/>
                <w:color w:val="auto"/>
              </w:rPr>
            </w:pPr>
            <w:r>
              <w:rPr>
                <w:rFonts w:ascii="Courier New" w:cs="Courier New" w:eastAsia="Courier New" w:hAnsi="Courier New"/>
                <w:sz w:val="17"/>
                <w:szCs w:val="17"/>
                <w:color w:val="auto"/>
              </w:rPr>
              <w:t>express</w:t>
            </w:r>
          </w:p>
        </w:tc>
        <w:tc>
          <w:tcPr>
            <w:tcW w:w="240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8"/>
              </w:rPr>
              <w:t>purpose of objecting at</w:t>
            </w:r>
          </w:p>
        </w:tc>
        <w:tc>
          <w:tcPr>
            <w:tcW w:w="440" w:type="dxa"/>
            <w:vAlign w:val="bottom"/>
          </w:tcPr>
          <w:p>
            <w:pPr>
              <w:ind w:left="40"/>
              <w:spacing w:after="0"/>
              <w:rPr>
                <w:sz w:val="20"/>
                <w:szCs w:val="20"/>
                <w:color w:val="auto"/>
              </w:rPr>
            </w:pPr>
            <w:r>
              <w:rPr>
                <w:rFonts w:ascii="Courier New" w:cs="Courier New" w:eastAsia="Courier New" w:hAnsi="Courier New"/>
                <w:sz w:val="17"/>
                <w:szCs w:val="17"/>
                <w:color w:val="auto"/>
              </w:rPr>
              <w:t>the</w:t>
            </w:r>
          </w:p>
        </w:tc>
      </w:tr>
      <w:tr>
        <w:trPr>
          <w:trHeight w:val="192"/>
        </w:trPr>
        <w:tc>
          <w:tcPr>
            <w:tcW w:w="960" w:type="dxa"/>
            <w:vAlign w:val="bottom"/>
          </w:tcPr>
          <w:p>
            <w:pPr>
              <w:spacing w:after="0"/>
              <w:rPr>
                <w:sz w:val="20"/>
                <w:szCs w:val="20"/>
                <w:color w:val="auto"/>
              </w:rPr>
            </w:pPr>
            <w:r>
              <w:rPr>
                <w:rFonts w:ascii="Courier New" w:cs="Courier New" w:eastAsia="Courier New" w:hAnsi="Courier New"/>
                <w:sz w:val="17"/>
                <w:szCs w:val="17"/>
                <w:color w:val="auto"/>
              </w:rPr>
              <w:t>beginning</w:t>
            </w:r>
          </w:p>
        </w:tc>
        <w:tc>
          <w:tcPr>
            <w:tcW w:w="700" w:type="dxa"/>
            <w:vAlign w:val="bottom"/>
          </w:tcPr>
          <w:p>
            <w:pPr>
              <w:ind w:left="40"/>
              <w:spacing w:after="0"/>
              <w:rPr>
                <w:sz w:val="20"/>
                <w:szCs w:val="20"/>
                <w:color w:val="auto"/>
              </w:rPr>
            </w:pPr>
            <w:r>
              <w:rPr>
                <w:rFonts w:ascii="Courier New" w:cs="Courier New" w:eastAsia="Courier New" w:hAnsi="Courier New"/>
                <w:sz w:val="17"/>
                <w:szCs w:val="17"/>
                <w:color w:val="auto"/>
              </w:rPr>
              <w:t>of the</w:t>
            </w:r>
          </w:p>
        </w:tc>
        <w:tc>
          <w:tcPr>
            <w:tcW w:w="25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meeting, the share shall</w:t>
            </w:r>
          </w:p>
        </w:tc>
        <w:tc>
          <w:tcPr>
            <w:tcW w:w="18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be deemed present</w:t>
            </w:r>
          </w:p>
        </w:tc>
        <w:tc>
          <w:tcPr>
            <w:tcW w:w="14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for quorum</w:t>
            </w:r>
          </w:p>
        </w:tc>
        <w:tc>
          <w:tcPr>
            <w:tcW w:w="440" w:type="dxa"/>
            <w:vAlign w:val="bottom"/>
          </w:tcPr>
          <w:p>
            <w:pPr>
              <w:spacing w:after="0"/>
              <w:rPr>
                <w:sz w:val="16"/>
                <w:szCs w:val="16"/>
                <w:color w:val="auto"/>
              </w:rPr>
            </w:pPr>
          </w:p>
        </w:tc>
      </w:tr>
      <w:tr>
        <w:trPr>
          <w:trHeight w:val="192"/>
        </w:trPr>
        <w:tc>
          <w:tcPr>
            <w:tcW w:w="1660" w:type="dxa"/>
            <w:vAlign w:val="bottom"/>
            <w:gridSpan w:val="2"/>
          </w:tcPr>
          <w:p>
            <w:pPr>
              <w:spacing w:after="0"/>
              <w:rPr>
                <w:sz w:val="20"/>
                <w:szCs w:val="20"/>
                <w:color w:val="auto"/>
              </w:rPr>
            </w:pPr>
            <w:r>
              <w:rPr>
                <w:rFonts w:ascii="Courier New" w:cs="Courier New" w:eastAsia="Courier New" w:hAnsi="Courier New"/>
                <w:sz w:val="17"/>
                <w:szCs w:val="17"/>
                <w:color w:val="auto"/>
              </w:rPr>
              <w:t>purposes for the</w:t>
            </w: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w w:val="99"/>
              </w:rPr>
              <w:t>remainder of the</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meeting</w:t>
            </w:r>
          </w:p>
        </w:tc>
        <w:tc>
          <w:tcPr>
            <w:tcW w:w="800" w:type="dxa"/>
            <w:vAlign w:val="bottom"/>
          </w:tcPr>
          <w:p>
            <w:pPr>
              <w:ind w:left="40"/>
              <w:spacing w:after="0"/>
              <w:rPr>
                <w:sz w:val="20"/>
                <w:szCs w:val="20"/>
                <w:color w:val="auto"/>
              </w:rPr>
            </w:pPr>
            <w:r>
              <w:rPr>
                <w:rFonts w:ascii="Courier New" w:cs="Courier New" w:eastAsia="Courier New" w:hAnsi="Courier New"/>
                <w:sz w:val="17"/>
                <w:szCs w:val="17"/>
                <w:color w:val="auto"/>
              </w:rPr>
              <w:t>and for</w:t>
            </w:r>
          </w:p>
        </w:tc>
        <w:tc>
          <w:tcPr>
            <w:tcW w:w="284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any adjournments of that</w:t>
            </w:r>
          </w:p>
        </w:tc>
      </w:tr>
      <w:tr>
        <w:trPr>
          <w:trHeight w:val="192"/>
        </w:trPr>
        <w:tc>
          <w:tcPr>
            <w:tcW w:w="3360" w:type="dxa"/>
            <w:vAlign w:val="bottom"/>
            <w:gridSpan w:val="3"/>
          </w:tcPr>
          <w:p>
            <w:pPr>
              <w:spacing w:after="0"/>
              <w:rPr>
                <w:sz w:val="20"/>
                <w:szCs w:val="20"/>
                <w:color w:val="auto"/>
              </w:rPr>
            </w:pPr>
            <w:r>
              <w:rPr>
                <w:rFonts w:ascii="Courier New" w:cs="Courier New" w:eastAsia="Courier New" w:hAnsi="Courier New"/>
                <w:sz w:val="17"/>
                <w:szCs w:val="17"/>
                <w:color w:val="auto"/>
                <w:w w:val="99"/>
              </w:rPr>
              <w:t>meeting, unless a new record date</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for the</w:t>
            </w:r>
          </w:p>
        </w:tc>
        <w:tc>
          <w:tcPr>
            <w:tcW w:w="18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adjourned meeting</w:t>
            </w:r>
          </w:p>
        </w:tc>
        <w:tc>
          <w:tcPr>
            <w:tcW w:w="600" w:type="dxa"/>
            <w:vAlign w:val="bottom"/>
          </w:tcPr>
          <w:p>
            <w:pPr>
              <w:ind w:left="40"/>
              <w:spacing w:after="0"/>
              <w:rPr>
                <w:sz w:val="20"/>
                <w:szCs w:val="20"/>
                <w:color w:val="auto"/>
              </w:rPr>
            </w:pPr>
            <w:r>
              <w:rPr>
                <w:rFonts w:ascii="Courier New" w:cs="Courier New" w:eastAsia="Courier New" w:hAnsi="Courier New"/>
                <w:sz w:val="17"/>
                <w:szCs w:val="17"/>
                <w:color w:val="auto"/>
              </w:rPr>
              <w:t>is or</w:t>
            </w: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must be</w:t>
            </w:r>
          </w:p>
        </w:tc>
        <w:tc>
          <w:tcPr>
            <w:tcW w:w="440" w:type="dxa"/>
            <w:vAlign w:val="bottom"/>
          </w:tcPr>
          <w:p>
            <w:pPr>
              <w:ind w:left="40"/>
              <w:spacing w:after="0"/>
              <w:rPr>
                <w:sz w:val="20"/>
                <w:szCs w:val="20"/>
                <w:color w:val="auto"/>
              </w:rPr>
            </w:pPr>
            <w:r>
              <w:rPr>
                <w:rFonts w:ascii="Courier New" w:cs="Courier New" w:eastAsia="Courier New" w:hAnsi="Courier New"/>
                <w:sz w:val="17"/>
                <w:szCs w:val="17"/>
                <w:color w:val="auto"/>
              </w:rPr>
              <w:t>set</w:t>
            </w:r>
          </w:p>
        </w:tc>
      </w:tr>
    </w:tbl>
    <w:p>
      <w:pPr>
        <w:spacing w:after="0"/>
        <w:rPr>
          <w:sz w:val="20"/>
          <w:szCs w:val="20"/>
          <w:color w:val="auto"/>
        </w:rPr>
      </w:pPr>
      <w:r>
        <w:rPr>
          <w:rFonts w:ascii="Courier New" w:cs="Courier New" w:eastAsia="Courier New" w:hAnsi="Courier New"/>
          <w:sz w:val="17"/>
          <w:szCs w:val="17"/>
          <w:color w:val="auto"/>
        </w:rPr>
        <w:t>pursuant to Section 7.6 of these Bylaws.</w:t>
      </w:r>
    </w:p>
    <w:p>
      <w:pPr>
        <w:spacing w:after="0" w:line="198" w:lineRule="exact"/>
        <w:rPr>
          <w:sz w:val="20"/>
          <w:szCs w:val="20"/>
          <w:color w:val="auto"/>
        </w:rPr>
      </w:pPr>
    </w:p>
    <w:p>
      <w:pPr>
        <w:ind w:right="2419" w:firstLine="603"/>
        <w:spacing w:after="0" w:line="262" w:lineRule="auto"/>
        <w:tabs>
          <w:tab w:leader="none" w:pos="1200"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3.2, if a quorum exists, action on a matter by the stockholders is approved by the stockholders if the votes cast</w:t>
      </w:r>
    </w:p>
    <w:p>
      <w:pPr>
        <w:spacing w:after="0" w:line="368"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1440" w:right="1440" w:bottom="1440" w:gutter="0" w:footer="0" w:header="0"/>
        </w:sectPr>
      </w:pPr>
    </w:p>
    <w:bookmarkStart w:id="207" w:name="page208"/>
    <w:bookmarkEnd w:id="2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664845</wp:posOffset>
            </wp:positionV>
            <wp:extent cx="7258050"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419" w:firstLine="100"/>
        <w:spacing w:after="0" w:line="237" w:lineRule="auto"/>
        <w:rPr>
          <w:sz w:val="20"/>
          <w:szCs w:val="20"/>
          <w:color w:val="auto"/>
        </w:rPr>
      </w:pPr>
      <w:r>
        <w:rPr>
          <w:rFonts w:ascii="Courier New" w:cs="Courier New" w:eastAsia="Courier New" w:hAnsi="Courier New"/>
          <w:sz w:val="17"/>
          <w:szCs w:val="17"/>
          <w:color w:val="auto"/>
        </w:rPr>
        <w:t>favoring the action exceed the votes cast opposing the action, unless the Articles of Incorporation or the Code requires a greater number of affirmative votes.</w:t>
      </w:r>
    </w:p>
    <w:p>
      <w:pPr>
        <w:spacing w:after="0" w:line="199" w:lineRule="exact"/>
        <w:rPr>
          <w:sz w:val="20"/>
          <w:szCs w:val="20"/>
          <w:color w:val="auto"/>
        </w:rPr>
      </w:pPr>
    </w:p>
    <w:p>
      <w:pPr>
        <w:ind w:right="2719" w:firstLine="600"/>
        <w:spacing w:after="0" w:line="237" w:lineRule="auto"/>
        <w:rPr>
          <w:sz w:val="20"/>
          <w:szCs w:val="20"/>
          <w:color w:val="auto"/>
        </w:rPr>
      </w:pPr>
      <w:r>
        <w:rPr>
          <w:rFonts w:ascii="Courier New" w:cs="Courier New" w:eastAsia="Courier New" w:hAnsi="Courier New"/>
          <w:sz w:val="17"/>
          <w:szCs w:val="17"/>
          <w:color w:val="auto"/>
        </w:rPr>
        <w:t>2.7 VOTING OF SHARES. Unless otherwise required by the Code or the Articles of Incorporation, each outstanding share of any class or series having voting rights shall be entitled to one vote on each matter that is submitted to a vote of stockholders.</w:t>
      </w:r>
    </w:p>
    <w:p>
      <w:pPr>
        <w:spacing w:after="0" w:line="201" w:lineRule="exact"/>
        <w:rPr>
          <w:sz w:val="20"/>
          <w:szCs w:val="20"/>
          <w:color w:val="auto"/>
        </w:rPr>
      </w:pPr>
    </w:p>
    <w:p>
      <w:pPr>
        <w:ind w:right="2419" w:firstLine="600"/>
        <w:spacing w:after="0" w:line="238" w:lineRule="auto"/>
        <w:rPr>
          <w:sz w:val="20"/>
          <w:szCs w:val="20"/>
          <w:color w:val="auto"/>
        </w:rPr>
      </w:pPr>
      <w:r>
        <w:rPr>
          <w:rFonts w:ascii="Courier New" w:cs="Courier New" w:eastAsia="Courier New" w:hAnsi="Courier New"/>
          <w:sz w:val="17"/>
          <w:szCs w:val="17"/>
          <w:color w:val="auto"/>
        </w:rPr>
        <w:t>2.8 PROXIES. A stockholder entitled to vote on a matter may vote in person or by proxy pursuant to an appointment executed in writing by the stockholder or by his or her attorney-in-fact. An appointment of a proxy shall be valid for three years from the date of its execution, unless a longer or shorter period is expressly stated in the proxy.</w:t>
      </w:r>
    </w:p>
    <w:p>
      <w:pPr>
        <w:spacing w:after="0" w:line="199" w:lineRule="exact"/>
        <w:rPr>
          <w:sz w:val="20"/>
          <w:szCs w:val="20"/>
          <w:color w:val="auto"/>
        </w:rPr>
      </w:pPr>
    </w:p>
    <w:p>
      <w:pPr>
        <w:ind w:right="2419" w:firstLine="600"/>
        <w:spacing w:after="0" w:line="254" w:lineRule="auto"/>
        <w:rPr>
          <w:sz w:val="20"/>
          <w:szCs w:val="20"/>
          <w:color w:val="auto"/>
        </w:rPr>
      </w:pPr>
      <w:r>
        <w:rPr>
          <w:rFonts w:ascii="Courier New" w:cs="Courier New" w:eastAsia="Courier New" w:hAnsi="Courier New"/>
          <w:sz w:val="16"/>
          <w:szCs w:val="16"/>
          <w:color w:val="auto"/>
        </w:rPr>
        <w:t>2.9 PRESIDING OFFICER. Except as otherwise provided in this Section 2.9, the Chairman of the Board, if there be one, and in his or her absence or disability the Chief Executive Officer, if there be one, and in his or her absence or disability the President, and in his or her absence or disability the Chief Financial Officer, if there be one, shall preside at every stockholders' meeting (and any adjournment thereof) as its chairman. If neither the Chairman of the Board, the Chief Executive Officer, the President nor the Chief Financial Officer is present and willing to serve as chairman of the meeting, and if the Chairman of the Board has not designated another person who is present and willing to serve, then a majority of the Corporation's directors present at the meeting shall be entitled to designate a person to serve as chairman. If no director of the Corporation is present at the meeting, or if a majority of the directors who are present cannot be established, then a chairman of the meeting shall be selected by a majority vote of the shares present at the meeting entitled to vote at the meeting.</w:t>
      </w:r>
    </w:p>
    <w:p>
      <w:pPr>
        <w:spacing w:after="0" w:line="7"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7"/>
          <w:szCs w:val="17"/>
          <w:color w:val="auto"/>
        </w:rPr>
        <w:t>The chairman of the meeting may designate other persons to assist with the meeting.</w:t>
      </w:r>
    </w:p>
    <w:p>
      <w:pPr>
        <w:spacing w:after="0" w:line="198" w:lineRule="exact"/>
        <w:rPr>
          <w:sz w:val="20"/>
          <w:szCs w:val="20"/>
          <w:color w:val="auto"/>
        </w:rPr>
      </w:pPr>
    </w:p>
    <w:p>
      <w:pPr>
        <w:ind w:right="2419" w:firstLine="600"/>
        <w:spacing w:after="0" w:line="255" w:lineRule="auto"/>
        <w:rPr>
          <w:sz w:val="20"/>
          <w:szCs w:val="20"/>
          <w:color w:val="auto"/>
        </w:rPr>
      </w:pPr>
      <w:r>
        <w:rPr>
          <w:rFonts w:ascii="Courier New" w:cs="Courier New" w:eastAsia="Courier New" w:hAnsi="Courier New"/>
          <w:sz w:val="16"/>
          <w:szCs w:val="16"/>
          <w:color w:val="auto"/>
        </w:rPr>
        <w:t>2.10 ADJOURNMENTS. At any meeting of stockholders (including an adjourned meeting), a majority of shares present and entitled to vote at the meeting (whether or not those shares constitute a quorum) may adjourn the meeting. The only business that may be transacted at any reconvened meeting is business that could have been transacted at the meeting that was adjourned, unless further notice of the adjourned meeting has been given in compliance with the requirements for a special meeting that specifies the additional purpose or purposes for which the meeting is called. Nothing contained in this Section 2.10 shall be deemed or otherwise construed to limit any lawful authority of the chairman of a meeting to adjourn the meeting.</w:t>
      </w:r>
    </w:p>
    <w:p>
      <w:pPr>
        <w:spacing w:after="0" w:line="190" w:lineRule="exact"/>
        <w:rPr>
          <w:sz w:val="20"/>
          <w:szCs w:val="20"/>
          <w:color w:val="auto"/>
        </w:rPr>
      </w:pPr>
    </w:p>
    <w:p>
      <w:pPr>
        <w:ind w:right="2919" w:firstLine="600"/>
        <w:spacing w:after="0" w:line="237" w:lineRule="auto"/>
        <w:rPr>
          <w:sz w:val="20"/>
          <w:szCs w:val="20"/>
          <w:color w:val="auto"/>
        </w:rPr>
      </w:pPr>
      <w:r>
        <w:rPr>
          <w:rFonts w:ascii="Courier New" w:cs="Courier New" w:eastAsia="Courier New" w:hAnsi="Courier New"/>
          <w:sz w:val="17"/>
          <w:szCs w:val="17"/>
          <w:color w:val="auto"/>
        </w:rPr>
        <w:t>2.11 CONDUCT OF THE MEETING. At any meeting of stockholders, the chairman of the meeting shall be entitled to establish the rules of order governing the conduct of business at the meeting.</w:t>
      </w:r>
    </w:p>
    <w:p>
      <w:pPr>
        <w:spacing w:after="0" w:line="199" w:lineRule="exact"/>
        <w:rPr>
          <w:sz w:val="20"/>
          <w:szCs w:val="20"/>
          <w:color w:val="auto"/>
        </w:rPr>
      </w:pPr>
    </w:p>
    <w:p>
      <w:pPr>
        <w:ind w:right="2419" w:firstLine="600"/>
        <w:spacing w:after="0" w:line="255" w:lineRule="auto"/>
        <w:rPr>
          <w:sz w:val="20"/>
          <w:szCs w:val="20"/>
          <w:color w:val="auto"/>
        </w:rPr>
      </w:pPr>
      <w:r>
        <w:rPr>
          <w:rFonts w:ascii="Courier New" w:cs="Courier New" w:eastAsia="Courier New" w:hAnsi="Courier New"/>
          <w:sz w:val="16"/>
          <w:szCs w:val="16"/>
          <w:color w:val="auto"/>
        </w:rPr>
        <w:t>2.12 ACTION OF STOCKHOLDERS WITHOUT A MEETING. Any action required or permitted to be taken at any meeting of the stockholders may be taken without a meeting, without prior notice and without a vote, if a consent or consents in writing, setting forth the actions so taken, shall be signed by the holders of outstanding stock having not less than the minimum number of votes that would be necessary to authorize or take such action at a meeting at which all shares entitled to vote thereon were present and voted, and delivered to the Corporation. Every written consent shall bear the date of signature of each stockholder who signs the consent. Prompt notice of the taking of the corporate action without a meeting by less than unanimous written consent shall be given to those stockholders who have not consented in writing. Such</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1440" w:right="1440" w:bottom="1440" w:gutter="0" w:footer="0" w:header="0"/>
        </w:sectPr>
      </w:pPr>
    </w:p>
    <w:bookmarkStart w:id="208" w:name="page209"/>
    <w:bookmarkEnd w:id="2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664210</wp:posOffset>
            </wp:positionV>
            <wp:extent cx="7258050"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519" w:firstLine="100"/>
        <w:spacing w:after="0" w:line="236" w:lineRule="auto"/>
        <w:rPr>
          <w:sz w:val="20"/>
          <w:szCs w:val="20"/>
          <w:color w:val="auto"/>
        </w:rPr>
      </w:pPr>
      <w:r>
        <w:rPr>
          <w:rFonts w:ascii="Courier New" w:cs="Courier New" w:eastAsia="Courier New" w:hAnsi="Courier New"/>
          <w:sz w:val="17"/>
          <w:szCs w:val="17"/>
          <w:color w:val="auto"/>
        </w:rPr>
        <w:t>consent shall have the same force and effect as a majority vote of stockholders.</w:t>
      </w:r>
    </w:p>
    <w:p>
      <w:pPr>
        <w:spacing w:after="0" w:line="198" w:lineRule="exact"/>
        <w:rPr>
          <w:sz w:val="20"/>
          <w:szCs w:val="20"/>
          <w:color w:val="auto"/>
        </w:rPr>
      </w:pPr>
    </w:p>
    <w:p>
      <w:pPr>
        <w:ind w:right="2419" w:firstLine="600"/>
        <w:spacing w:after="0" w:line="254" w:lineRule="auto"/>
        <w:rPr>
          <w:sz w:val="20"/>
          <w:szCs w:val="20"/>
          <w:color w:val="auto"/>
        </w:rPr>
      </w:pPr>
      <w:r>
        <w:rPr>
          <w:rFonts w:ascii="Courier New" w:cs="Courier New" w:eastAsia="Courier New" w:hAnsi="Courier New"/>
          <w:sz w:val="16"/>
          <w:szCs w:val="16"/>
          <w:color w:val="auto"/>
        </w:rPr>
        <w:t>2.13 MATTERS CONSIDERED AT ANNUAL MEETINGS. Notwithstanding anything to the contrary in these Bylaws, the only business that may be conducted at an annual meeting of stockholders shall be business brought before the meeting</w:t>
      </w:r>
    </w:p>
    <w:p>
      <w:pPr>
        <w:spacing w:after="0" w:line="1" w:lineRule="exact"/>
        <w:rPr>
          <w:sz w:val="20"/>
          <w:szCs w:val="20"/>
          <w:color w:val="auto"/>
        </w:rPr>
      </w:pPr>
    </w:p>
    <w:p>
      <w:pPr>
        <w:ind w:right="2419" w:firstLine="3"/>
        <w:spacing w:after="0" w:line="239" w:lineRule="auto"/>
        <w:tabs>
          <w:tab w:leader="none" w:pos="400" w:val="left"/>
        </w:tabs>
        <w:numPr>
          <w:ilvl w:val="0"/>
          <w:numId w:val="2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or at the direction of the Board of Directors prior to the meeting, (b) by or at the direction of the Chairman of the Board, the Chief Executive Officer, the President, the Chief Financial Officer, or (c) by a stockholder of the Corporation who is entitled to vote with respect to the business and who complies with the notice procedures set forth in this Section 2.13. For business to be brought properly before an annual meeting by a stockholder, the stockholder must have given timely notice of the business in writing to the Secretary of the Corporation. To be timely, a stockholder's notice must be delivered or mailed to and received at the principal offices of the Corporation on or before the later to occur of (i) 14 days prior to the annual meeting or (ii) 5 days after notice of the meeting is provided to the stockholders pursuant to Section 2.4 hereof. A stockholder's notice to the Secretary shall set forth a brief description of each matter of business the stockholder proposes to bring before the meeting and the reasons for conducting that business at the meeting; the name, as it appears on the Corporation's books, and address of the stockholder proposing the business; the series or class and number of shares of the Corporation's capital stock that are beneficially owned by the stockholder; and any material interest of the stockholder in the proposed business. The chairman of the meeting shall have the discretion to declare to the meeting that any business proposed by a stockholder to be considered at the meeting is out of order and that such business shall not be transacted at the meeting if (i) the chairman concludes that the matter has been proposed in a manner inconsistent with this Section 2.13 or (ii) the chairman concludes that the subject matter of the proposed business is inappropriate for consideration by the stockholders at the meeting.</w:t>
      </w:r>
    </w:p>
    <w:p>
      <w:pPr>
        <w:spacing w:after="0" w:line="393"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ARTICLE THREE</w:t>
      </w:r>
    </w:p>
    <w:p>
      <w:pPr>
        <w:spacing w:after="0" w:line="192"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7"/>
          <w:szCs w:val="17"/>
          <w:color w:val="auto"/>
        </w:rPr>
        <w:t>BOARD OF DIRECTORS</w:t>
      </w:r>
    </w:p>
    <w:p>
      <w:pPr>
        <w:spacing w:after="0" w:line="198" w:lineRule="exact"/>
        <w:rPr>
          <w:sz w:val="20"/>
          <w:szCs w:val="20"/>
          <w:color w:val="auto"/>
        </w:rPr>
      </w:pPr>
    </w:p>
    <w:p>
      <w:pPr>
        <w:ind w:right="2519" w:firstLine="600"/>
        <w:spacing w:after="0" w:line="256" w:lineRule="auto"/>
        <w:rPr>
          <w:sz w:val="20"/>
          <w:szCs w:val="20"/>
          <w:color w:val="auto"/>
        </w:rPr>
      </w:pPr>
      <w:r>
        <w:rPr>
          <w:rFonts w:ascii="Courier New" w:cs="Courier New" w:eastAsia="Courier New" w:hAnsi="Courier New"/>
          <w:sz w:val="16"/>
          <w:szCs w:val="16"/>
          <w:color w:val="auto"/>
        </w:rPr>
        <w:t>3.1 GENERAL POWERS. All corporate powers shall be exercised by or under the authority of, and the business and affairs of the Corporation shall be managed by, the Board of Directors, subject to any limitation set forth in the Articles of Incorporation, in bylaws approved by the stockholders, or in agreements among all the stockholders that are otherwise lawful.</w:t>
      </w:r>
    </w:p>
    <w:p>
      <w:pPr>
        <w:spacing w:after="0" w:line="187" w:lineRule="exact"/>
        <w:rPr>
          <w:sz w:val="20"/>
          <w:szCs w:val="20"/>
          <w:color w:val="auto"/>
        </w:rPr>
      </w:pPr>
    </w:p>
    <w:p>
      <w:pPr>
        <w:ind w:right="2419" w:firstLine="600"/>
        <w:spacing w:after="0" w:line="239" w:lineRule="auto"/>
        <w:rPr>
          <w:sz w:val="20"/>
          <w:szCs w:val="20"/>
          <w:color w:val="auto"/>
        </w:rPr>
      </w:pPr>
      <w:r>
        <w:rPr>
          <w:rFonts w:ascii="Courier New" w:cs="Courier New" w:eastAsia="Courier New" w:hAnsi="Courier New"/>
          <w:sz w:val="17"/>
          <w:szCs w:val="17"/>
          <w:color w:val="auto"/>
        </w:rPr>
        <w:t>3.2 NUMBER, ELECTION AND TERM OF OFFICE. The number of directors of the Corporation shall consist of eight to fourteen persons, until otherwise determined by resolution of the Board of Directors or of the stockholders from time to time; provided that no decrease in the number of directors shall have the effect of shortening the term of an incumbent director. Except as provided elsewhere in this Section 3.2 and in Section 3.4, the directors shall be elected at each annual meeting of stockholders, or at a special meeting of stockholders called for purposes that include the election of directors, by a plurality of the votes cast by the shares entitled to vote and present at the meeting. Except in case of death, resignation, disqualification, or removal, the term of each director shall expire at the next succeeding annual meeting of stockholders. Despite the expiration of a director's term, he or she shall continue to serve until his or her successor, if there is to be any, has been elected and has qualified.</w:t>
      </w:r>
    </w:p>
    <w:p>
      <w:pPr>
        <w:spacing w:after="0" w:line="386"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1440" w:right="1440" w:bottom="1440" w:gutter="0" w:footer="0" w:header="0"/>
        </w:sectPr>
      </w:pPr>
    </w:p>
    <w:bookmarkStart w:id="209" w:name="page210"/>
    <w:bookmarkEnd w:id="2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664845</wp:posOffset>
            </wp:positionV>
            <wp:extent cx="7258050"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519" w:firstLine="600"/>
        <w:spacing w:after="0" w:line="238" w:lineRule="auto"/>
        <w:rPr>
          <w:sz w:val="20"/>
          <w:szCs w:val="20"/>
          <w:color w:val="auto"/>
        </w:rPr>
      </w:pPr>
      <w:r>
        <w:rPr>
          <w:rFonts w:ascii="Courier New" w:cs="Courier New" w:eastAsia="Courier New" w:hAnsi="Courier New"/>
          <w:sz w:val="17"/>
          <w:szCs w:val="17"/>
          <w:color w:val="auto"/>
        </w:rPr>
        <w:t>3.3 REMOVAL OF DIRECTORS. The entire Board of Directors or any individual director may be removed, with or without cause, by the affirmative vote of the holders of a majority of all the shares of stock outstanding and entitled to vote for the election of directors. Removal action may be taken only at a stockholders' meeting for which notice of the removal action has been given. A removed director's successor, if any, may be elected at the same meeting to serve the unexpired term.</w:t>
      </w:r>
    </w:p>
    <w:p>
      <w:pPr>
        <w:spacing w:after="0" w:line="394" w:lineRule="exact"/>
        <w:rPr>
          <w:sz w:val="20"/>
          <w:szCs w:val="20"/>
          <w:color w:val="auto"/>
        </w:rPr>
      </w:pPr>
    </w:p>
    <w:p>
      <w:pPr>
        <w:ind w:right="2619" w:firstLine="600"/>
        <w:spacing w:after="0" w:line="238" w:lineRule="auto"/>
        <w:rPr>
          <w:sz w:val="20"/>
          <w:szCs w:val="20"/>
          <w:color w:val="auto"/>
        </w:rPr>
      </w:pPr>
      <w:r>
        <w:rPr>
          <w:rFonts w:ascii="Courier New" w:cs="Courier New" w:eastAsia="Courier New" w:hAnsi="Courier New"/>
          <w:sz w:val="17"/>
          <w:szCs w:val="17"/>
          <w:color w:val="auto"/>
        </w:rPr>
        <w:t>3.4 VACANCIES. A vacancy occurring in the Board of Directors may be filled for the unexpired term, unless the stockholders have elected a successor, by the affirmative vote of a majority of the remaining directors, whether or not the remaining directors constitute a quorum. A vacancy or vacancies in the Board of Directors may result from the death, resignation, disqualification, or removal of any director, or from an increase in the number of directors.</w:t>
      </w:r>
    </w:p>
    <w:p>
      <w:pPr>
        <w:spacing w:after="0" w:line="202" w:lineRule="exact"/>
        <w:rPr>
          <w:sz w:val="20"/>
          <w:szCs w:val="20"/>
          <w:color w:val="auto"/>
        </w:rPr>
      </w:pPr>
    </w:p>
    <w:p>
      <w:pPr>
        <w:ind w:right="2519" w:firstLine="600"/>
        <w:spacing w:after="0" w:line="238" w:lineRule="auto"/>
        <w:rPr>
          <w:sz w:val="20"/>
          <w:szCs w:val="20"/>
          <w:color w:val="auto"/>
        </w:rPr>
      </w:pPr>
      <w:r>
        <w:rPr>
          <w:rFonts w:ascii="Courier New" w:cs="Courier New" w:eastAsia="Courier New" w:hAnsi="Courier New"/>
          <w:sz w:val="17"/>
          <w:szCs w:val="17"/>
          <w:color w:val="auto"/>
        </w:rPr>
        <w:t>3.5 COMPENSATION. Directors may receive such compensation for their services as directors as may be fixed by the Board of Directors from time to time. A director may also serve the Corporation in one or more capacities other than that of director and receive compensation for services rendered in those other capacities.</w:t>
      </w:r>
    </w:p>
    <w:p>
      <w:pPr>
        <w:spacing w:after="0" w:line="199" w:lineRule="exact"/>
        <w:rPr>
          <w:sz w:val="20"/>
          <w:szCs w:val="20"/>
          <w:color w:val="auto"/>
        </w:rPr>
      </w:pPr>
    </w:p>
    <w:p>
      <w:pPr>
        <w:ind w:right="2519" w:firstLine="600"/>
        <w:spacing w:after="0" w:line="238" w:lineRule="auto"/>
        <w:rPr>
          <w:sz w:val="20"/>
          <w:szCs w:val="20"/>
          <w:color w:val="auto"/>
        </w:rPr>
      </w:pPr>
      <w:r>
        <w:rPr>
          <w:rFonts w:ascii="Courier New" w:cs="Courier New" w:eastAsia="Courier New" w:hAnsi="Courier New"/>
          <w:sz w:val="17"/>
          <w:szCs w:val="17"/>
          <w:color w:val="auto"/>
        </w:rPr>
        <w:t>3.6 COMMITTEES OF THE BOARD OF DIRECTORS. The Board of Directors may designate from among its members an executive committee or one or more other standing or ad hoc committees, each consisting of one or more directors, who serve at the pleasure of the Board of Directors. Subject to the limitations imposed by the Code, each committee shall have the authority set forth in the resolution establishing the committee or in any other resolution of the Board of Directors specifying, enlarging, or limiting the authority of the committee.</w:t>
      </w:r>
    </w:p>
    <w:p>
      <w:pPr>
        <w:spacing w:after="0" w:line="203" w:lineRule="exact"/>
        <w:rPr>
          <w:sz w:val="20"/>
          <w:szCs w:val="20"/>
          <w:color w:val="auto"/>
        </w:rPr>
      </w:pPr>
    </w:p>
    <w:p>
      <w:pPr>
        <w:ind w:right="2619" w:firstLine="600"/>
        <w:spacing w:after="0" w:line="238" w:lineRule="auto"/>
        <w:rPr>
          <w:sz w:val="20"/>
          <w:szCs w:val="20"/>
          <w:color w:val="auto"/>
        </w:rPr>
      </w:pPr>
      <w:r>
        <w:rPr>
          <w:rFonts w:ascii="Courier New" w:cs="Courier New" w:eastAsia="Courier New" w:hAnsi="Courier New"/>
          <w:sz w:val="17"/>
          <w:szCs w:val="17"/>
          <w:color w:val="auto"/>
        </w:rPr>
        <w:t>3.7 QUALIFICATION OF DIRECTORS. No person elected to serve as a director of the Corporation shall assume office and begin serving unless and until duly qualified to serve, as determined by reference to the Code, the Articles of Incorporation, and any further eligibility requirements established in these Bylaws.</w:t>
      </w:r>
    </w:p>
    <w:p>
      <w:pPr>
        <w:spacing w:after="0" w:line="386"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7"/>
          <w:szCs w:val="17"/>
          <w:color w:val="auto"/>
        </w:rPr>
        <w:t>ARTICLE FOUR</w:t>
      </w:r>
    </w:p>
    <w:p>
      <w:pPr>
        <w:spacing w:after="0" w:line="192"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MEETINGS OF THE BOARD OF DIRECTORS</w:t>
      </w:r>
    </w:p>
    <w:p>
      <w:pPr>
        <w:spacing w:after="0" w:line="198" w:lineRule="exact"/>
        <w:rPr>
          <w:sz w:val="20"/>
          <w:szCs w:val="20"/>
          <w:color w:val="auto"/>
        </w:rPr>
      </w:pPr>
    </w:p>
    <w:p>
      <w:pPr>
        <w:ind w:right="2819" w:firstLine="600"/>
        <w:spacing w:after="0" w:line="237" w:lineRule="auto"/>
        <w:rPr>
          <w:sz w:val="20"/>
          <w:szCs w:val="20"/>
          <w:color w:val="auto"/>
        </w:rPr>
      </w:pPr>
      <w:r>
        <w:rPr>
          <w:rFonts w:ascii="Courier New" w:cs="Courier New" w:eastAsia="Courier New" w:hAnsi="Courier New"/>
          <w:sz w:val="17"/>
          <w:szCs w:val="17"/>
          <w:color w:val="auto"/>
        </w:rPr>
        <w:t>4.1 REGULAR MEETINGS. A regular meeting of the Board of Directors shall be held in conjunction with each annual meeting of stockholders. In addition, the Board of Directors may, by prior resolution, hold regular meetings at other times.</w:t>
      </w:r>
    </w:p>
    <w:p>
      <w:pPr>
        <w:spacing w:after="0" w:line="201" w:lineRule="exact"/>
        <w:rPr>
          <w:sz w:val="20"/>
          <w:szCs w:val="20"/>
          <w:color w:val="auto"/>
        </w:rPr>
      </w:pPr>
    </w:p>
    <w:p>
      <w:pPr>
        <w:ind w:right="2419" w:firstLine="600"/>
        <w:spacing w:after="0" w:line="238" w:lineRule="auto"/>
        <w:rPr>
          <w:sz w:val="20"/>
          <w:szCs w:val="20"/>
          <w:color w:val="auto"/>
        </w:rPr>
      </w:pPr>
      <w:r>
        <w:rPr>
          <w:rFonts w:ascii="Courier New" w:cs="Courier New" w:eastAsia="Courier New" w:hAnsi="Courier New"/>
          <w:sz w:val="17"/>
          <w:szCs w:val="17"/>
          <w:color w:val="auto"/>
        </w:rPr>
        <w:t>4.2 CHAIRMAN OF THE BOARD. The Chairman of the Board (if there be one) shall preside at and serve as chairman of meetings of the stockholders and of the Board of Directors (unless another person is selected under Section 2.9 to act as chairman). The Chairman of the Board shall perform other duties and have other authority as may from time to time be delegated by the Board of Directors.</w:t>
      </w:r>
    </w:p>
    <w:p>
      <w:pPr>
        <w:spacing w:after="0" w:line="200" w:lineRule="exact"/>
        <w:rPr>
          <w:sz w:val="20"/>
          <w:szCs w:val="20"/>
          <w:color w:val="auto"/>
        </w:rPr>
      </w:pPr>
    </w:p>
    <w:p>
      <w:pPr>
        <w:ind w:right="2519" w:firstLine="600"/>
        <w:spacing w:after="0" w:line="237" w:lineRule="auto"/>
        <w:rPr>
          <w:sz w:val="20"/>
          <w:szCs w:val="20"/>
          <w:color w:val="auto"/>
        </w:rPr>
      </w:pPr>
      <w:r>
        <w:rPr>
          <w:rFonts w:ascii="Courier New" w:cs="Courier New" w:eastAsia="Courier New" w:hAnsi="Courier New"/>
          <w:sz w:val="17"/>
          <w:szCs w:val="17"/>
          <w:color w:val="auto"/>
        </w:rPr>
        <w:t>4.3 SPECIAL MEETINGS. Special meetings of the Board of Directors may be called by or at the request of the Chairman of the Board, the Chief Executive Officer, the President, the Chief Financial Officer or any two directors in office at that time.</w:t>
      </w:r>
    </w:p>
    <w:p>
      <w:pPr>
        <w:spacing w:after="0" w:line="387"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1440" w:right="1440" w:bottom="1440" w:gutter="0" w:footer="0" w:header="0"/>
        </w:sectPr>
      </w:pPr>
    </w:p>
    <w:bookmarkStart w:id="210" w:name="page211"/>
    <w:bookmarkEnd w:id="2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664845</wp:posOffset>
            </wp:positionV>
            <wp:extent cx="7258050"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419" w:firstLine="600"/>
        <w:spacing w:after="0" w:line="237" w:lineRule="auto"/>
        <w:rPr>
          <w:sz w:val="20"/>
          <w:szCs w:val="20"/>
          <w:color w:val="auto"/>
        </w:rPr>
      </w:pPr>
      <w:r>
        <w:rPr>
          <w:rFonts w:ascii="Courier New" w:cs="Courier New" w:eastAsia="Courier New" w:hAnsi="Courier New"/>
          <w:sz w:val="17"/>
          <w:szCs w:val="17"/>
          <w:color w:val="auto"/>
        </w:rPr>
        <w:t>4.4 PLACE OF MEETINGS. Directors may hold their meetings at any place in or outside the State of Georgia that the Board of Directors may establish from time to time.</w:t>
      </w:r>
    </w:p>
    <w:p>
      <w:pPr>
        <w:spacing w:after="0" w:line="199" w:lineRule="exact"/>
        <w:rPr>
          <w:sz w:val="20"/>
          <w:szCs w:val="20"/>
          <w:color w:val="auto"/>
        </w:rPr>
      </w:pPr>
    </w:p>
    <w:p>
      <w:pPr>
        <w:ind w:right="2419" w:firstLine="600"/>
        <w:spacing w:after="0" w:line="238" w:lineRule="auto"/>
        <w:rPr>
          <w:sz w:val="20"/>
          <w:szCs w:val="20"/>
          <w:color w:val="auto"/>
        </w:rPr>
      </w:pPr>
      <w:r>
        <w:rPr>
          <w:rFonts w:ascii="Courier New" w:cs="Courier New" w:eastAsia="Courier New" w:hAnsi="Courier New"/>
          <w:sz w:val="17"/>
          <w:szCs w:val="17"/>
          <w:color w:val="auto"/>
        </w:rPr>
        <w:t>4.5 NOTICE OF MEETINGS. Directors need not be provided with notice of any regular meeting of the Board of Directors. Unless waived in accordance with Section 4.11, the Corporation shall otherwise give at least three days' notice to each director of the date, time, and place of each special meeting. Notice of a meeting shall be deemed to have been given to any director in attendance at any prior meeting at which the date, time, and place of the subsequent meeting was announced.</w:t>
      </w:r>
    </w:p>
    <w:p>
      <w:pPr>
        <w:spacing w:after="0" w:line="202" w:lineRule="exact"/>
        <w:rPr>
          <w:sz w:val="20"/>
          <w:szCs w:val="20"/>
          <w:color w:val="auto"/>
        </w:rPr>
      </w:pPr>
    </w:p>
    <w:p>
      <w:pPr>
        <w:ind w:right="2419" w:firstLine="600"/>
        <w:spacing w:after="0" w:line="237" w:lineRule="auto"/>
        <w:rPr>
          <w:sz w:val="20"/>
          <w:szCs w:val="20"/>
          <w:color w:val="auto"/>
        </w:rPr>
      </w:pPr>
      <w:r>
        <w:rPr>
          <w:rFonts w:ascii="Courier New" w:cs="Courier New" w:eastAsia="Courier New" w:hAnsi="Courier New"/>
          <w:sz w:val="17"/>
          <w:szCs w:val="17"/>
          <w:color w:val="auto"/>
        </w:rPr>
        <w:t>4.6 QUOROM. At meetings of the Board of Directors, the greater of (a) a majority of the directors then in office, or (b) one-third of the number of directors fixed in accordance with these Bylaws shall constitute a quorum for the transaction of business.</w:t>
      </w:r>
    </w:p>
    <w:p>
      <w:pPr>
        <w:spacing w:after="0" w:line="201" w:lineRule="exact"/>
        <w:rPr>
          <w:sz w:val="20"/>
          <w:szCs w:val="20"/>
          <w:color w:val="auto"/>
        </w:rPr>
      </w:pPr>
    </w:p>
    <w:p>
      <w:pPr>
        <w:ind w:right="2419" w:firstLine="600"/>
        <w:spacing w:after="0" w:line="239" w:lineRule="auto"/>
        <w:rPr>
          <w:sz w:val="20"/>
          <w:szCs w:val="20"/>
          <w:color w:val="auto"/>
        </w:rPr>
      </w:pPr>
      <w:r>
        <w:rPr>
          <w:rFonts w:ascii="Courier New" w:cs="Courier New" w:eastAsia="Courier New" w:hAnsi="Courier New"/>
          <w:sz w:val="17"/>
          <w:szCs w:val="17"/>
          <w:color w:val="auto"/>
        </w:rPr>
        <w:t>4.7 VOTE REQUIRED FOR ACTION. If a quorum is present when a vote is taken, the vote of a majority of the directors present at the time of the vote will be the act of the Board of Directors, unless the vote of a greater number is required by the Code, the Articles of Incorporation, or these Bylaws. A director who is present at a meeting of the Board of Directors when corporate action is taken is deemed to have assented to the action taken unless (a) he or she objects at the beginning of the meeting (or promptly upon his or her arrival) to holding the meeting or transacting business at it; (b) his or her dissent or abstention from the action taken is entered in the minutes of the meeting; or (c) he or she delivers written notice of dissent or abstention to the presiding officer of the meeting before its adjournment or to the Corporation immediately after adjournment of the meeting. The right of dissent or abstention is not available to a director who votes in favor of the action taken.</w:t>
      </w:r>
    </w:p>
    <w:p>
      <w:pPr>
        <w:spacing w:after="0" w:line="200" w:lineRule="exact"/>
        <w:rPr>
          <w:sz w:val="20"/>
          <w:szCs w:val="20"/>
          <w:color w:val="auto"/>
        </w:rPr>
      </w:pPr>
    </w:p>
    <w:p>
      <w:pPr>
        <w:ind w:right="2719" w:firstLine="600"/>
        <w:spacing w:after="0" w:line="238" w:lineRule="auto"/>
        <w:rPr>
          <w:sz w:val="20"/>
          <w:szCs w:val="20"/>
          <w:color w:val="auto"/>
        </w:rPr>
      </w:pPr>
      <w:r>
        <w:rPr>
          <w:rFonts w:ascii="Courier New" w:cs="Courier New" w:eastAsia="Courier New" w:hAnsi="Courier New"/>
          <w:sz w:val="17"/>
          <w:szCs w:val="17"/>
          <w:color w:val="auto"/>
        </w:rPr>
        <w:t>4.8 PARTICIPATION BY CONFERENCE TELEPHONE. Members of the Board of Directors may participate in a meeting of the Board by means of conference telephone or similar communications equipment through which all persons participating may hear and speak to each other. Participation in a meeting pursuant to this Section 4.8 shall constitute presence in person at the meeting.</w:t>
      </w:r>
    </w:p>
    <w:p>
      <w:pPr>
        <w:spacing w:after="0" w:line="200" w:lineRule="exact"/>
        <w:rPr>
          <w:sz w:val="20"/>
          <w:szCs w:val="20"/>
          <w:color w:val="auto"/>
        </w:rPr>
      </w:pPr>
    </w:p>
    <w:p>
      <w:pPr>
        <w:ind w:right="2419" w:firstLine="600"/>
        <w:spacing w:after="0" w:line="238" w:lineRule="auto"/>
        <w:rPr>
          <w:sz w:val="20"/>
          <w:szCs w:val="20"/>
          <w:color w:val="auto"/>
        </w:rPr>
      </w:pPr>
      <w:r>
        <w:rPr>
          <w:rFonts w:ascii="Courier New" w:cs="Courier New" w:eastAsia="Courier New" w:hAnsi="Courier New"/>
          <w:sz w:val="17"/>
          <w:szCs w:val="17"/>
          <w:color w:val="auto"/>
        </w:rPr>
        <w:t>4.9 ACTION BY DIRECTORS WITHOUT A MEETING. Any action required or permitted to be taken at any meeting of the Board of Directors may be taken without a meeting if a written consent, describing the action taken, is signed by each director and delivered to the Corporation for inclusion in the minutes or filing with the corporate records. The consent may be executed in counterparts, and shall have the same force and effect as a unanimous vote of the Board of Directors at a duly convened meeting.</w:t>
      </w:r>
    </w:p>
    <w:p>
      <w:pPr>
        <w:spacing w:after="0" w:line="202" w:lineRule="exact"/>
        <w:rPr>
          <w:sz w:val="20"/>
          <w:szCs w:val="20"/>
          <w:color w:val="auto"/>
        </w:rPr>
      </w:pPr>
    </w:p>
    <w:p>
      <w:pPr>
        <w:ind w:right="2419" w:firstLine="600"/>
        <w:spacing w:after="0" w:line="238" w:lineRule="auto"/>
        <w:rPr>
          <w:sz w:val="20"/>
          <w:szCs w:val="20"/>
          <w:color w:val="auto"/>
        </w:rPr>
      </w:pPr>
      <w:r>
        <w:rPr>
          <w:rFonts w:ascii="Courier New" w:cs="Courier New" w:eastAsia="Courier New" w:hAnsi="Courier New"/>
          <w:sz w:val="17"/>
          <w:szCs w:val="17"/>
          <w:color w:val="auto"/>
        </w:rPr>
        <w:t>4.10 ADJOURNMENTS. A meeting of the Board of Directors, whether or not a quorum is present, may be adjourned by a majority of the directors present to reconvene at a specific time and place. It shall not be necessary to give notice to the directors of the reconvened meeting or of the business to be transacted, other than by announcement at the meeting that was adjourned, unless a quorum was not present at the meeting that was adjourned, in which case notice shall be given to directors in the same manner as for a special meeting. At any such reconvened meeting at which a quorum is present, any business may be transacted that could have been transacted at the meeting that was adjourned.</w:t>
      </w:r>
    </w:p>
    <w:p>
      <w:pPr>
        <w:spacing w:after="0" w:line="392"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1440" w:right="1440" w:bottom="1440" w:gutter="0" w:footer="0" w:header="0"/>
        </w:sectPr>
      </w:pPr>
    </w:p>
    <w:bookmarkStart w:id="211" w:name="page212"/>
    <w:bookmarkEnd w:id="2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664845</wp:posOffset>
            </wp:positionV>
            <wp:extent cx="7258050"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419" w:firstLine="600"/>
        <w:spacing w:after="0" w:line="255" w:lineRule="auto"/>
        <w:rPr>
          <w:sz w:val="20"/>
          <w:szCs w:val="20"/>
          <w:color w:val="auto"/>
        </w:rPr>
      </w:pPr>
      <w:r>
        <w:rPr>
          <w:rFonts w:ascii="Courier New" w:cs="Courier New" w:eastAsia="Courier New" w:hAnsi="Courier New"/>
          <w:sz w:val="16"/>
          <w:szCs w:val="16"/>
          <w:color w:val="auto"/>
        </w:rPr>
        <w:t>4.11 WAIVER OF NOTICE. A director may waive any notice required by the Code, the Articles of Incorporation, or these Bylaws before or after the date and time of the matter to which the notice relates, by a written waiver signed by the director and delivered to the Corporation for inclusion in the minutes or filing with the corporate records. Attendance by a director at a meeting shall constitute waiver of notice of the meeting, except where a director at the beginning of the meeting (or promptly upon his or her arrival) objects to holding the meeting or to transacting business at the meeting, and does not thereafter vote for or assent to action taken at the meeting.</w:t>
      </w:r>
    </w:p>
    <w:p>
      <w:pPr>
        <w:spacing w:after="0" w:line="376"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7"/>
          <w:szCs w:val="17"/>
          <w:color w:val="auto"/>
        </w:rPr>
        <w:t>ARTICLE FIVE</w:t>
      </w:r>
    </w:p>
    <w:p>
      <w:pPr>
        <w:spacing w:after="0" w:line="192"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7"/>
          <w:szCs w:val="17"/>
          <w:color w:val="auto"/>
        </w:rPr>
        <w:t>OFFICERS</w:t>
      </w:r>
    </w:p>
    <w:p>
      <w:pPr>
        <w:spacing w:after="0" w:line="198" w:lineRule="exact"/>
        <w:rPr>
          <w:sz w:val="20"/>
          <w:szCs w:val="20"/>
          <w:color w:val="auto"/>
        </w:rPr>
      </w:pPr>
    </w:p>
    <w:p>
      <w:pPr>
        <w:ind w:right="2419" w:firstLine="600"/>
        <w:spacing w:after="0" w:line="239" w:lineRule="auto"/>
        <w:rPr>
          <w:sz w:val="20"/>
          <w:szCs w:val="20"/>
          <w:color w:val="auto"/>
        </w:rPr>
      </w:pPr>
      <w:r>
        <w:rPr>
          <w:rFonts w:ascii="Courier New" w:cs="Courier New" w:eastAsia="Courier New" w:hAnsi="Courier New"/>
          <w:sz w:val="17"/>
          <w:szCs w:val="17"/>
          <w:color w:val="auto"/>
        </w:rPr>
        <w:t>5.1 OFFICERS. The Board of Directors, as soon as may be possible after the election thereof held each year, shall elect or appoint a President, a Secretary and a Treasurer, and may also elect or appoint a Chief Executive Officer and a Chief Financial Officer. The Board of Directors may also elect a Chairman of the Board from among its members. The Board of Directors from time to time may create and establish the duties of other officers and may elect or appoint, or authorize specific senior officers to appoint, the person who shall hold other offices, including one or more Vice Presidents (including Executive Vice Presidents, Senior Vice Presidents, Assistant Vice Presidents, and the like), one or more Assistant Secretaries, and one or more Assistant Treasurers. Whether or not so provided by the Board of Directors, the Chairman of the Board, the Chief Executive Officer, the President or the Chief Financial Officer may appoint one or more Assistant Secretaries and one or more Assistant Treasurers. Any two or more offices may be held by the same person except that no person may hold both the offices of President and Secretary.</w:t>
      </w:r>
    </w:p>
    <w:p>
      <w:pPr>
        <w:spacing w:after="0" w:line="201" w:lineRule="exact"/>
        <w:rPr>
          <w:sz w:val="20"/>
          <w:szCs w:val="20"/>
          <w:color w:val="auto"/>
        </w:rPr>
      </w:pPr>
    </w:p>
    <w:p>
      <w:pPr>
        <w:ind w:right="2619" w:firstLine="600"/>
        <w:spacing w:after="0" w:line="255" w:lineRule="auto"/>
        <w:rPr>
          <w:sz w:val="20"/>
          <w:szCs w:val="20"/>
          <w:color w:val="auto"/>
        </w:rPr>
      </w:pPr>
      <w:r>
        <w:rPr>
          <w:rFonts w:ascii="Courier New" w:cs="Courier New" w:eastAsia="Courier New" w:hAnsi="Courier New"/>
          <w:sz w:val="16"/>
          <w:szCs w:val="16"/>
          <w:color w:val="auto"/>
        </w:rPr>
        <w:t>5.2 TERM. Each officer shall serve at the pleasure of the Board of Directors (or, if appointed by the Chief Executive Officer, President, Chief Financial Officer or a senior officer pursuant to this Article Five, at the pleasure of the Board of Directors, the Chief Executive Officer, President, Chief Financial Officer, or the senior officer authorized to have appointed the officer) until his death, resignation, or removal, or until his replacement is elected or appointed in accordance with this Article Five.</w:t>
      </w:r>
    </w:p>
    <w:p>
      <w:pPr>
        <w:spacing w:after="0" w:line="190" w:lineRule="exact"/>
        <w:rPr>
          <w:sz w:val="20"/>
          <w:szCs w:val="20"/>
          <w:color w:val="auto"/>
        </w:rPr>
      </w:pPr>
    </w:p>
    <w:p>
      <w:pPr>
        <w:ind w:right="2419" w:firstLine="600"/>
        <w:spacing w:after="0" w:line="258" w:lineRule="auto"/>
        <w:rPr>
          <w:sz w:val="20"/>
          <w:szCs w:val="20"/>
          <w:color w:val="auto"/>
        </w:rPr>
      </w:pPr>
      <w:r>
        <w:rPr>
          <w:rFonts w:ascii="Courier New" w:cs="Courier New" w:eastAsia="Courier New" w:hAnsi="Courier New"/>
          <w:sz w:val="16"/>
          <w:szCs w:val="16"/>
          <w:color w:val="auto"/>
        </w:rPr>
        <w:t>5.3 COMPENSATION. The compensation of all officers of the Corporation shall be fixed by the Board of Directors or by a committee or officer appointed by the Board of Directors. Officers may serve without compensation.</w:t>
      </w:r>
    </w:p>
    <w:p>
      <w:pPr>
        <w:spacing w:after="0" w:line="185" w:lineRule="exact"/>
        <w:rPr>
          <w:sz w:val="20"/>
          <w:szCs w:val="20"/>
          <w:color w:val="auto"/>
        </w:rPr>
      </w:pPr>
    </w:p>
    <w:p>
      <w:pPr>
        <w:ind w:right="2519" w:firstLine="600"/>
        <w:spacing w:after="0" w:line="238" w:lineRule="auto"/>
        <w:rPr>
          <w:sz w:val="20"/>
          <w:szCs w:val="20"/>
          <w:color w:val="auto"/>
        </w:rPr>
      </w:pPr>
      <w:r>
        <w:rPr>
          <w:rFonts w:ascii="Courier New" w:cs="Courier New" w:eastAsia="Courier New" w:hAnsi="Courier New"/>
          <w:sz w:val="17"/>
          <w:szCs w:val="17"/>
          <w:color w:val="auto"/>
        </w:rPr>
        <w:t>5.4 REMOVAL. All officers (regardless of how elected or appointed) may be removed, with or without cause, by the Board of Directors, and any officer appointed by the Chief Executive Officer, President, Chief Financial Officer or another senior officer may also be removed, with or without cause, by the Chief Executive Officer, President, Chief Financial Officer or by any senior officer authorized to have appointed the officer to be removed. Removal will be without prejudice to the contract rights, if any, of the person removed, but shall be effective notwithstanding any damage claim that may result from infringement of such contract rights.</w:t>
      </w:r>
    </w:p>
    <w:p>
      <w:pPr>
        <w:spacing w:after="0" w:line="391"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1440" w:right="1440" w:bottom="1440" w:gutter="0" w:footer="0" w:header="0"/>
        </w:sectPr>
      </w:pPr>
    </w:p>
    <w:bookmarkStart w:id="212" w:name="page213"/>
    <w:bookmarkEnd w:id="2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664210</wp:posOffset>
            </wp:positionV>
            <wp:extent cx="7258050"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419" w:firstLine="600"/>
        <w:spacing w:after="0" w:line="238" w:lineRule="auto"/>
        <w:rPr>
          <w:sz w:val="20"/>
          <w:szCs w:val="20"/>
          <w:color w:val="auto"/>
        </w:rPr>
      </w:pPr>
      <w:r>
        <w:rPr>
          <w:rFonts w:ascii="Courier New" w:cs="Courier New" w:eastAsia="Courier New" w:hAnsi="Courier New"/>
          <w:sz w:val="17"/>
          <w:szCs w:val="17"/>
          <w:color w:val="auto"/>
        </w:rPr>
        <w:t>5.5 CHAIRMAN OF THE BOARD. The Chairman of the Board (if there be one) shall preside at and serve as chairman of meetings of the stockholders and of the Board of Directors (unless another person is selected under Section 2.9 to act as Chairman). The Chairman of the Board shall perform other duties and have other authority as may from time to time be delegated by the Board of Directors.</w:t>
      </w:r>
    </w:p>
    <w:p>
      <w:pPr>
        <w:spacing w:after="0" w:line="200" w:lineRule="exact"/>
        <w:rPr>
          <w:sz w:val="20"/>
          <w:szCs w:val="20"/>
          <w:color w:val="auto"/>
        </w:rPr>
      </w:pPr>
    </w:p>
    <w:p>
      <w:pPr>
        <w:ind w:right="2419" w:firstLine="600"/>
        <w:spacing w:after="0" w:line="255" w:lineRule="auto"/>
        <w:rPr>
          <w:sz w:val="20"/>
          <w:szCs w:val="20"/>
          <w:color w:val="auto"/>
        </w:rPr>
      </w:pPr>
      <w:r>
        <w:rPr>
          <w:rFonts w:ascii="Courier New" w:cs="Courier New" w:eastAsia="Courier New" w:hAnsi="Courier New"/>
          <w:sz w:val="16"/>
          <w:szCs w:val="16"/>
          <w:color w:val="auto"/>
        </w:rPr>
        <w:t>5.6 CHIEF EXECUTIVE OFFICER. The Chief Executive Officer (if there be one) shall be charged with the general and active management of the Corporation, shall see that all orders and resolutions of the Board of Directors are carried into effect, shall have the authority to select and appoint employees and agents of the Corporation, and shall, in the absence or disability of the Chairman of the Board, perform the duties and exercise the powers of the Chairman of the Board. The Chief Executive Officer shall also be responsible for the development, establishment, and implementation of the policy and strategic initiatives for the Corporation. The Chief Executive Officer shall perform any other duties and have any other authority as may be delegated from time to time by the Board of Directors, and shall be subject to the limitations fixed from time to time by the Board of Directors.</w:t>
      </w:r>
    </w:p>
    <w:p>
      <w:pPr>
        <w:spacing w:after="0" w:line="189" w:lineRule="exact"/>
        <w:rPr>
          <w:sz w:val="20"/>
          <w:szCs w:val="20"/>
          <w:color w:val="auto"/>
        </w:rPr>
      </w:pPr>
    </w:p>
    <w:p>
      <w:pPr>
        <w:ind w:right="2419" w:firstLine="600"/>
        <w:spacing w:after="0" w:line="238" w:lineRule="auto"/>
        <w:rPr>
          <w:sz w:val="20"/>
          <w:szCs w:val="20"/>
          <w:color w:val="auto"/>
        </w:rPr>
      </w:pPr>
      <w:r>
        <w:rPr>
          <w:rFonts w:ascii="Courier New" w:cs="Courier New" w:eastAsia="Courier New" w:hAnsi="Courier New"/>
          <w:sz w:val="17"/>
          <w:szCs w:val="17"/>
          <w:color w:val="auto"/>
        </w:rPr>
        <w:t>5.7 PRESIDENT. If there shall be no separate Chief Executive Officer of the Corporation, then the President shall be the chief executive officer of the Corporation, with the duties and authority provided in Section 5.6. The President shall perform such other duties and have such other authority as may from time to time be delegated by the Board of Directors. In the absence or disability of the Chief Executive Officer, the President shall perform the duties and exercise the powers of the Chief Executive Officer.</w:t>
      </w:r>
    </w:p>
    <w:p>
      <w:pPr>
        <w:spacing w:after="0" w:line="202" w:lineRule="exact"/>
        <w:rPr>
          <w:sz w:val="20"/>
          <w:szCs w:val="20"/>
          <w:color w:val="auto"/>
        </w:rPr>
      </w:pPr>
    </w:p>
    <w:p>
      <w:pPr>
        <w:ind w:right="2419" w:firstLine="600"/>
        <w:spacing w:after="0" w:line="239" w:lineRule="auto"/>
        <w:rPr>
          <w:sz w:val="20"/>
          <w:szCs w:val="20"/>
          <w:color w:val="auto"/>
        </w:rPr>
      </w:pPr>
      <w:r>
        <w:rPr>
          <w:rFonts w:ascii="Courier New" w:cs="Courier New" w:eastAsia="Courier New" w:hAnsi="Courier New"/>
          <w:sz w:val="17"/>
          <w:szCs w:val="17"/>
          <w:color w:val="auto"/>
        </w:rPr>
        <w:t>5.8 CHIEF FINANCIAL OFFICER. The Chief Financial Officer shall have the legal custody of the corporate funds and securities and shall keep or cause to be kept full and accurate accounts of receipts and disbursements and other appropriate accounting records in books belonging to the Corporation and shall deposit all funds and other valuable items in the name and to the credit of the Corporation in such depositories as may be designated by the Board of Directors. He shall render to the Chairman of the Board and the Board of Directors, at its regular meetings, or when the Chairman of the Board or the Board of Directors so requires, an account of all his transactions as Chief Financial Officer and of the financial condition of the Corporation. If required by the Board of Directors, he shall give the Corporation a bond in such sum, or such conditions, and with such surety or sureties as shall be satisfactory to the Board of Directors for the faithful performance of the duties of his office.</w:t>
      </w:r>
    </w:p>
    <w:p>
      <w:pPr>
        <w:spacing w:after="0" w:line="200" w:lineRule="exact"/>
        <w:rPr>
          <w:sz w:val="20"/>
          <w:szCs w:val="20"/>
          <w:color w:val="auto"/>
        </w:rPr>
      </w:pPr>
    </w:p>
    <w:p>
      <w:pPr>
        <w:ind w:right="2419" w:firstLine="600"/>
        <w:spacing w:after="0" w:line="238" w:lineRule="auto"/>
        <w:rPr>
          <w:sz w:val="20"/>
          <w:szCs w:val="20"/>
          <w:color w:val="auto"/>
        </w:rPr>
      </w:pPr>
      <w:r>
        <w:rPr>
          <w:rFonts w:ascii="Courier New" w:cs="Courier New" w:eastAsia="Courier New" w:hAnsi="Courier New"/>
          <w:sz w:val="17"/>
          <w:szCs w:val="17"/>
          <w:color w:val="auto"/>
        </w:rPr>
        <w:t>5.9 VICE PRESIDENT. The Vice President (if there be one) shall, in the absence or disability of the President, perform the duties and exercise the powers of the President, whether the duties and powers are specified in these Bylaws or otherwise. If the Corporation has more than one Vice President, the one designated by the Board of Directors shall act in the event of the absence or disability of the President. Vice Presidents shall perform any other duties and have any other authority as from time to time may be delegated by the Board of Directors, the Chief Executive Officer, the President, or the Chief Financial Officer.</w:t>
      </w:r>
    </w:p>
    <w:p>
      <w:pPr>
        <w:spacing w:after="0" w:line="204" w:lineRule="exact"/>
        <w:rPr>
          <w:sz w:val="20"/>
          <w:szCs w:val="20"/>
          <w:color w:val="auto"/>
        </w:rPr>
      </w:pPr>
    </w:p>
    <w:p>
      <w:pPr>
        <w:ind w:right="2619" w:firstLine="600"/>
        <w:spacing w:after="0" w:line="257" w:lineRule="auto"/>
        <w:rPr>
          <w:sz w:val="20"/>
          <w:szCs w:val="20"/>
          <w:color w:val="auto"/>
        </w:rPr>
      </w:pPr>
      <w:r>
        <w:rPr>
          <w:rFonts w:ascii="Courier New" w:cs="Courier New" w:eastAsia="Courier New" w:hAnsi="Courier New"/>
          <w:sz w:val="16"/>
          <w:szCs w:val="16"/>
          <w:color w:val="auto"/>
        </w:rPr>
        <w:t>5.10 SECRETARY. The Secretary shall be responsible for preparing minutes of the meetings of stockholders, directors, and committees of directors, and for authenticating records of the Corporation. The Secretary or any Assistant Secretary shall have authority to give all notices required</w:t>
      </w:r>
    </w:p>
    <w:p>
      <w:pPr>
        <w:spacing w:after="0" w:line="179"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1440" w:right="1440" w:bottom="1440" w:gutter="0" w:footer="0" w:header="0"/>
        </w:sectPr>
      </w:pPr>
    </w:p>
    <w:bookmarkStart w:id="213" w:name="page214"/>
    <w:bookmarkEnd w:id="2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664845</wp:posOffset>
            </wp:positionV>
            <wp:extent cx="7258050"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319" w:firstLine="100"/>
        <w:spacing w:after="0" w:line="238" w:lineRule="auto"/>
        <w:rPr>
          <w:sz w:val="20"/>
          <w:szCs w:val="20"/>
          <w:color w:val="auto"/>
        </w:rPr>
      </w:pPr>
      <w:r>
        <w:rPr>
          <w:rFonts w:ascii="Courier New" w:cs="Courier New" w:eastAsia="Courier New" w:hAnsi="Courier New"/>
          <w:sz w:val="17"/>
          <w:szCs w:val="17"/>
          <w:color w:val="auto"/>
        </w:rPr>
        <w:t>by law or these Bylaws. The Secretary shall be responsible for the custody of the corporate books, records, contracts, and other documents. The Secretary or any Assistant Secretary may affix the corporate seal to any lawfully executed documents requiring it, may attest to the signature of any officer of the Corporation, and shall sign any instrument that requires the Secretary's signature. The Secretary or any Assistant Secretary shall perform any other duties and have any other authority as from time to time may be delegated by the Board of Directors, the Chief Executive Officer, the President, or the Chief Financial Officer.</w:t>
      </w:r>
    </w:p>
    <w:p>
      <w:pPr>
        <w:spacing w:after="0" w:line="204" w:lineRule="exact"/>
        <w:rPr>
          <w:sz w:val="20"/>
          <w:szCs w:val="20"/>
          <w:color w:val="auto"/>
        </w:rPr>
      </w:pPr>
    </w:p>
    <w:p>
      <w:pPr>
        <w:ind w:right="2419" w:firstLine="600"/>
        <w:spacing w:after="0" w:line="255" w:lineRule="auto"/>
        <w:rPr>
          <w:sz w:val="20"/>
          <w:szCs w:val="20"/>
          <w:color w:val="auto"/>
        </w:rPr>
      </w:pPr>
      <w:r>
        <w:rPr>
          <w:rFonts w:ascii="Courier New" w:cs="Courier New" w:eastAsia="Courier New" w:hAnsi="Courier New"/>
          <w:sz w:val="16"/>
          <w:szCs w:val="16"/>
          <w:color w:val="auto"/>
        </w:rPr>
        <w:t>5.11 TREASURER. Unless otherwise provided by the Board of Directors, the Treasurer shall be responsible for the custody of all funds and securities belonging to the Corporation and for the receipt, deposit, or disbursement of these funds and securities under the direction of the Board of Directors. The Treasurer shall cause full and true accounts of all receipts and disbursements to be maintained, and shall make reports of these receipts and disbursements to the Board of Directors, the Chief Executive Officer, the President, and the Chief Financial Officer upon request. The Treasurer or Assistant Treasurer shall perform any other duties and have any other authority as from time to time may be delegated by the Board of Directors, the Chief Executive Officer, the President, or the Chief Financial Officer.</w:t>
      </w:r>
    </w:p>
    <w:p>
      <w:pPr>
        <w:spacing w:after="0" w:line="184"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ARTICLE SIX</w:t>
      </w:r>
    </w:p>
    <w:p>
      <w:pPr>
        <w:spacing w:after="0" w:line="192"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DISTRIBUTIONS AND DIVIDENDS</w:t>
      </w:r>
    </w:p>
    <w:p>
      <w:pPr>
        <w:spacing w:after="0" w:line="198" w:lineRule="exact"/>
        <w:rPr>
          <w:sz w:val="20"/>
          <w:szCs w:val="20"/>
          <w:color w:val="auto"/>
        </w:rPr>
      </w:pPr>
    </w:p>
    <w:p>
      <w:pPr>
        <w:ind w:right="2719" w:firstLine="600"/>
        <w:spacing w:after="0" w:line="237" w:lineRule="auto"/>
        <w:rPr>
          <w:sz w:val="20"/>
          <w:szCs w:val="20"/>
          <w:color w:val="auto"/>
        </w:rPr>
      </w:pPr>
      <w:r>
        <w:rPr>
          <w:rFonts w:ascii="Courier New" w:cs="Courier New" w:eastAsia="Courier New" w:hAnsi="Courier New"/>
          <w:sz w:val="17"/>
          <w:szCs w:val="17"/>
          <w:color w:val="auto"/>
        </w:rPr>
        <w:t>Unless the Articles of Incorporation provides otherwise, the Board of Directors, from time to time in its discretion, may authorize or declare distributions or share dividends in accordance with the Code.</w:t>
      </w:r>
    </w:p>
    <w:p>
      <w:pPr>
        <w:spacing w:after="0" w:line="38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ARTICLE SEVEN</w:t>
      </w:r>
    </w:p>
    <w:p>
      <w:pPr>
        <w:spacing w:after="0" w:line="192"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7"/>
          <w:szCs w:val="17"/>
          <w:color w:val="auto"/>
        </w:rPr>
        <w:t>SHARES</w:t>
      </w:r>
    </w:p>
    <w:p>
      <w:pPr>
        <w:spacing w:after="0" w:line="198" w:lineRule="exact"/>
        <w:rPr>
          <w:sz w:val="20"/>
          <w:szCs w:val="20"/>
          <w:color w:val="auto"/>
        </w:rPr>
      </w:pPr>
    </w:p>
    <w:p>
      <w:pPr>
        <w:ind w:right="2419" w:firstLine="600"/>
        <w:spacing w:after="0" w:line="239" w:lineRule="auto"/>
        <w:rPr>
          <w:sz w:val="20"/>
          <w:szCs w:val="20"/>
          <w:color w:val="auto"/>
        </w:rPr>
      </w:pPr>
      <w:r>
        <w:rPr>
          <w:rFonts w:ascii="Courier New" w:cs="Courier New" w:eastAsia="Courier New" w:hAnsi="Courier New"/>
          <w:sz w:val="17"/>
          <w:szCs w:val="17"/>
          <w:color w:val="auto"/>
        </w:rPr>
        <w:t>7.1 SHARE CERTIFICATES. The interest of each stockholder in the Corporation shall be evidenced by a certificate or certificates representing shares of the Corporation, which shall be in such form as the Board of Directors from time to time may adopt in accordance with the Code. Share certificates shall be in registered form and shall indicate the date of issue, the name of the Corporation, the name of the stockholder, and the number and class of shares and designation of the series, if any, represented by the certificate. Each certificate shall be signed by the President or a Vice President (or in lieu thereof, by the Chairman of the Board, Chief Executive Officer or the Chief Financial Officer, if there be any) and may be signed by the Secretary or an Assistant Secretary.</w:t>
      </w:r>
    </w:p>
    <w:p>
      <w:pPr>
        <w:spacing w:after="0" w:line="198" w:lineRule="exact"/>
        <w:rPr>
          <w:sz w:val="20"/>
          <w:szCs w:val="20"/>
          <w:color w:val="auto"/>
        </w:rPr>
      </w:pPr>
    </w:p>
    <w:p>
      <w:pPr>
        <w:ind w:right="2419" w:firstLine="600"/>
        <w:spacing w:after="0" w:line="255" w:lineRule="auto"/>
        <w:rPr>
          <w:sz w:val="20"/>
          <w:szCs w:val="20"/>
          <w:color w:val="auto"/>
        </w:rPr>
      </w:pPr>
      <w:r>
        <w:rPr>
          <w:rFonts w:ascii="Courier New" w:cs="Courier New" w:eastAsia="Courier New" w:hAnsi="Courier New"/>
          <w:sz w:val="16"/>
          <w:szCs w:val="16"/>
          <w:color w:val="auto"/>
        </w:rPr>
        <w:t>7.2 RIGHTS OF CORPORATION WITH RESPECT TO REGISTERED OWNERS. Prior to due presentation for transfer of registration of its shares, the Corporation may treat the registered owner of the shares (or the beneficial owner of the shares to the extent of any rights granted by a nominee certificate on file with the Corporation pursuant to any procedure that may be established by the Corporation in accordance with the Code) as the person exclusively entitled to vote the shares, to receive any dividend or other distribution with respect to the shares, and for all other purposes; and the Corporation shall not be bound</w:t>
      </w:r>
    </w:p>
    <w:p>
      <w:pPr>
        <w:spacing w:after="0" w:line="184"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1440" w:right="1440" w:bottom="1440" w:gutter="0" w:footer="0" w:header="0"/>
        </w:sectPr>
      </w:pPr>
    </w:p>
    <w:bookmarkStart w:id="214" w:name="page215"/>
    <w:bookmarkEnd w:id="2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664845</wp:posOffset>
            </wp:positionV>
            <wp:extent cx="7258050"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419" w:firstLine="100"/>
        <w:spacing w:after="0" w:line="237" w:lineRule="auto"/>
        <w:rPr>
          <w:sz w:val="20"/>
          <w:szCs w:val="20"/>
          <w:color w:val="auto"/>
        </w:rPr>
      </w:pPr>
      <w:r>
        <w:rPr>
          <w:rFonts w:ascii="Courier New" w:cs="Courier New" w:eastAsia="Courier New" w:hAnsi="Courier New"/>
          <w:sz w:val="17"/>
          <w:szCs w:val="17"/>
          <w:color w:val="auto"/>
        </w:rPr>
        <w:t>to recognize any equitable or other claim to or interest in the shares on the part of any other person, whether or not it has express or other notice of such a claim or interest, except as otherwise provided by law.</w:t>
      </w:r>
    </w:p>
    <w:p>
      <w:pPr>
        <w:spacing w:after="0" w:line="199" w:lineRule="exact"/>
        <w:rPr>
          <w:sz w:val="20"/>
          <w:szCs w:val="20"/>
          <w:color w:val="auto"/>
        </w:rPr>
      </w:pPr>
    </w:p>
    <w:p>
      <w:pPr>
        <w:ind w:right="2419" w:firstLine="600"/>
        <w:spacing w:after="0" w:line="238" w:lineRule="auto"/>
        <w:rPr>
          <w:sz w:val="20"/>
          <w:szCs w:val="20"/>
          <w:color w:val="auto"/>
        </w:rPr>
      </w:pPr>
      <w:r>
        <w:rPr>
          <w:rFonts w:ascii="Courier New" w:cs="Courier New" w:eastAsia="Courier New" w:hAnsi="Courier New"/>
          <w:sz w:val="17"/>
          <w:szCs w:val="17"/>
          <w:color w:val="auto"/>
        </w:rPr>
        <w:t>7.3 TRANSFERS OF SHARES. Transfers of shares shall be made upon the books of the Corporation kept by the Corporation or by the transfer agent designated to transfer the shares, only upon direction of the person named in the certificate or by an attorney lawfully constituted in writing. Before a new certificate is issued, the old certificate shall be surrendered for cancellation or, in the case of a certificate alleged to have been lost, stolen, or destroyed, the provisions of Section 7.5 of these Bylaws shall have been complied with.</w:t>
      </w:r>
    </w:p>
    <w:p>
      <w:pPr>
        <w:spacing w:after="0" w:line="203" w:lineRule="exact"/>
        <w:rPr>
          <w:sz w:val="20"/>
          <w:szCs w:val="20"/>
          <w:color w:val="auto"/>
        </w:rPr>
      </w:pPr>
    </w:p>
    <w:p>
      <w:pPr>
        <w:ind w:right="2419" w:firstLine="600"/>
        <w:spacing w:after="0" w:line="255" w:lineRule="auto"/>
        <w:rPr>
          <w:sz w:val="20"/>
          <w:szCs w:val="20"/>
          <w:color w:val="auto"/>
        </w:rPr>
      </w:pPr>
      <w:r>
        <w:rPr>
          <w:rFonts w:ascii="Courier New" w:cs="Courier New" w:eastAsia="Courier New" w:hAnsi="Courier New"/>
          <w:sz w:val="16"/>
          <w:szCs w:val="16"/>
          <w:color w:val="auto"/>
        </w:rPr>
        <w:t>7.4 DUTY OF CORPORATION TO REGISTER TRANSFER. Notwithstanding any of the provisions of Section 7.3 of these Bylaws, the Corporation is under a duty to register the transfer of its shares only if: (a) the share certificate is endorsed by the appropriate person or persons; (b) reasonable assurance is given that each required endorsement is genuine and effective; (c) the Corporation has no duty to inquire into adverse claims or has discharged any such duty; (d) any applicable law relating to the collection of taxes has been complied with; (e) the transfer is in fact rightful or is to a bona fide purchaser; and (f) the transfer is in compliance with applicable provisions of any transfer restrictions of which the Corporation shall have notice.</w:t>
      </w:r>
    </w:p>
    <w:p>
      <w:pPr>
        <w:spacing w:after="0" w:line="190" w:lineRule="exact"/>
        <w:rPr>
          <w:sz w:val="20"/>
          <w:szCs w:val="20"/>
          <w:color w:val="auto"/>
        </w:rPr>
      </w:pPr>
    </w:p>
    <w:p>
      <w:pPr>
        <w:ind w:right="2519" w:firstLine="600"/>
        <w:spacing w:after="0" w:line="238" w:lineRule="auto"/>
        <w:rPr>
          <w:sz w:val="20"/>
          <w:szCs w:val="20"/>
          <w:color w:val="auto"/>
        </w:rPr>
      </w:pPr>
      <w:r>
        <w:rPr>
          <w:rFonts w:ascii="Courier New" w:cs="Courier New" w:eastAsia="Courier New" w:hAnsi="Courier New"/>
          <w:sz w:val="17"/>
          <w:szCs w:val="17"/>
          <w:color w:val="auto"/>
        </w:rPr>
        <w:t>7.5 LOST, STOLEN, OR DESTROYED CERTIFICATES. Any person claiming a share certificate to be lost, stolen, or destroyed shall make an affidavit or affirmation of this claim in such a manner as the Corporation may require and shall, if the Corporation requires, give the Corporation a bond of indemnity in form and amount, and with one or more sureties satisfactory to the Corporation, as the Corporation may require, whereupon an appropriate new certificate may be issued in lieu of the one alleged to have been lost, stolen, or destroyed.</w:t>
      </w:r>
    </w:p>
    <w:p>
      <w:pPr>
        <w:spacing w:after="0" w:line="203" w:lineRule="exact"/>
        <w:rPr>
          <w:sz w:val="20"/>
          <w:szCs w:val="20"/>
          <w:color w:val="auto"/>
        </w:rPr>
      </w:pPr>
    </w:p>
    <w:p>
      <w:pPr>
        <w:ind w:right="2519" w:firstLine="600"/>
        <w:spacing w:after="0" w:line="239" w:lineRule="auto"/>
        <w:rPr>
          <w:sz w:val="20"/>
          <w:szCs w:val="20"/>
          <w:color w:val="auto"/>
        </w:rPr>
      </w:pPr>
      <w:r>
        <w:rPr>
          <w:rFonts w:ascii="Courier New" w:cs="Courier New" w:eastAsia="Courier New" w:hAnsi="Courier New"/>
          <w:sz w:val="17"/>
          <w:szCs w:val="17"/>
          <w:color w:val="auto"/>
        </w:rPr>
        <w:t>7.6 Fixing of Record Date. For the purpose of determining stockholders (a) entitled to notice of or to vote at any meeting of stockholders or, if necessary, any adjournment thereof, (b) entitled to receive payment of any distribution or dividend, or (c) for any other proper purpose, the Board of Directors may fix in advance a date as the record date. The record date may not be more than 60 days (and, in the case of a notice to stockholders of a stockholders' meeting, not less than 10 days) prior to the date on which the particular action, requiring the determination of stockholders, is to be taken. A determination of stockholders of record entitled to notice of or to vote at a meeting of stockholders shall apply to any adjournment of the meeting, unless the Board of Directors shall fix a new record date for the reconvened meeting, which it must do if the meeting is adjourned to a date more than 30 days after the date fixed for the original meeting.</w:t>
      </w:r>
    </w:p>
    <w:p>
      <w:pPr>
        <w:spacing w:after="0" w:line="200" w:lineRule="exact"/>
        <w:rPr>
          <w:sz w:val="20"/>
          <w:szCs w:val="20"/>
          <w:color w:val="auto"/>
        </w:rPr>
      </w:pPr>
    </w:p>
    <w:p>
      <w:pPr>
        <w:ind w:right="2419" w:firstLine="600"/>
        <w:spacing w:after="0" w:line="238" w:lineRule="auto"/>
        <w:rPr>
          <w:sz w:val="20"/>
          <w:szCs w:val="20"/>
          <w:color w:val="auto"/>
        </w:rPr>
      </w:pPr>
      <w:r>
        <w:rPr>
          <w:rFonts w:ascii="Courier New" w:cs="Courier New" w:eastAsia="Courier New" w:hAnsi="Courier New"/>
          <w:sz w:val="17"/>
          <w:szCs w:val="17"/>
          <w:color w:val="auto"/>
        </w:rPr>
        <w:t>7.7 RECORD DATE IF NONE FIXED. If no record date is fixed as provided in Section 7.6, then the record date for any determination of stockholders that may be proper or required by law shall be, as appropriate, the date on which notice of a stockholders' meeting is mailed, the date on which the Board of Directors adopts a resolution declaring a dividend or authorizing a distribution, or the date on which any other action is taken that requires a determination of stockholders.</w:t>
      </w:r>
    </w:p>
    <w:p>
      <w:pPr>
        <w:spacing w:after="0" w:line="196" w:lineRule="exact"/>
        <w:rPr>
          <w:sz w:val="20"/>
          <w:szCs w:val="20"/>
          <w:color w:val="auto"/>
        </w:rPr>
      </w:pPr>
    </w:p>
    <w:p>
      <w:pPr>
        <w:ind w:left="380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1440" w:right="1440" w:bottom="1440" w:gutter="0" w:footer="0" w:header="0"/>
        </w:sectPr>
      </w:pPr>
    </w:p>
    <w:bookmarkStart w:id="215" w:name="page216"/>
    <w:bookmarkEnd w:id="2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664210</wp:posOffset>
            </wp:positionV>
            <wp:extent cx="7258050"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ARTICLE EIGHT</w:t>
      </w:r>
    </w:p>
    <w:p>
      <w:pPr>
        <w:spacing w:after="0" w:line="192"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INDEMNIFICATION</w:t>
      </w:r>
    </w:p>
    <w:p>
      <w:pPr>
        <w:spacing w:after="0" w:line="198" w:lineRule="exact"/>
        <w:rPr>
          <w:sz w:val="20"/>
          <w:szCs w:val="20"/>
          <w:color w:val="auto"/>
        </w:rPr>
      </w:pPr>
    </w:p>
    <w:p>
      <w:pPr>
        <w:ind w:right="2419" w:firstLine="600"/>
        <w:spacing w:after="0" w:line="239" w:lineRule="auto"/>
        <w:rPr>
          <w:sz w:val="20"/>
          <w:szCs w:val="20"/>
          <w:color w:val="auto"/>
        </w:rPr>
      </w:pPr>
      <w:r>
        <w:rPr>
          <w:rFonts w:ascii="Courier New" w:cs="Courier New" w:eastAsia="Courier New" w:hAnsi="Courier New"/>
          <w:sz w:val="17"/>
          <w:szCs w:val="17"/>
          <w:color w:val="auto"/>
        </w:rPr>
        <w:t>8.1 ACTION BY PERSONS OTHER THAN THE CORPORATION.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that the person had reasonable cause to believe that his conduct was unlawful.</w:t>
      </w:r>
    </w:p>
    <w:p>
      <w:pPr>
        <w:spacing w:after="0" w:line="203" w:lineRule="exact"/>
        <w:rPr>
          <w:sz w:val="20"/>
          <w:szCs w:val="20"/>
          <w:color w:val="auto"/>
        </w:rPr>
      </w:pPr>
    </w:p>
    <w:p>
      <w:pPr>
        <w:ind w:right="2419" w:firstLine="600"/>
        <w:spacing w:after="0" w:line="239" w:lineRule="auto"/>
        <w:rPr>
          <w:sz w:val="20"/>
          <w:szCs w:val="20"/>
          <w:color w:val="auto"/>
        </w:rPr>
      </w:pPr>
      <w:r>
        <w:rPr>
          <w:rFonts w:ascii="Courier New" w:cs="Courier New" w:eastAsia="Courier New" w:hAnsi="Courier New"/>
          <w:sz w:val="17"/>
          <w:szCs w:val="17"/>
          <w:color w:val="auto"/>
        </w:rPr>
        <w:t>8.2 ACTIONS BY OR IN THE NAME OF THE CORPORATION. The Corporation shall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Notwithstanding the foregoing, no indemnification shall be made in respect of any claim, issue, or matter as to which such person shall have been adjudged to be liable to the Corporation unless and only to the extent that the Court of Chancery of Georgia or the court in which such action or suit was brought shall determine upon application that, despite the adjudication of liability, in view of all the circumstances of the case, such person is fairly and reasonably entitled to indemnity for such expenses which the Court of Chancery of Georgia or such other court shall deem proper.</w:t>
      </w:r>
    </w:p>
    <w:p>
      <w:pPr>
        <w:spacing w:after="0" w:line="203" w:lineRule="exact"/>
        <w:rPr>
          <w:sz w:val="20"/>
          <w:szCs w:val="20"/>
          <w:color w:val="auto"/>
        </w:rPr>
      </w:pPr>
    </w:p>
    <w:p>
      <w:pPr>
        <w:ind w:right="2419" w:firstLine="600"/>
        <w:spacing w:after="0" w:line="238" w:lineRule="auto"/>
        <w:rPr>
          <w:sz w:val="20"/>
          <w:szCs w:val="20"/>
          <w:color w:val="auto"/>
        </w:rPr>
      </w:pPr>
      <w:r>
        <w:rPr>
          <w:rFonts w:ascii="Courier New" w:cs="Courier New" w:eastAsia="Courier New" w:hAnsi="Courier New"/>
          <w:sz w:val="17"/>
          <w:szCs w:val="17"/>
          <w:color w:val="auto"/>
        </w:rPr>
        <w:t>8.3 SUCCESSFUL DEFENSE. To the extent that a director, officer, employee, or agent of the Corporation has been successful on the merits or otherwise in defense of any action, suit, or proceeding referred to in Sections 8.1 and 8.2, or in defense of any claim, issue, or matter therein, he shall be indemnified against expenses (including attorneys' fees) actually and reasonably incurred by him in connection therewith.</w:t>
      </w:r>
    </w:p>
    <w:p>
      <w:pPr>
        <w:spacing w:after="0" w:line="200" w:lineRule="exact"/>
        <w:rPr>
          <w:sz w:val="20"/>
          <w:szCs w:val="20"/>
          <w:color w:val="auto"/>
        </w:rPr>
      </w:pPr>
    </w:p>
    <w:p>
      <w:pPr>
        <w:ind w:right="2519" w:firstLine="600"/>
        <w:spacing w:after="0" w:line="256" w:lineRule="auto"/>
        <w:rPr>
          <w:sz w:val="20"/>
          <w:szCs w:val="20"/>
          <w:color w:val="auto"/>
        </w:rPr>
      </w:pPr>
      <w:r>
        <w:rPr>
          <w:rFonts w:ascii="Courier New" w:cs="Courier New" w:eastAsia="Courier New" w:hAnsi="Courier New"/>
          <w:sz w:val="16"/>
          <w:szCs w:val="16"/>
          <w:color w:val="auto"/>
        </w:rPr>
        <w:t>8.4 AUTHORIZATION OF INDEMNIFICATION. Any indemnification under Sections 8.1 and 8.2 (unless ordered by a court) shall be made by the Corporation only as authorized in the specific case upon a determination that indemnification of the director, officer, employee, or agent is proper in the circumstances because he has met the applicable standard of conduct set forth</w:t>
      </w:r>
    </w:p>
    <w:p>
      <w:pPr>
        <w:spacing w:after="0" w:line="181"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1440" w:right="1440" w:bottom="1440" w:gutter="0" w:footer="0" w:header="0"/>
        </w:sectPr>
      </w:pPr>
    </w:p>
    <w:bookmarkStart w:id="216" w:name="page217"/>
    <w:bookmarkEnd w:id="2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664845</wp:posOffset>
            </wp:positionV>
            <wp:extent cx="7258050"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419" w:firstLine="100"/>
        <w:spacing w:after="0" w:line="238" w:lineRule="auto"/>
        <w:rPr>
          <w:sz w:val="20"/>
          <w:szCs w:val="20"/>
          <w:color w:val="auto"/>
        </w:rPr>
      </w:pPr>
      <w:r>
        <w:rPr>
          <w:rFonts w:ascii="Courier New" w:cs="Courier New" w:eastAsia="Courier New" w:hAnsi="Courier New"/>
          <w:sz w:val="17"/>
          <w:szCs w:val="17"/>
          <w:color w:val="auto"/>
        </w:rPr>
        <w:t>in Sections 8.1 and 8.2. Such determination shall be made: (1) by the Board of Directors by a majority vote of a quorum consisting of directors who were not parties to such action, suit, or proceeding; (2) if such quorum is not obtainable, or, even if obtainable, if a quorum of disinterested directors so directs, by independent legal counsel in a written opinion; or (3) by the stockholders.</w:t>
      </w:r>
    </w:p>
    <w:p>
      <w:pPr>
        <w:spacing w:after="0" w:line="200" w:lineRule="exact"/>
        <w:rPr>
          <w:sz w:val="20"/>
          <w:szCs w:val="20"/>
          <w:color w:val="auto"/>
        </w:rPr>
      </w:pPr>
    </w:p>
    <w:p>
      <w:pPr>
        <w:ind w:right="2419" w:firstLine="600"/>
        <w:spacing w:after="0" w:line="256" w:lineRule="auto"/>
        <w:rPr>
          <w:sz w:val="20"/>
          <w:szCs w:val="20"/>
          <w:color w:val="auto"/>
        </w:rPr>
      </w:pPr>
      <w:r>
        <w:rPr>
          <w:rFonts w:ascii="Courier New" w:cs="Courier New" w:eastAsia="Courier New" w:hAnsi="Courier New"/>
          <w:sz w:val="16"/>
          <w:szCs w:val="16"/>
          <w:color w:val="auto"/>
        </w:rPr>
        <w:t>8.5 PREPAYMENT OF EXPENSES. Expenses incurred in defending a civil or criminal action, suit, or proceeding may be paid by the Corporation in advance of the final disposition of such action, suit, or proceeding upon receipt of an undertaking by or on behalf of the director, officer, employee, or agent to repay such amount if it shall ultimately be determined that he is not entitled to be indemnified by the Corporation as authorized in this Article Eight.</w:t>
      </w:r>
    </w:p>
    <w:p>
      <w:pPr>
        <w:spacing w:after="0" w:line="186" w:lineRule="exact"/>
        <w:rPr>
          <w:sz w:val="20"/>
          <w:szCs w:val="20"/>
          <w:color w:val="auto"/>
        </w:rPr>
      </w:pPr>
    </w:p>
    <w:p>
      <w:pPr>
        <w:ind w:right="2619" w:firstLine="600"/>
        <w:spacing w:after="0" w:line="238" w:lineRule="auto"/>
        <w:rPr>
          <w:sz w:val="20"/>
          <w:szCs w:val="20"/>
          <w:color w:val="auto"/>
        </w:rPr>
      </w:pPr>
      <w:r>
        <w:rPr>
          <w:rFonts w:ascii="Courier New" w:cs="Courier New" w:eastAsia="Courier New" w:hAnsi="Courier New"/>
          <w:sz w:val="17"/>
          <w:szCs w:val="17"/>
          <w:color w:val="auto"/>
        </w:rPr>
        <w:t>8.6 NON-EXCLUSIVE RIGHT. The indemnification and advancement of expenses provided by, or granted pursuant to, the other Sections of this Article shall not be deemed exclusive of any other rights to which those seeking indemnification or advancement of expenses may be entitled under any bylaw, agreement, vote of stockholders or disinterested directors, or otherwise, both as to action in his official capacity and as to action in another capacity while holding such office.</w:t>
      </w:r>
    </w:p>
    <w:p>
      <w:pPr>
        <w:spacing w:after="0" w:line="202" w:lineRule="exact"/>
        <w:rPr>
          <w:sz w:val="20"/>
          <w:szCs w:val="20"/>
          <w:color w:val="auto"/>
        </w:rPr>
      </w:pPr>
    </w:p>
    <w:p>
      <w:pPr>
        <w:ind w:right="2419" w:firstLine="600"/>
        <w:spacing w:after="0" w:line="255" w:lineRule="auto"/>
        <w:rPr>
          <w:sz w:val="20"/>
          <w:szCs w:val="20"/>
          <w:color w:val="auto"/>
        </w:rPr>
      </w:pPr>
      <w:r>
        <w:rPr>
          <w:rFonts w:ascii="Courier New" w:cs="Courier New" w:eastAsia="Courier New" w:hAnsi="Courier New"/>
          <w:sz w:val="16"/>
          <w:szCs w:val="16"/>
          <w:color w:val="auto"/>
        </w:rPr>
        <w:t>8.7 INSURANCE.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w:t>
      </w:r>
    </w:p>
    <w:p>
      <w:pPr>
        <w:spacing w:after="0" w:line="190" w:lineRule="exact"/>
        <w:rPr>
          <w:sz w:val="20"/>
          <w:szCs w:val="20"/>
          <w:color w:val="auto"/>
        </w:rPr>
      </w:pPr>
    </w:p>
    <w:p>
      <w:pPr>
        <w:ind w:right="2419" w:firstLine="600"/>
        <w:spacing w:after="0" w:line="239" w:lineRule="auto"/>
        <w:rPr>
          <w:sz w:val="20"/>
          <w:szCs w:val="20"/>
          <w:color w:val="auto"/>
        </w:rPr>
      </w:pPr>
      <w:r>
        <w:rPr>
          <w:rFonts w:ascii="Courier New" w:cs="Courier New" w:eastAsia="Courier New" w:hAnsi="Courier New"/>
          <w:sz w:val="17"/>
          <w:szCs w:val="17"/>
          <w:color w:val="auto"/>
        </w:rPr>
        <w:t>8.8 CONSTITUENT CORPORATIONS TO MERGER. For purposes of this Article,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a director, officer, employee, or agent of another corporation, partnership, joint venture, trust, or other enterprise, shall stand in the same position under the provisions of this Article with respect to the resulting or surviving corporation as he would have with respect to such constituent corporation if its separate existence had continued.</w:t>
      </w:r>
    </w:p>
    <w:p>
      <w:pPr>
        <w:spacing w:after="0" w:line="199" w:lineRule="exact"/>
        <w:rPr>
          <w:sz w:val="20"/>
          <w:szCs w:val="20"/>
          <w:color w:val="auto"/>
        </w:rPr>
      </w:pPr>
    </w:p>
    <w:p>
      <w:pPr>
        <w:ind w:right="2419" w:firstLine="600"/>
        <w:spacing w:after="0" w:line="239" w:lineRule="auto"/>
        <w:rPr>
          <w:sz w:val="20"/>
          <w:szCs w:val="20"/>
          <w:color w:val="auto"/>
        </w:rPr>
      </w:pPr>
      <w:r>
        <w:rPr>
          <w:rFonts w:ascii="Courier New" w:cs="Courier New" w:eastAsia="Courier New" w:hAnsi="Courier New"/>
          <w:sz w:val="17"/>
          <w:szCs w:val="17"/>
          <w:color w:val="auto"/>
        </w:rPr>
        <w:t>8.9 DEFINITIONS. For purposes of this Article,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its director, officer, employee, or agent with respect to an employee benefit plan, its participants, or its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w:t>
      </w:r>
    </w:p>
    <w:p>
      <w:pPr>
        <w:spacing w:after="0" w:line="199" w:lineRule="exact"/>
        <w:rPr>
          <w:sz w:val="20"/>
          <w:szCs w:val="20"/>
          <w:color w:val="auto"/>
        </w:rPr>
      </w:pPr>
    </w:p>
    <w:p>
      <w:pPr>
        <w:ind w:right="2919" w:firstLine="600"/>
        <w:spacing w:after="0" w:line="262" w:lineRule="auto"/>
        <w:rPr>
          <w:sz w:val="20"/>
          <w:szCs w:val="20"/>
          <w:color w:val="auto"/>
        </w:rPr>
      </w:pPr>
      <w:r>
        <w:rPr>
          <w:rFonts w:ascii="Courier New" w:cs="Courier New" w:eastAsia="Courier New" w:hAnsi="Courier New"/>
          <w:sz w:val="16"/>
          <w:szCs w:val="16"/>
          <w:color w:val="auto"/>
        </w:rPr>
        <w:t>8.10 CONTINUATION OF INDEMNIFICATION. The indemnification and advancement of expenses provided by, or granted pursuant to, this Article</w:t>
      </w:r>
    </w:p>
    <w:p>
      <w:pPr>
        <w:spacing w:after="0" w:line="175" w:lineRule="exact"/>
        <w:rPr>
          <w:sz w:val="20"/>
          <w:szCs w:val="20"/>
          <w:color w:val="auto"/>
        </w:rPr>
      </w:pPr>
    </w:p>
    <w:p>
      <w:pPr>
        <w:ind w:left="380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1440" w:right="1440" w:bottom="1440" w:gutter="0" w:footer="0" w:header="0"/>
        </w:sectPr>
      </w:pPr>
    </w:p>
    <w:bookmarkStart w:id="217" w:name="page218"/>
    <w:bookmarkEnd w:id="2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664845</wp:posOffset>
            </wp:positionV>
            <wp:extent cx="7258050"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319" w:firstLine="100"/>
        <w:spacing w:after="0" w:line="237" w:lineRule="auto"/>
        <w:rPr>
          <w:sz w:val="20"/>
          <w:szCs w:val="20"/>
          <w:color w:val="auto"/>
        </w:rPr>
      </w:pPr>
      <w:r>
        <w:rPr>
          <w:rFonts w:ascii="Courier New" w:cs="Courier New" w:eastAsia="Courier New" w:hAnsi="Courier New"/>
          <w:sz w:val="17"/>
          <w:szCs w:val="17"/>
          <w:color w:val="auto"/>
        </w:rPr>
        <w:t>shall, unless otherwise provided when authorized or ratified, continue as to a person who has ceased to be a director, officer, employee, or agent and shall inure to the benefit of the heirs, executors, and administrators of such a person.</w:t>
      </w:r>
    </w:p>
    <w:p>
      <w:pPr>
        <w:spacing w:after="0" w:line="201" w:lineRule="exact"/>
        <w:rPr>
          <w:sz w:val="20"/>
          <w:szCs w:val="20"/>
          <w:color w:val="auto"/>
        </w:rPr>
      </w:pPr>
    </w:p>
    <w:p>
      <w:pPr>
        <w:ind w:right="2419" w:firstLine="600"/>
        <w:spacing w:after="0" w:line="238" w:lineRule="auto"/>
        <w:rPr>
          <w:sz w:val="20"/>
          <w:szCs w:val="20"/>
          <w:color w:val="auto"/>
        </w:rPr>
      </w:pPr>
      <w:r>
        <w:rPr>
          <w:rFonts w:ascii="Courier New" w:cs="Courier New" w:eastAsia="Courier New" w:hAnsi="Courier New"/>
          <w:sz w:val="17"/>
          <w:szCs w:val="17"/>
          <w:color w:val="auto"/>
        </w:rPr>
        <w:t>8.11 CHANGES IN LAW. In the event the Code is amended following the date of the latest modification, amendment, or revision of this Article so as to permit indemnification by the Corporation of any person to a greater extent (either as to matters or persons which may be the subject of indemnity) than permitted in this Article, then the Board of Directors shall have the power to authorize such greater indemnification in accordance with the amended provisions of the Code.</w:t>
      </w:r>
    </w:p>
    <w:p>
      <w:pPr>
        <w:spacing w:after="0" w:line="202" w:lineRule="exact"/>
        <w:rPr>
          <w:sz w:val="20"/>
          <w:szCs w:val="20"/>
          <w:color w:val="auto"/>
        </w:rPr>
      </w:pPr>
    </w:p>
    <w:p>
      <w:pPr>
        <w:ind w:right="2419" w:firstLine="600"/>
        <w:spacing w:after="0" w:line="239" w:lineRule="auto"/>
        <w:rPr>
          <w:sz w:val="20"/>
          <w:szCs w:val="20"/>
          <w:color w:val="auto"/>
        </w:rPr>
      </w:pPr>
      <w:r>
        <w:rPr>
          <w:rFonts w:ascii="Courier New" w:cs="Courier New" w:eastAsia="Courier New" w:hAnsi="Courier New"/>
          <w:sz w:val="17"/>
          <w:szCs w:val="17"/>
          <w:color w:val="auto"/>
        </w:rPr>
        <w:t>8.12 OTHER PERMITTED INDEMNIFICATION. Whether or not required or permitted by the foregoing provisions of this Article, the Corporation shall indemnify any person against any other losses, damages, expenses (including attorneys' fees and other costs of defense), judgments, fines, and amounts paid in settlement which result from the fact that such person is or was a director, officer, employee, or agent of the Corporation, or is or was serving at the request of the Corporation as a director, officer, employee, or agent of another Corporation, partnership, joint venture, trust, or other enterprise, if the Board of Directors finds, in its sole discretion, that such indemnity is appropriate in view of all of the facts and circumstances involved, unless such indemnity, in the opinion of counsel, is prohibited by law.</w:t>
      </w:r>
    </w:p>
    <w:p>
      <w:pPr>
        <w:spacing w:after="0" w:line="199" w:lineRule="exact"/>
        <w:rPr>
          <w:sz w:val="20"/>
          <w:szCs w:val="20"/>
          <w:color w:val="auto"/>
        </w:rPr>
      </w:pPr>
    </w:p>
    <w:p>
      <w:pPr>
        <w:ind w:right="2419" w:firstLine="600"/>
        <w:spacing w:after="0" w:line="257" w:lineRule="auto"/>
        <w:rPr>
          <w:sz w:val="20"/>
          <w:szCs w:val="20"/>
          <w:color w:val="auto"/>
        </w:rPr>
      </w:pPr>
      <w:r>
        <w:rPr>
          <w:rFonts w:ascii="Courier New" w:cs="Courier New" w:eastAsia="Courier New" w:hAnsi="Courier New"/>
          <w:sz w:val="16"/>
          <w:szCs w:val="16"/>
          <w:color w:val="auto"/>
        </w:rPr>
        <w:t>8.13 AMENDMENT. Any amendment to this Article Eight that limits or otherwise adversely affects the right of indemnification, advancement of expenses, or other rights of any person indemnified hereunder (an "Indemnified Person") shall, as to such Indemnified Person, apply only to proceedings based</w:t>
      </w:r>
    </w:p>
    <w:p>
      <w:pPr>
        <w:spacing w:after="0" w:line="179" w:lineRule="exact"/>
        <w:rPr>
          <w:sz w:val="20"/>
          <w:szCs w:val="20"/>
          <w:color w:val="auto"/>
        </w:rPr>
      </w:pPr>
    </w:p>
    <w:p>
      <w:pPr>
        <w:ind w:left="380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1440" w:right="1440" w:bottom="1440" w:gutter="0" w:footer="0" w:header="0"/>
        </w:sectPr>
      </w:pPr>
    </w:p>
    <w:bookmarkStart w:id="218" w:name="page219"/>
    <w:bookmarkEnd w:id="2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664845</wp:posOffset>
            </wp:positionV>
            <wp:extent cx="7258050"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419" w:firstLine="100"/>
        <w:spacing w:after="0" w:line="239" w:lineRule="auto"/>
        <w:rPr>
          <w:sz w:val="20"/>
          <w:szCs w:val="20"/>
          <w:color w:val="auto"/>
        </w:rPr>
      </w:pPr>
      <w:r>
        <w:rPr>
          <w:rFonts w:ascii="Courier New" w:cs="Courier New" w:eastAsia="Courier New" w:hAnsi="Courier New"/>
          <w:sz w:val="17"/>
          <w:szCs w:val="17"/>
          <w:color w:val="auto"/>
        </w:rPr>
        <w:t>on actions, events, or omissions (collectively, "Post Amendment Events") occurring after such amendment and after delivery of notice of such amendment to the Indemnified Person so affected. Any Indemnified Person shall, as to any proceeding based on actions, events, or omissions occurring prior to the date of receipt of such notice, be entitled to the right of indemnification, advancement of expenses, and other rights under this Article Eight to the same extent as if such provisions had continued as part of the Bylaws of the Corporation without such amendment. This Section 8.13 cannot be altered, amended, or repealed in a manner effective as to any Indemnified Person (except as to Post Amendment Events) without the prior written consent of such Indemnified Person.</w:t>
      </w:r>
    </w:p>
    <w:p>
      <w:pPr>
        <w:spacing w:after="0" w:line="198" w:lineRule="exact"/>
        <w:rPr>
          <w:sz w:val="20"/>
          <w:szCs w:val="20"/>
          <w:color w:val="auto"/>
        </w:rPr>
      </w:pPr>
    </w:p>
    <w:p>
      <w:pPr>
        <w:ind w:right="2419" w:firstLine="600"/>
        <w:spacing w:after="0" w:line="238" w:lineRule="auto"/>
        <w:rPr>
          <w:sz w:val="20"/>
          <w:szCs w:val="20"/>
          <w:color w:val="auto"/>
        </w:rPr>
      </w:pPr>
      <w:r>
        <w:rPr>
          <w:rFonts w:ascii="Courier New" w:cs="Courier New" w:eastAsia="Courier New" w:hAnsi="Courier New"/>
          <w:sz w:val="17"/>
          <w:szCs w:val="17"/>
          <w:color w:val="auto"/>
        </w:rPr>
        <w:t>8.14 SEVERABILITY. Each of the Sections of this Article Eight, and each of the clauses set forth herein, shall be deemed separate and independent, and should any part of any such Section or clause be declared invalid or unenforceable by any court of competent jurisdiction, such invalidity or unenforceability shall in no way render invalid or unenforceable any other part thereof or any separate Section or clause of this Article Eight that is not declared invalid or unenforceable.</w:t>
      </w:r>
    </w:p>
    <w:p>
      <w:pPr>
        <w:spacing w:after="0" w:line="388" w:lineRule="exact"/>
        <w:rPr>
          <w:sz w:val="20"/>
          <w:szCs w:val="20"/>
          <w:color w:val="auto"/>
        </w:rPr>
      </w:pPr>
    </w:p>
    <w:p>
      <w:pPr>
        <w:ind w:left="380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1440" w:right="1440" w:bottom="1440" w:gutter="0" w:footer="0" w:header="0"/>
        </w:sectPr>
      </w:pPr>
    </w:p>
    <w:bookmarkStart w:id="219" w:name="page220"/>
    <w:bookmarkEnd w:id="2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664845</wp:posOffset>
            </wp:positionV>
            <wp:extent cx="7258050"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ARTICLE NINE</w:t>
      </w:r>
    </w:p>
    <w:p>
      <w:pPr>
        <w:spacing w:after="0" w:line="192"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7"/>
          <w:szCs w:val="17"/>
          <w:color w:val="auto"/>
        </w:rPr>
        <w:t>MISCELLANEOUS</w:t>
      </w:r>
    </w:p>
    <w:p>
      <w:pPr>
        <w:spacing w:after="0" w:line="198" w:lineRule="exact"/>
        <w:rPr>
          <w:sz w:val="20"/>
          <w:szCs w:val="20"/>
          <w:color w:val="auto"/>
        </w:rPr>
      </w:pPr>
    </w:p>
    <w:p>
      <w:pPr>
        <w:ind w:right="2419" w:firstLine="600"/>
        <w:spacing w:after="0" w:line="238" w:lineRule="auto"/>
        <w:rPr>
          <w:sz w:val="20"/>
          <w:szCs w:val="20"/>
          <w:color w:val="auto"/>
        </w:rPr>
      </w:pPr>
      <w:r>
        <w:rPr>
          <w:rFonts w:ascii="Courier New" w:cs="Courier New" w:eastAsia="Courier New" w:hAnsi="Courier New"/>
          <w:sz w:val="17"/>
          <w:szCs w:val="17"/>
          <w:color w:val="auto"/>
        </w:rPr>
        <w:t>9.1 INSPECTION OF BOOKS AND RECORDS. The Board of Directors shall have the power to determine which accounts, books, and records of the Corporation shall be available for stockholders to inspect or copy, except for those books and records required by the Code to be made available upon compliance by a stockholder with applicable requirements, and shall have the power to fix reasonable rules and regulations (including confidentiality restrictions and procedures) not in conflict with applicable law for the inspection and copying of accounts, books, and records that by law or by determination of the Board of Directors are made available.</w:t>
      </w:r>
    </w:p>
    <w:p>
      <w:pPr>
        <w:spacing w:after="0" w:line="204" w:lineRule="exact"/>
        <w:rPr>
          <w:sz w:val="20"/>
          <w:szCs w:val="20"/>
          <w:color w:val="auto"/>
        </w:rPr>
      </w:pPr>
    </w:p>
    <w:p>
      <w:pPr>
        <w:ind w:right="2419" w:firstLine="600"/>
        <w:spacing w:after="0" w:line="237" w:lineRule="auto"/>
        <w:rPr>
          <w:sz w:val="20"/>
          <w:szCs w:val="20"/>
          <w:color w:val="auto"/>
        </w:rPr>
      </w:pPr>
      <w:r>
        <w:rPr>
          <w:rFonts w:ascii="Courier New" w:cs="Courier New" w:eastAsia="Courier New" w:hAnsi="Courier New"/>
          <w:sz w:val="17"/>
          <w:szCs w:val="17"/>
          <w:color w:val="auto"/>
        </w:rPr>
        <w:t>9.2 FISCAL YEAR. The Board of Directors is authorized to fix the fiscal year of the Corporation and to change the fiscal year from time to time as it deems appropriate.</w:t>
      </w:r>
    </w:p>
    <w:p>
      <w:pPr>
        <w:spacing w:after="0" w:line="199" w:lineRule="exact"/>
        <w:rPr>
          <w:sz w:val="20"/>
          <w:szCs w:val="20"/>
          <w:color w:val="auto"/>
        </w:rPr>
      </w:pPr>
    </w:p>
    <w:p>
      <w:pPr>
        <w:ind w:right="2419" w:firstLine="600"/>
        <w:spacing w:after="0" w:line="238" w:lineRule="auto"/>
        <w:rPr>
          <w:sz w:val="20"/>
          <w:szCs w:val="20"/>
          <w:color w:val="auto"/>
        </w:rPr>
      </w:pPr>
      <w:r>
        <w:rPr>
          <w:rFonts w:ascii="Courier New" w:cs="Courier New" w:eastAsia="Courier New" w:hAnsi="Courier New"/>
          <w:sz w:val="17"/>
          <w:szCs w:val="17"/>
          <w:color w:val="auto"/>
        </w:rPr>
        <w:t>9.3 CORPORATE SEAL. The corporate seal will be in such form as the Board of Directors may from time to time determine. The Board of Directors may authorize the use of one or more facsimile forms of the corporate seal. The corporate seal need not be used unless its use is required by law, by these Bylaws, or by the Articles of Incorporation.</w:t>
      </w:r>
    </w:p>
    <w:p>
      <w:pPr>
        <w:spacing w:after="0" w:line="199" w:lineRule="exact"/>
        <w:rPr>
          <w:sz w:val="20"/>
          <w:szCs w:val="20"/>
          <w:color w:val="auto"/>
        </w:rPr>
      </w:pPr>
    </w:p>
    <w:p>
      <w:pPr>
        <w:ind w:right="2519" w:firstLine="600"/>
        <w:spacing w:after="0" w:line="254" w:lineRule="auto"/>
        <w:rPr>
          <w:sz w:val="20"/>
          <w:szCs w:val="20"/>
          <w:color w:val="auto"/>
        </w:rPr>
      </w:pPr>
      <w:r>
        <w:rPr>
          <w:rFonts w:ascii="Courier New" w:cs="Courier New" w:eastAsia="Courier New" w:hAnsi="Courier New"/>
          <w:sz w:val="16"/>
          <w:szCs w:val="16"/>
          <w:color w:val="auto"/>
        </w:rPr>
        <w:t>9.4 NOTICE. (a) Whenever these Bylaws require notice to be given to any stockholder or to any director, the notice may be given by mail, in person, by courier delivery, by telephone, or by telecopier, telegraph, or similar electronic means. Whenever notice is given to a stockholder or director by mail, the notice shall be sent by depositing the notice in a post office or letter box in a postage-prepaid, sealed envelope addressed to the stockholder or director at his or her address as it appears on the books of the Corporation. Any such written notice given by mail shall be effective:</w:t>
      </w:r>
    </w:p>
    <w:p>
      <w:pPr>
        <w:spacing w:after="0" w:line="4" w:lineRule="exact"/>
        <w:rPr>
          <w:sz w:val="20"/>
          <w:szCs w:val="20"/>
          <w:color w:val="auto"/>
        </w:rPr>
      </w:pPr>
    </w:p>
    <w:p>
      <w:pPr>
        <w:ind w:right="2519" w:firstLine="3"/>
        <w:spacing w:after="0" w:line="238" w:lineRule="auto"/>
        <w:tabs>
          <w:tab w:leader="none" w:pos="400" w:val="left"/>
        </w:tabs>
        <w:numPr>
          <w:ilvl w:val="0"/>
          <w:numId w:val="2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given to stockholders, as such, at the time the same is deposited in the United States mail; and (ii) in all other cases, at the earliest of (x) when delivered, properly addressed, to the addressee's last known principal place of business or residence, (y) three days after its deposit in the mail, as evidenced by the postmark, if mailed with first-class postage prepaid and correctly addressed, or (z) on the date shown on the return receipt, if sent by registered or certified mail, return receipt requested, and the receipt is signed by or on behalf of the addressee. Whenever notice is given to a stockholder or director by any means other than mail, the notice shall be deemed given when received.</w:t>
      </w:r>
    </w:p>
    <w:p>
      <w:pPr>
        <w:spacing w:after="0" w:line="205" w:lineRule="exact"/>
        <w:rPr>
          <w:rFonts w:ascii="Courier New" w:cs="Courier New" w:eastAsia="Courier New" w:hAnsi="Courier New"/>
          <w:sz w:val="17"/>
          <w:szCs w:val="17"/>
          <w:color w:val="auto"/>
        </w:rPr>
      </w:pPr>
    </w:p>
    <w:p>
      <w:pPr>
        <w:ind w:right="2419" w:firstLine="603"/>
        <w:spacing w:after="0" w:line="237" w:lineRule="auto"/>
        <w:tabs>
          <w:tab w:leader="none" w:pos="1200" w:val="left"/>
        </w:tabs>
        <w:numPr>
          <w:ilvl w:val="1"/>
          <w:numId w:val="2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calculating time periods for notice, when a period of time measured in days, weeks, months, years, or other measurement of time is prescribed for the exercise of any privilege or the discharge of any duty, the first day shall not be counted but the last day shall be counted.</w:t>
      </w:r>
    </w:p>
    <w:p>
      <w:pPr>
        <w:spacing w:after="0" w:line="19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1440" w:right="1440" w:bottom="1440" w:gutter="0" w:footer="0" w:header="0"/>
        </w:sectPr>
      </w:pPr>
    </w:p>
    <w:bookmarkStart w:id="220" w:name="page221"/>
    <w:bookmarkEnd w:id="2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664845</wp:posOffset>
            </wp:positionV>
            <wp:extent cx="7258050"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ARTICLE TEN</w:t>
      </w:r>
    </w:p>
    <w:p>
      <w:pPr>
        <w:spacing w:after="0" w:line="192"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AMENDMENTS</w:t>
      </w:r>
    </w:p>
    <w:p>
      <w:pPr>
        <w:spacing w:after="0" w:line="198" w:lineRule="exact"/>
        <w:rPr>
          <w:sz w:val="20"/>
          <w:szCs w:val="20"/>
          <w:color w:val="auto"/>
        </w:rPr>
      </w:pPr>
    </w:p>
    <w:p>
      <w:pPr>
        <w:ind w:right="2419" w:firstLine="600"/>
        <w:spacing w:after="0" w:line="238" w:lineRule="auto"/>
        <w:rPr>
          <w:sz w:val="20"/>
          <w:szCs w:val="20"/>
          <w:color w:val="auto"/>
        </w:rPr>
      </w:pPr>
      <w:r>
        <w:rPr>
          <w:rFonts w:ascii="Courier New" w:cs="Courier New" w:eastAsia="Courier New" w:hAnsi="Courier New"/>
          <w:sz w:val="17"/>
          <w:szCs w:val="17"/>
          <w:color w:val="auto"/>
        </w:rPr>
        <w:t>Except as otherwise provided under the Code or the Articles of Incorporation, the Board of Directors shall have the power to alter, amend, or repeal these Bylaws or adopt new Bylaws. Any Bylaws adopted by the Board of Directors may be altered, amended, or repealed, and new Bylaws adopted, by the stockholders. The stockholders may prescribe in adopting any Bylaw or Bylaws that the Bylaw or Bylaws so adopted shall not be altered, amended, or repealed by the Board of Directors.</w:t>
      </w:r>
    </w:p>
    <w:p>
      <w:pPr>
        <w:spacing w:after="0" w:line="388" w:lineRule="exact"/>
        <w:rPr>
          <w:sz w:val="20"/>
          <w:szCs w:val="20"/>
          <w:color w:val="auto"/>
        </w:rPr>
      </w:pPr>
    </w:p>
    <w:p>
      <w:pPr>
        <w:jc w:val="both"/>
        <w:ind w:left="5200"/>
        <w:spacing w:after="0"/>
        <w:tabs>
          <w:tab w:leader="none" w:pos="5980" w:val="left"/>
        </w:tabs>
        <w:rPr>
          <w:sz w:val="20"/>
          <w:szCs w:val="20"/>
          <w:color w:val="auto"/>
        </w:rPr>
      </w:pPr>
      <w:r>
        <w:rPr>
          <w:rFonts w:ascii="Courier New" w:cs="Courier New" w:eastAsia="Courier New" w:hAnsi="Courier New"/>
          <w:sz w:val="17"/>
          <w:szCs w:val="17"/>
          <w:color w:val="auto"/>
        </w:rPr>
        <w:t>Dated:</w:t>
        <w:tab/>
        <w:t>September 12, 1997</w:t>
      </w:r>
    </w:p>
    <w:p>
      <w:pPr>
        <w:spacing w:after="0" w:line="384" w:lineRule="exact"/>
        <w:rPr>
          <w:sz w:val="20"/>
          <w:szCs w:val="20"/>
          <w:color w:val="auto"/>
        </w:rPr>
      </w:pPr>
    </w:p>
    <w:p>
      <w:pPr>
        <w:ind w:left="380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1440" w:right="1440" w:bottom="1440" w:gutter="0" w:footer="0" w:header="0"/>
        </w:sectPr>
      </w:pPr>
    </w:p>
    <w:bookmarkStart w:id="221" w:name="page222"/>
    <w:bookmarkEnd w:id="221"/>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4560" cy="184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4560" cy="18415"/>
                    </a:xfrm>
                    <a:prstGeom prst="rect">
                      <a:avLst/>
                    </a:prstGeom>
                    <a:noFill/>
                  </pic:spPr>
                </pic:pic>
              </a:graphicData>
            </a:graphic>
          </wp:anchor>
        </w:drawing>
        <w:t>Exhibit 31.1</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I, Jimmy C. Tallent, certify that:</w:t>
      </w:r>
    </w:p>
    <w:p>
      <w:pPr>
        <w:spacing w:after="0" w:line="240" w:lineRule="exact"/>
        <w:rPr>
          <w:sz w:val="20"/>
          <w:szCs w:val="20"/>
          <w:color w:val="auto"/>
        </w:rPr>
      </w:pPr>
    </w:p>
    <w:p>
      <w:pPr>
        <w:ind w:left="220" w:hanging="217"/>
        <w:spacing w:after="0"/>
        <w:tabs>
          <w:tab w:leader="none" w:pos="22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United Community Banks, Inc. (the “Registrant”);</w:t>
      </w:r>
    </w:p>
    <w:p>
      <w:pPr>
        <w:spacing w:after="0" w:line="240" w:lineRule="exact"/>
        <w:rPr>
          <w:rFonts w:ascii="Arial" w:cs="Arial" w:eastAsia="Arial" w:hAnsi="Arial"/>
          <w:sz w:val="17"/>
          <w:szCs w:val="17"/>
          <w:color w:val="auto"/>
        </w:rPr>
      </w:pPr>
    </w:p>
    <w:p>
      <w:pPr>
        <w:ind w:firstLine="3"/>
        <w:spacing w:after="0" w:line="309" w:lineRule="auto"/>
        <w:tabs>
          <w:tab w:leader="none" w:pos="216" w:val="left"/>
        </w:tabs>
        <w:numPr>
          <w:ilvl w:val="0"/>
          <w:numId w:val="2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6"/>
          <w:szCs w:val="16"/>
          <w:color w:val="auto"/>
        </w:rPr>
      </w:pPr>
    </w:p>
    <w:p>
      <w:pPr>
        <w:ind w:firstLine="3"/>
        <w:spacing w:after="0" w:line="277" w:lineRule="auto"/>
        <w:tabs>
          <w:tab w:leader="none" w:pos="263" w:val="left"/>
        </w:tabs>
        <w:numPr>
          <w:ilvl w:val="0"/>
          <w:numId w:val="2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7"/>
          <w:szCs w:val="17"/>
          <w:color w:val="auto"/>
        </w:rPr>
      </w:pPr>
    </w:p>
    <w:p>
      <w:pPr>
        <w:ind w:left="220" w:hanging="217"/>
        <w:spacing w:after="0"/>
        <w:tabs>
          <w:tab w:leader="none" w:pos="220" w:val="left"/>
        </w:tabs>
        <w:numPr>
          <w:ilvl w:val="0"/>
          <w:numId w:val="234"/>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4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13a-15(e) and 15d-15(e)) and internal control over financial reporting (as defined in Exchange Act Rules 13a - 15(f) and 15d - 15(f)) for the registrant and have:</w:t>
      </w:r>
    </w:p>
    <w:p>
      <w:pPr>
        <w:spacing w:after="0" w:line="240" w:lineRule="exact"/>
        <w:rPr>
          <w:rFonts w:ascii="Arial" w:cs="Arial" w:eastAsia="Arial" w:hAnsi="Arial"/>
          <w:sz w:val="15"/>
          <w:szCs w:val="15"/>
          <w:color w:val="auto"/>
        </w:rPr>
      </w:pPr>
    </w:p>
    <w:p>
      <w:pPr>
        <w:jc w:val="both"/>
        <w:ind w:left="620" w:hanging="2"/>
        <w:spacing w:after="0" w:line="264" w:lineRule="auto"/>
        <w:tabs>
          <w:tab w:leader="none" w:pos="802" w:val="left"/>
        </w:tabs>
        <w:numPr>
          <w:ilvl w:val="1"/>
          <w:numId w:val="2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left="620" w:hanging="2"/>
        <w:spacing w:after="0" w:line="264" w:lineRule="auto"/>
        <w:tabs>
          <w:tab w:leader="none" w:pos="816" w:val="left"/>
        </w:tabs>
        <w:numPr>
          <w:ilvl w:val="1"/>
          <w:numId w:val="2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620" w:hanging="2"/>
        <w:spacing w:after="0" w:line="277" w:lineRule="auto"/>
        <w:tabs>
          <w:tab w:leader="none" w:pos="798" w:val="left"/>
        </w:tabs>
        <w:numPr>
          <w:ilvl w:val="1"/>
          <w:numId w:val="2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jc w:val="both"/>
        <w:ind w:left="620" w:hanging="2"/>
        <w:spacing w:after="0" w:line="264" w:lineRule="auto"/>
        <w:tabs>
          <w:tab w:leader="none" w:pos="828" w:val="left"/>
        </w:tabs>
        <w:numPr>
          <w:ilvl w:val="1"/>
          <w:numId w:val="2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firstLine="3"/>
        <w:spacing w:after="0" w:line="277" w:lineRule="auto"/>
        <w:tabs>
          <w:tab w:leader="none" w:pos="187"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89" w:lineRule="exact"/>
        <w:rPr>
          <w:rFonts w:ascii="Arial" w:cs="Arial" w:eastAsia="Arial" w:hAnsi="Arial"/>
          <w:sz w:val="17"/>
          <w:szCs w:val="17"/>
          <w:color w:val="auto"/>
        </w:rPr>
      </w:pPr>
    </w:p>
    <w:p>
      <w:pPr>
        <w:ind w:left="620" w:hanging="2"/>
        <w:spacing w:after="0" w:line="277" w:lineRule="auto"/>
        <w:tabs>
          <w:tab w:leader="none" w:pos="806" w:val="left"/>
        </w:tabs>
        <w:numPr>
          <w:ilvl w:val="1"/>
          <w:numId w:val="2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7"/>
          <w:szCs w:val="17"/>
          <w:color w:val="auto"/>
        </w:rPr>
      </w:pPr>
    </w:p>
    <w:p>
      <w:pPr>
        <w:ind w:left="620" w:hanging="2"/>
        <w:spacing w:after="0" w:line="277" w:lineRule="auto"/>
        <w:tabs>
          <w:tab w:leader="none" w:pos="824" w:val="left"/>
        </w:tabs>
        <w:numPr>
          <w:ilvl w:val="1"/>
          <w:numId w:val="23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30480</wp:posOffset>
            </wp:positionV>
            <wp:extent cx="25400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40000" cy="8255"/>
                    </a:xfrm>
                    <a:prstGeom prst="rect">
                      <a:avLst/>
                    </a:prstGeom>
                    <a:noFill/>
                  </pic:spPr>
                </pic:pic>
              </a:graphicData>
            </a:graphic>
          </wp:anchor>
        </w:drawing>
      </w:r>
    </w:p>
    <w:p>
      <w:pPr>
        <w:spacing w:after="0" w:line="28"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Jimmy C. Tallent</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Chairman and Chief Executive Officer</w:t>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of the Registrant</w:t>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Date: May 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421005</wp:posOffset>
            </wp:positionV>
            <wp:extent cx="725360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251" w:right="2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4560" cy="184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74560" cy="18415"/>
                    </a:xfrm>
                    <a:prstGeom prst="rect">
                      <a:avLst/>
                    </a:prstGeom>
                    <a:noFill/>
                  </pic:spPr>
                </pic:pic>
              </a:graphicData>
            </a:graphic>
          </wp:anchor>
        </w:drawing>
        <w:t>Exhibit 31.2</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I, Rex S. Schuette, certify that:</w:t>
      </w:r>
    </w:p>
    <w:p>
      <w:pPr>
        <w:spacing w:after="0" w:line="240" w:lineRule="exact"/>
        <w:rPr>
          <w:sz w:val="20"/>
          <w:szCs w:val="20"/>
          <w:color w:val="auto"/>
        </w:rPr>
      </w:pPr>
    </w:p>
    <w:p>
      <w:pPr>
        <w:ind w:left="220" w:hanging="217"/>
        <w:spacing w:after="0"/>
        <w:tabs>
          <w:tab w:leader="none" w:pos="22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United Community Banks, Inc. (the “Registrant”);</w:t>
      </w:r>
    </w:p>
    <w:p>
      <w:pPr>
        <w:spacing w:after="0" w:line="240" w:lineRule="exact"/>
        <w:rPr>
          <w:rFonts w:ascii="Arial" w:cs="Arial" w:eastAsia="Arial" w:hAnsi="Arial"/>
          <w:sz w:val="17"/>
          <w:szCs w:val="17"/>
          <w:color w:val="auto"/>
        </w:rPr>
      </w:pPr>
    </w:p>
    <w:p>
      <w:pPr>
        <w:ind w:firstLine="3"/>
        <w:spacing w:after="0" w:line="309" w:lineRule="auto"/>
        <w:tabs>
          <w:tab w:leader="none" w:pos="216" w:val="left"/>
        </w:tabs>
        <w:numPr>
          <w:ilvl w:val="0"/>
          <w:numId w:val="2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6"/>
          <w:szCs w:val="16"/>
          <w:color w:val="auto"/>
        </w:rPr>
      </w:pPr>
    </w:p>
    <w:p>
      <w:pPr>
        <w:ind w:firstLine="3"/>
        <w:spacing w:after="0" w:line="277" w:lineRule="auto"/>
        <w:tabs>
          <w:tab w:leader="none" w:pos="263" w:val="left"/>
        </w:tabs>
        <w:numPr>
          <w:ilvl w:val="0"/>
          <w:numId w:val="2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7"/>
          <w:szCs w:val="17"/>
          <w:color w:val="auto"/>
        </w:rPr>
      </w:pPr>
    </w:p>
    <w:p>
      <w:pPr>
        <w:ind w:left="220" w:hanging="217"/>
        <w:spacing w:after="0"/>
        <w:tabs>
          <w:tab w:leader="none" w:pos="220" w:val="left"/>
        </w:tabs>
        <w:numPr>
          <w:ilvl w:val="0"/>
          <w:numId w:val="235"/>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4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13a-15(e) and 15d-15(e)) and internal control over financial reporting (as defined in Exchange Act Rules 13a - 15(f) and 15d - 15(f)) for the registrant and have:</w:t>
      </w:r>
    </w:p>
    <w:p>
      <w:pPr>
        <w:spacing w:after="0" w:line="240" w:lineRule="exact"/>
        <w:rPr>
          <w:rFonts w:ascii="Arial" w:cs="Arial" w:eastAsia="Arial" w:hAnsi="Arial"/>
          <w:sz w:val="15"/>
          <w:szCs w:val="15"/>
          <w:color w:val="auto"/>
        </w:rPr>
      </w:pPr>
    </w:p>
    <w:p>
      <w:pPr>
        <w:jc w:val="both"/>
        <w:ind w:left="620" w:hanging="2"/>
        <w:spacing w:after="0" w:line="264" w:lineRule="auto"/>
        <w:tabs>
          <w:tab w:leader="none" w:pos="802" w:val="left"/>
        </w:tabs>
        <w:numPr>
          <w:ilvl w:val="1"/>
          <w:numId w:val="2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left="620" w:hanging="2"/>
        <w:spacing w:after="0" w:line="264" w:lineRule="auto"/>
        <w:tabs>
          <w:tab w:leader="none" w:pos="816" w:val="left"/>
        </w:tabs>
        <w:numPr>
          <w:ilvl w:val="1"/>
          <w:numId w:val="2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620" w:hanging="2"/>
        <w:spacing w:after="0" w:line="277" w:lineRule="auto"/>
        <w:tabs>
          <w:tab w:leader="none" w:pos="798" w:val="left"/>
        </w:tabs>
        <w:numPr>
          <w:ilvl w:val="1"/>
          <w:numId w:val="2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jc w:val="both"/>
        <w:ind w:left="620" w:hanging="2"/>
        <w:spacing w:after="0" w:line="264" w:lineRule="auto"/>
        <w:tabs>
          <w:tab w:leader="none" w:pos="828" w:val="left"/>
        </w:tabs>
        <w:numPr>
          <w:ilvl w:val="1"/>
          <w:numId w:val="2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firstLine="3"/>
        <w:spacing w:after="0" w:line="277" w:lineRule="auto"/>
        <w:tabs>
          <w:tab w:leader="none" w:pos="187"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89" w:lineRule="exact"/>
        <w:rPr>
          <w:rFonts w:ascii="Arial" w:cs="Arial" w:eastAsia="Arial" w:hAnsi="Arial"/>
          <w:sz w:val="17"/>
          <w:szCs w:val="17"/>
          <w:color w:val="auto"/>
        </w:rPr>
      </w:pPr>
    </w:p>
    <w:p>
      <w:pPr>
        <w:ind w:left="620" w:hanging="2"/>
        <w:spacing w:after="0" w:line="277" w:lineRule="auto"/>
        <w:tabs>
          <w:tab w:leader="none" w:pos="806" w:val="left"/>
        </w:tabs>
        <w:numPr>
          <w:ilvl w:val="1"/>
          <w:numId w:val="2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7"/>
          <w:szCs w:val="17"/>
          <w:color w:val="auto"/>
        </w:rPr>
      </w:pPr>
    </w:p>
    <w:p>
      <w:pPr>
        <w:ind w:left="620" w:hanging="2"/>
        <w:spacing w:after="0" w:line="277" w:lineRule="auto"/>
        <w:tabs>
          <w:tab w:leader="none" w:pos="824" w:val="left"/>
        </w:tabs>
        <w:numPr>
          <w:ilvl w:val="1"/>
          <w:numId w:val="23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30480</wp:posOffset>
            </wp:positionV>
            <wp:extent cx="25400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540000" cy="8255"/>
                    </a:xfrm>
                    <a:prstGeom prst="rect">
                      <a:avLst/>
                    </a:prstGeom>
                    <a:noFill/>
                  </pic:spPr>
                </pic:pic>
              </a:graphicData>
            </a:graphic>
          </wp:anchor>
        </w:drawing>
      </w:r>
    </w:p>
    <w:p>
      <w:pPr>
        <w:spacing w:after="0" w:line="28"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Rex S. Schuette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Executive Vice President and Chief Financial Officer</w:t>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of the Registrant</w:t>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Date: May 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421005</wp:posOffset>
            </wp:positionV>
            <wp:extent cx="725360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251" w:right="2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4560" cy="184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74560" cy="18415"/>
                    </a:xfrm>
                    <a:prstGeom prst="rect">
                      <a:avLst/>
                    </a:prstGeom>
                    <a:noFill/>
                  </pic:spPr>
                </pic:pic>
              </a:graphicData>
            </a:graphic>
          </wp:anchor>
        </w:drawing>
        <w:t>Exhibit 32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connection with the Quarterly Report of United Community Banks, Inc. (“United”) on Form 10-Q for the period ending March 31, 2015 filed with the Securities and Exchange Commission on the date hereof (the “Report”), I, Jimmy C. Tallent, Chairman and Chief Executive Officer of United, and I, Rex S. Schuette, Executive Vice President and Chief Financial Officer of United, certify, pursuant to 18 U.S.C. Section 1350, as adopted pursuant to Section 906 of the Sarbanes-Oxley Act of 2002, that:</w:t>
      </w:r>
    </w:p>
    <w:p>
      <w:pPr>
        <w:spacing w:after="0" w:line="204" w:lineRule="exact"/>
        <w:rPr>
          <w:sz w:val="20"/>
          <w:szCs w:val="20"/>
          <w:color w:val="auto"/>
        </w:rPr>
      </w:pPr>
    </w:p>
    <w:p>
      <w:pPr>
        <w:ind w:left="920" w:hanging="302"/>
        <w:spacing w:after="0"/>
        <w:tabs>
          <w:tab w:leader="none" w:pos="92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0" w:lineRule="exact"/>
        <w:rPr>
          <w:rFonts w:ascii="Arial" w:cs="Arial" w:eastAsia="Arial" w:hAnsi="Arial"/>
          <w:sz w:val="17"/>
          <w:szCs w:val="17"/>
          <w:color w:val="auto"/>
        </w:rPr>
      </w:pPr>
    </w:p>
    <w:p>
      <w:pPr>
        <w:ind w:left="920" w:hanging="302"/>
        <w:spacing w:after="0"/>
        <w:tabs>
          <w:tab w:leader="none" w:pos="92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United.</w:t>
      </w:r>
    </w:p>
    <w:p>
      <w:pPr>
        <w:spacing w:after="0" w:line="240"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30480</wp:posOffset>
            </wp:positionV>
            <wp:extent cx="253174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531745" cy="8255"/>
                    </a:xfrm>
                    <a:prstGeom prst="rect">
                      <a:avLst/>
                    </a:prstGeom>
                    <a:noFill/>
                  </pic:spPr>
                </pic:pic>
              </a:graphicData>
            </a:graphic>
          </wp:anchor>
        </w:drawing>
      </w:r>
    </w:p>
    <w:p>
      <w:pPr>
        <w:spacing w:after="0" w:line="28"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Jimmy C. Tallent</w:t>
      </w:r>
    </w:p>
    <w:p>
      <w:pPr>
        <w:spacing w:after="0" w:line="21"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Chairman and Chief Executive Officer</w:t>
      </w:r>
    </w:p>
    <w:p>
      <w:pPr>
        <w:spacing w:after="0" w:line="229"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30480</wp:posOffset>
            </wp:positionV>
            <wp:extent cx="253174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531745" cy="8255"/>
                    </a:xfrm>
                    <a:prstGeom prst="rect">
                      <a:avLst/>
                    </a:prstGeom>
                    <a:noFill/>
                  </pic:spPr>
                </pic:pic>
              </a:graphicData>
            </a:graphic>
          </wp:anchor>
        </w:drawing>
      </w:r>
    </w:p>
    <w:p>
      <w:pPr>
        <w:spacing w:after="0" w:line="28"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Rex S. Schuette</w:t>
      </w:r>
    </w:p>
    <w:p>
      <w:pPr>
        <w:spacing w:after="0" w:line="21"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Executive Vice President and</w:t>
      </w:r>
    </w:p>
    <w:p>
      <w:pPr>
        <w:spacing w:after="0" w:line="10"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Chief Financial Officer</w:t>
      </w:r>
    </w:p>
    <w:p>
      <w:pPr>
        <w:spacing w:after="0" w:line="204"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Date: May 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421005</wp:posOffset>
            </wp:positionV>
            <wp:extent cx="725360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sectPr>
      <w:pgSz w:w="11900" w:h="16838" w:orient="portrait"/>
      <w:cols w:equalWidth="0" w:num="1">
        <w:col w:w="11420"/>
      </w:cols>
      <w:pgMar w:left="240" w:top="2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27173B"/>
    <w:multiLevelType w:val="hybridMultilevel"/>
    <w:lvl w:ilvl="0">
      <w:lvlJc w:val="left"/>
      <w:lvlText w:val="x"/>
      <w:numFmt w:val="bullet"/>
      <w:start w:val="1"/>
    </w:lvl>
  </w:abstractNum>
  <w:abstractNum w:abstractNumId="1">
    <w:nsid w:val="4C9B0904"/>
    <w:multiLevelType w:val="hybridMultilevel"/>
    <w:lvl w:ilvl="0">
      <w:lvlJc w:val="left"/>
      <w:lvlText w:val="o"/>
      <w:numFmt w:val="bullet"/>
      <w:start w:val="1"/>
    </w:lvl>
  </w:abstractNum>
  <w:abstractNum w:abstractNumId="2">
    <w:nsid w:val="6AA7B75C"/>
    <w:multiLevelType w:val="hybridMultilevel"/>
    <w:lvl w:ilvl="0">
      <w:lvlJc w:val="left"/>
      <w:lvlText w:val="(%1)"/>
      <w:numFmt w:val="decimal"/>
      <w:start w:val="1"/>
    </w:lvl>
  </w:abstractNum>
  <w:abstractNum w:abstractNumId="3">
    <w:nsid w:val="1DF029D3"/>
    <w:multiLevelType w:val="hybridMultilevel"/>
    <w:lvl w:ilvl="0">
      <w:lvlJc w:val="left"/>
      <w:lvlText w:val="(%1)"/>
      <w:numFmt w:val="decimal"/>
      <w:start w:val="1"/>
    </w:lvl>
  </w:abstractNum>
  <w:abstractNum w:abstractNumId="4">
    <w:nsid w:val="5675FF36"/>
    <w:multiLevelType w:val="hybridMultilevel"/>
    <w:lvl w:ilvl="0">
      <w:lvlJc w:val="left"/>
      <w:lvlText w:val="●"/>
      <w:numFmt w:val="bullet"/>
      <w:start w:val="1"/>
    </w:lvl>
  </w:abstractNum>
  <w:abstractNum w:abstractNumId="5">
    <w:nsid w:val="3DD15094"/>
    <w:multiLevelType w:val="hybridMultilevel"/>
    <w:lvl w:ilvl="0">
      <w:lvlJc w:val="left"/>
      <w:lvlText w:val="(%1)"/>
      <w:numFmt w:val="decimal"/>
      <w:start w:val="1"/>
    </w:lvl>
  </w:abstractNum>
  <w:abstractNum w:abstractNumId="6">
    <w:nsid w:val="3DB012B3"/>
    <w:multiLevelType w:val="hybridMultilevel"/>
    <w:lvl w:ilvl="0">
      <w:lvlJc w:val="left"/>
      <w:lvlText w:val="(%1)"/>
      <w:numFmt w:val="decimal"/>
      <w:start w:val="1"/>
    </w:lvl>
  </w:abstractNum>
  <w:abstractNum w:abstractNumId="7">
    <w:nsid w:val="2708C9AF"/>
    <w:multiLevelType w:val="hybridMultilevel"/>
    <w:lvl w:ilvl="0">
      <w:lvlJc w:val="left"/>
      <w:lvlText w:val="(%1)"/>
      <w:numFmt w:val="decimal"/>
      <w:start w:val="1"/>
    </w:lvl>
  </w:abstractNum>
  <w:abstractNum w:abstractNumId="8">
    <w:nsid w:val="5B25ACE2"/>
    <w:multiLevelType w:val="hybridMultilevel"/>
    <w:lvl w:ilvl="0">
      <w:lvlJc w:val="left"/>
      <w:lvlText w:val="4"/>
      <w:numFmt w:val="bullet"/>
      <w:start w:val="1"/>
    </w:lvl>
  </w:abstractNum>
  <w:abstractNum w:abstractNumId="9">
    <w:nsid w:val="175DFCF0"/>
    <w:multiLevelType w:val="hybridMultilevel"/>
    <w:lvl w:ilvl="0">
      <w:lvlJc w:val="left"/>
      <w:lvlText w:val="(%1)"/>
      <w:numFmt w:val="lowerLetter"/>
      <w:start w:val="1"/>
    </w:lvl>
  </w:abstractNum>
  <w:abstractNum w:abstractNumId="10">
    <w:nsid w:val="4F97E3E4"/>
    <w:multiLevelType w:val="hybridMultilevel"/>
    <w:lvl w:ilvl="0">
      <w:lvlJc w:val="left"/>
      <w:lvlText w:val="(%1)"/>
      <w:numFmt w:val="lowerLetter"/>
      <w:start w:val="1"/>
    </w:lvl>
  </w:abstractNum>
  <w:abstractNum w:abstractNumId="11">
    <w:nsid w:val="53B0A9E"/>
    <w:multiLevelType w:val="hybridMultilevel"/>
    <w:lvl w:ilvl="0">
      <w:lvlJc w:val="left"/>
      <w:lvlText w:val="(%1)"/>
      <w:numFmt w:val="lowerLetter"/>
      <w:start w:val="8"/>
    </w:lvl>
    <w:lvl w:ilvl="1">
      <w:lvlJc w:val="left"/>
      <w:lvlText w:val="(%2)"/>
      <w:numFmt w:val="lowerRoman"/>
      <w:start w:val="1"/>
    </w:lvl>
  </w:abstractNum>
  <w:abstractNum w:abstractNumId="12">
    <w:nsid w:val="34FD6B4F"/>
    <w:multiLevelType w:val="hybridMultilevel"/>
    <w:lvl w:ilvl="0">
      <w:lvlJc w:val="left"/>
      <w:lvlText w:val="(%1)"/>
      <w:numFmt w:val="lowerLetter"/>
      <w:start w:val="19"/>
    </w:lvl>
    <w:lvl w:ilvl="1">
      <w:lvlJc w:val="left"/>
      <w:lvlText w:val="(%2)"/>
      <w:numFmt w:val="lowerRoman"/>
      <w:start w:val="1"/>
    </w:lvl>
  </w:abstractNum>
  <w:abstractNum w:abstractNumId="13">
    <w:nsid w:val="5915FF32"/>
    <w:multiLevelType w:val="hybridMultilevel"/>
    <w:lvl w:ilvl="0">
      <w:lvlJc w:val="left"/>
      <w:lvlText w:val="(%1)"/>
      <w:numFmt w:val="lowerLetter"/>
      <w:start w:val="27"/>
    </w:lvl>
  </w:abstractNum>
  <w:abstractNum w:abstractNumId="14">
    <w:nsid w:val="56438D15"/>
    <w:multiLevelType w:val="hybridMultilevel"/>
    <w:lvl w:ilvl="0">
      <w:lvlJc w:val="left"/>
      <w:lvlText w:val="(%1)"/>
      <w:numFmt w:val="lowerLetter"/>
      <w:start w:val="29"/>
    </w:lvl>
  </w:abstractNum>
  <w:abstractNum w:abstractNumId="15">
    <w:nsid w:val="519E3149"/>
    <w:multiLevelType w:val="hybridMultilevel"/>
    <w:lvl w:ilvl="0">
      <w:lvlJc w:val="left"/>
      <w:lvlText w:val="(%1)"/>
      <w:numFmt w:val="lowerLetter"/>
      <w:start w:val="42"/>
    </w:lvl>
  </w:abstractNum>
  <w:abstractNum w:abstractNumId="16">
    <w:nsid w:val="2C6E4AFD"/>
    <w:multiLevelType w:val="hybridMultilevel"/>
    <w:lvl w:ilvl="0">
      <w:lvlJc w:val="left"/>
      <w:lvlText w:val="(%1)"/>
      <w:numFmt w:val="lowerLetter"/>
      <w:start w:val="43"/>
    </w:lvl>
  </w:abstractNum>
  <w:abstractNum w:abstractNumId="17">
    <w:nsid w:val="17A1B582"/>
    <w:multiLevelType w:val="hybridMultilevel"/>
    <w:lvl w:ilvl="0">
      <w:lvlJc w:val="left"/>
      <w:lvlText w:val="("/>
      <w:numFmt w:val="bullet"/>
      <w:start w:val="1"/>
    </w:lvl>
  </w:abstractNum>
  <w:abstractNum w:abstractNumId="18">
    <w:nsid w:val="4DF72E4E"/>
    <w:multiLevelType w:val="hybridMultilevel"/>
    <w:lvl w:ilvl="0">
      <w:lvlJc w:val="left"/>
      <w:lvlText w:val="%1"/>
      <w:numFmt w:val="lowerLetter"/>
      <w:start w:val="1"/>
    </w:lvl>
    <w:lvl w:ilvl="1">
      <w:lvlJc w:val="left"/>
      <w:lvlText w:val="(%2)"/>
      <w:numFmt w:val="lowerLetter"/>
      <w:start w:val="35"/>
    </w:lvl>
  </w:abstractNum>
  <w:abstractNum w:abstractNumId="19">
    <w:nsid w:val="5046B5A9"/>
    <w:multiLevelType w:val="hybridMultilevel"/>
    <w:lvl w:ilvl="0">
      <w:lvlJc w:val="left"/>
      <w:lvlText w:val="(%1)"/>
      <w:numFmt w:val="lowerLetter"/>
      <w:start w:val="45"/>
    </w:lvl>
    <w:lvl w:ilvl="1">
      <w:lvlJc w:val="left"/>
      <w:lvlText w:val="%2"/>
      <w:numFmt w:val="lowerLetter"/>
      <w:start w:val="1"/>
    </w:lvl>
  </w:abstractNum>
  <w:abstractNum w:abstractNumId="20">
    <w:nsid w:val="5D888A0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1">
    <w:nsid w:val="2A082C70"/>
    <w:multiLevelType w:val="hybridMultilevel"/>
    <w:lvl w:ilvl="0">
      <w:lvlJc w:val="left"/>
      <w:lvlText w:val="(%1)"/>
      <w:numFmt w:val="decimal"/>
      <w:start w:val="2"/>
    </w:lvl>
    <w:lvl w:ilvl="1">
      <w:lvlJc w:val="left"/>
      <w:lvlText w:val="(%2)"/>
      <w:numFmt w:val="upperLetter"/>
      <w:start w:val="1"/>
    </w:lvl>
  </w:abstractNum>
  <w:abstractNum w:abstractNumId="22">
    <w:nsid w:val="5EC6AFD4"/>
    <w:multiLevelType w:val="hybridMultilevel"/>
    <w:lvl w:ilvl="0">
      <w:lvlJc w:val="left"/>
      <w:lvlText w:val="(%1)"/>
      <w:numFmt w:val="decimal"/>
      <w:start w:val="3"/>
    </w:lvl>
    <w:lvl w:ilvl="1">
      <w:lvlJc w:val="left"/>
      <w:lvlText w:val="(%2)"/>
      <w:numFmt w:val="upperLetter"/>
      <w:start w:val="1"/>
    </w:lvl>
  </w:abstractNum>
  <w:abstractNum w:abstractNumId="23">
    <w:nsid w:val="19E21BB2"/>
    <w:multiLevelType w:val="hybridMultilevel"/>
    <w:lvl w:ilvl="0">
      <w:lvlJc w:val="left"/>
      <w:lvlText w:val="(%1)"/>
      <w:numFmt w:val="decimal"/>
      <w:start w:val="4"/>
    </w:lvl>
  </w:abstractNum>
  <w:abstractNum w:abstractNumId="24">
    <w:nsid w:val="75E0858A"/>
    <w:multiLevelType w:val="hybridMultilevel"/>
    <w:lvl w:ilvl="0">
      <w:lvlJc w:val="left"/>
      <w:lvlText w:val="%1"/>
      <w:numFmt w:val="lowerRoman"/>
      <w:start w:val="1"/>
    </w:lvl>
    <w:lvl w:ilvl="1">
      <w:lvlJc w:val="left"/>
      <w:lvlText w:val="(%2)"/>
      <w:numFmt w:val="decimal"/>
      <w:start w:val="6"/>
    </w:lvl>
  </w:abstractNum>
  <w:abstractNum w:abstractNumId="25">
    <w:nsid w:val="57A61A29"/>
    <w:multiLevelType w:val="hybridMultilevel"/>
    <w:lvl w:ilvl="0">
      <w:lvlJc w:val="left"/>
      <w:lvlText w:val="(%1)"/>
      <w:numFmt w:val="lowerRoman"/>
      <w:start w:val="2"/>
    </w:lvl>
    <w:lvl w:ilvl="1">
      <w:lvlJc w:val="left"/>
      <w:lvlText w:val="%2"/>
      <w:numFmt w:val="decimal"/>
      <w:start w:val="1"/>
    </w:lvl>
  </w:abstractNum>
  <w:abstractNum w:abstractNumId="26">
    <w:nsid w:val="5399C654"/>
    <w:multiLevelType w:val="hybridMultilevel"/>
    <w:lvl w:ilvl="0">
      <w:lvlJc w:val="left"/>
      <w:lvlText w:val="(%1)"/>
      <w:numFmt w:val="lowerRoman"/>
      <w:start w:val="3"/>
    </w:lvl>
  </w:abstractNum>
  <w:abstractNum w:abstractNumId="27">
    <w:nsid w:val="20EE1348"/>
    <w:multiLevelType w:val="hybridMultilevel"/>
    <w:lvl w:ilvl="0">
      <w:lvlJc w:val="left"/>
      <w:lvlText w:val="%1"/>
      <w:numFmt w:val="lowerLetter"/>
      <w:start w:val="1"/>
    </w:lvl>
    <w:lvl w:ilvl="1">
      <w:lvlJc w:val="left"/>
      <w:lvlText w:val="(%2)"/>
      <w:numFmt w:val="lowerRoman"/>
      <w:start w:val="4"/>
    </w:lvl>
  </w:abstractNum>
  <w:abstractNum w:abstractNumId="28">
    <w:nsid w:val="4427069A"/>
    <w:multiLevelType w:val="hybridMultilevel"/>
    <w:lvl w:ilvl="0">
      <w:lvlJc w:val="left"/>
      <w:lvlText w:val="(%1)"/>
      <w:numFmt w:val="lowerLetter"/>
      <w:start w:val="2"/>
    </w:lvl>
    <w:lvl w:ilvl="1">
      <w:lvlJc w:val="left"/>
      <w:lvlText w:val="(%2)"/>
      <w:numFmt w:val="lowerRoman"/>
      <w:start w:val="1"/>
    </w:lvl>
  </w:abstractNum>
  <w:abstractNum w:abstractNumId="29">
    <w:nsid w:val="B37E80A"/>
    <w:multiLevelType w:val="hybridMultilevel"/>
    <w:lvl w:ilvl="0">
      <w:lvlJc w:val="left"/>
      <w:lvlText w:val="(%1)"/>
      <w:numFmt w:val="lowerLetter"/>
      <w:start w:val="3"/>
    </w:lvl>
    <w:lvl w:ilvl="1">
      <w:lvlJc w:val="left"/>
      <w:lvlText w:val="(%2)"/>
      <w:numFmt w:val="lowerRoman"/>
      <w:start w:val="1"/>
    </w:lvl>
  </w:abstractNum>
  <w:abstractNum w:abstractNumId="30">
    <w:nsid w:val="2157F6BC"/>
    <w:multiLevelType w:val="hybridMultilevel"/>
    <w:lvl w:ilvl="0">
      <w:lvlJc w:val="left"/>
      <w:lvlText w:val="(%1)"/>
      <w:numFmt w:val="lowerRoman"/>
      <w:start w:val="4"/>
    </w:lvl>
  </w:abstractNum>
  <w:abstractNum w:abstractNumId="31">
    <w:nsid w:val="704E1DD5"/>
    <w:multiLevelType w:val="hybridMultilevel"/>
    <w:lvl w:ilvl="0">
      <w:lvlJc w:val="left"/>
      <w:lvlText w:val="(%1)"/>
      <w:numFmt w:val="lowerLetter"/>
      <w:start w:val="5"/>
    </w:lvl>
  </w:abstractNum>
  <w:abstractNum w:abstractNumId="32">
    <w:nsid w:val="57D2F10E"/>
    <w:multiLevelType w:val="hybridMultilevel"/>
    <w:lvl w:ilvl="0">
      <w:lvlJc w:val="left"/>
      <w:lvlText w:val="(%1)"/>
      <w:numFmt w:val="lowerLetter"/>
      <w:start w:val="1"/>
    </w:lvl>
  </w:abstractNum>
  <w:abstractNum w:abstractNumId="33">
    <w:nsid w:val="BFFAE18"/>
    <w:multiLevelType w:val="hybridMultilevel"/>
    <w:lvl w:ilvl="0">
      <w:lvlJc w:val="left"/>
      <w:lvlText w:val="(%1)"/>
      <w:numFmt w:val="lowerLetter"/>
      <w:start w:val="3"/>
    </w:lvl>
  </w:abstractNum>
  <w:abstractNum w:abstractNumId="34">
    <w:nsid w:val="E3E47A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5">
    <w:nsid w:val="2E48F044"/>
    <w:multiLevelType w:val="hybridMultilevel"/>
    <w:lvl w:ilvl="0">
      <w:lvlJc w:val="left"/>
      <w:lvlText w:val="(%1)"/>
      <w:numFmt w:val="lowerLetter"/>
      <w:start w:val="2"/>
    </w:lvl>
  </w:abstractNum>
  <w:abstractNum w:abstractNumId="36">
    <w:nsid w:val="49D0FEAC"/>
    <w:multiLevelType w:val="hybridMultilevel"/>
    <w:lvl w:ilvl="0">
      <w:lvlJc w:val="left"/>
      <w:lvlText w:val="(%1)"/>
      <w:numFmt w:val="lowerLetter"/>
      <w:start w:val="5"/>
    </w:lvl>
  </w:abstractNum>
  <w:abstractNum w:abstractNumId="37">
    <w:nsid w:val="4BEE5A5B"/>
    <w:multiLevelType w:val="hybridMultilevel"/>
    <w:lvl w:ilvl="0">
      <w:lvlJc w:val="left"/>
      <w:lvlText w:val="(%1)"/>
      <w:numFmt w:val="lowerLetter"/>
      <w:start w:val="1"/>
    </w:lvl>
  </w:abstractNum>
  <w:abstractNum w:abstractNumId="38">
    <w:nsid w:val="5551B9F3"/>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lowerLetter"/>
      <w:start w:val="1"/>
    </w:lvl>
  </w:abstractNum>
  <w:abstractNum w:abstractNumId="39">
    <w:nsid w:val="24F6AB8E"/>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lvl w:ilvl="3">
      <w:lvlJc w:val="left"/>
      <w:lvlText w:val="(%4)"/>
      <w:numFmt w:val="lowerLetter"/>
      <w:start w:val="35"/>
    </w:lvl>
  </w:abstractNum>
  <w:abstractNum w:abstractNumId="40">
    <w:nsid w:val="634C574C"/>
    <w:multiLevelType w:val="hybridMultilevel"/>
    <w:lvl w:ilvl="0">
      <w:lvlJc w:val="left"/>
      <w:lvlText w:val="(%1)"/>
      <w:numFmt w:val="lowerRoman"/>
      <w:start w:val="3"/>
    </w:lvl>
  </w:abstractNum>
  <w:abstractNum w:abstractNumId="41">
    <w:nsid w:val="24E99DD7"/>
    <w:multiLevelType w:val="hybridMultilevel"/>
    <w:lvl w:ilvl="0">
      <w:lvlJc w:val="left"/>
      <w:lvlText w:val="(%1)"/>
      <w:numFmt w:val="lowerLetter"/>
      <w:start w:val="5"/>
    </w:lvl>
  </w:abstractNum>
  <w:abstractNum w:abstractNumId="42">
    <w:nsid w:val="2A31B62D"/>
    <w:multiLevelType w:val="hybridMultilevel"/>
    <w:lvl w:ilvl="0">
      <w:lvlJc w:val="left"/>
      <w:lvlText w:val="(%1)"/>
      <w:numFmt w:val="lowerLetter"/>
      <w:start w:val="1"/>
    </w:lvl>
  </w:abstractNum>
  <w:abstractNum w:abstractNumId="43">
    <w:nsid w:val="1849C29B"/>
    <w:multiLevelType w:val="hybridMultilevel"/>
    <w:lvl w:ilvl="0">
      <w:lvlJc w:val="left"/>
      <w:lvlText w:val="(%1)"/>
      <w:numFmt w:val="lowerLetter"/>
      <w:start w:val="3"/>
    </w:lvl>
  </w:abstractNum>
  <w:abstractNum w:abstractNumId="44">
    <w:nsid w:val="7DFF9D09"/>
    <w:multiLevelType w:val="hybridMultilevel"/>
    <w:lvl w:ilvl="0">
      <w:lvlJc w:val="left"/>
      <w:lvlText w:val="(%1)"/>
      <w:numFmt w:val="lowerLetter"/>
      <w:start w:val="1"/>
    </w:lvl>
  </w:abstractNum>
  <w:abstractNum w:abstractNumId="45">
    <w:nsid w:val="754342"/>
    <w:multiLevelType w:val="hybridMultilevel"/>
    <w:lvl w:ilvl="0">
      <w:lvlJc w:val="left"/>
      <w:lvlText w:val="(%1)"/>
      <w:numFmt w:val="lowerLetter"/>
      <w:start w:val="2"/>
    </w:lvl>
  </w:abstractNum>
  <w:abstractNum w:abstractNumId="46">
    <w:nsid w:val="69E7F3E5"/>
    <w:multiLevelType w:val="hybridMultilevel"/>
    <w:lvl w:ilvl="0">
      <w:lvlJc w:val="left"/>
      <w:lvlText w:val="%1."/>
      <w:numFmt w:val="decimal"/>
      <w:start w:val="1"/>
    </w:lvl>
  </w:abstractNum>
  <w:abstractNum w:abstractNumId="47">
    <w:nsid w:val="2A6DE806"/>
    <w:multiLevelType w:val="hybridMultilevel"/>
    <w:lvl w:ilvl="0">
      <w:lvlJc w:val="left"/>
      <w:lvlText w:val="%1."/>
      <w:numFmt w:val="decimal"/>
      <w:start w:val="7"/>
    </w:lvl>
  </w:abstractNum>
  <w:abstractNum w:abstractNumId="48">
    <w:nsid w:val="1816F8C4"/>
    <w:multiLevelType w:val="hybridMultilevel"/>
    <w:lvl w:ilvl="0">
      <w:lvlJc w:val="left"/>
      <w:lvlText w:val="\ldblquote"/>
      <w:numFmt w:val="bullet"/>
      <w:start w:val="1"/>
    </w:lvl>
    <w:lvl w:ilvl="1">
      <w:lvlJc w:val="left"/>
      <w:lvlText w:val="(%2)"/>
      <w:numFmt w:val="lowerLetter"/>
      <w:start w:val="1"/>
    </w:lvl>
  </w:abstractNum>
  <w:abstractNum w:abstractNumId="49">
    <w:nsid w:val="37DF2233"/>
    <w:multiLevelType w:val="hybridMultilevel"/>
    <w:lvl w:ilvl="0">
      <w:lvlJc w:val="left"/>
      <w:lvlText w:val="(%1)"/>
      <w:numFmt w:val="lowerLetter"/>
      <w:start w:val="3"/>
    </w:lvl>
  </w:abstractNum>
  <w:abstractNum w:abstractNumId="50">
    <w:nsid w:val="7AB49DAF"/>
    <w:multiLevelType w:val="hybridMultilevel"/>
    <w:lvl w:ilvl="0">
      <w:lvlJc w:val="left"/>
      <w:lvlText w:val="%1."/>
      <w:numFmt w:val="decimal"/>
      <w:start w:val="9"/>
    </w:lvl>
  </w:abstractNum>
  <w:abstractNum w:abstractNumId="51">
    <w:nsid w:val="759F82CD"/>
    <w:multiLevelType w:val="hybridMultilevel"/>
    <w:lvl w:ilvl="0">
      <w:lvlJc w:val="left"/>
      <w:lvlText w:val="(%1)"/>
      <w:numFmt w:val="lowerLetter"/>
      <w:start w:val="1"/>
    </w:lvl>
  </w:abstractNum>
  <w:abstractNum w:abstractNumId="52">
    <w:nsid w:val="61E74EA3"/>
    <w:multiLevelType w:val="hybridMultilevel"/>
    <w:lvl w:ilvl="0">
      <w:lvlJc w:val="left"/>
      <w:lvlText w:val="(%1)"/>
      <w:numFmt w:val="lowerLetter"/>
      <w:start w:val="5"/>
    </w:lvl>
  </w:abstractNum>
  <w:abstractNum w:abstractNumId="53">
    <w:nsid w:val="597B4D84"/>
    <w:multiLevelType w:val="hybridMultilevel"/>
    <w:lvl w:ilvl="0">
      <w:lvlJc w:val="left"/>
      <w:lvlText w:val="(%1)"/>
      <w:numFmt w:val="lowerLetter"/>
      <w:start w:val="11"/>
    </w:lvl>
  </w:abstractNum>
  <w:abstractNum w:abstractNumId="54">
    <w:nsid w:val="F819E7F"/>
    <w:multiLevelType w:val="hybridMultilevel"/>
    <w:lvl w:ilvl="0">
      <w:lvlJc w:val="left"/>
      <w:lvlText w:val="(%1)"/>
      <w:numFmt w:val="lowerLetter"/>
      <w:start w:val="13"/>
    </w:lvl>
  </w:abstractNum>
  <w:abstractNum w:abstractNumId="55">
    <w:nsid w:val="57C7D42D"/>
    <w:multiLevelType w:val="hybridMultilevel"/>
    <w:lvl w:ilvl="0">
      <w:lvlJc w:val="left"/>
      <w:lvlText w:val="(%1)"/>
      <w:numFmt w:val="lowerLetter"/>
      <w:start w:val="26"/>
    </w:lvl>
  </w:abstractNum>
  <w:abstractNum w:abstractNumId="56">
    <w:nsid w:val="312167AD"/>
    <w:multiLevelType w:val="hybridMultilevel"/>
    <w:lvl w:ilvl="0">
      <w:lvlJc w:val="left"/>
      <w:lvlText w:val="(%1)"/>
      <w:numFmt w:val="lowerLetter"/>
      <w:start w:val="28"/>
    </w:lvl>
  </w:abstractNum>
  <w:abstractNum w:abstractNumId="57">
    <w:nsid w:val="631B64D4"/>
    <w:multiLevelType w:val="hybridMultilevel"/>
    <w:lvl w:ilvl="0">
      <w:lvlJc w:val="left"/>
      <w:lvlText w:val="%1"/>
      <w:numFmt w:val="lowerRoman"/>
      <w:start w:val="1"/>
    </w:lvl>
    <w:lvl w:ilvl="1">
      <w:lvlJc w:val="left"/>
      <w:lvlText w:val="(%2)"/>
      <w:numFmt w:val="lowerLetter"/>
      <w:start w:val="34"/>
    </w:lvl>
  </w:abstractNum>
  <w:abstractNum w:abstractNumId="58">
    <w:nsid w:val="78B5E776"/>
    <w:multiLevelType w:val="hybridMultilevel"/>
    <w:lvl w:ilvl="0">
      <w:lvlJc w:val="left"/>
      <w:lvlText w:val="(%1)"/>
      <w:numFmt w:val="lowerRoman"/>
      <w:start w:val="1"/>
    </w:lvl>
    <w:lvl w:ilvl="1">
      <w:lvlJc w:val="left"/>
      <w:lvlText w:val="(%2)"/>
      <w:numFmt w:val="lowerLetter"/>
      <w:start w:val="39"/>
    </w:lvl>
  </w:abstractNum>
  <w:abstractNum w:abstractNumId="59">
    <w:nsid w:val="75486E47"/>
    <w:multiLevelType w:val="hybridMultilevel"/>
    <w:lvl w:ilvl="0">
      <w:lvlJc w:val="left"/>
      <w:lvlText w:val="(%1)"/>
      <w:numFmt w:val="lowerLetter"/>
      <w:start w:val="2"/>
    </w:lvl>
  </w:abstractNum>
  <w:abstractNum w:abstractNumId="60">
    <w:nsid w:val="6E534CDE"/>
    <w:multiLevelType w:val="hybridMultilevel"/>
    <w:lvl w:ilvl="0">
      <w:lvlJc w:val="left"/>
      <w:lvlText w:val="(%1)"/>
      <w:numFmt w:val="lowerLetter"/>
      <w:start w:val="3"/>
    </w:lvl>
  </w:abstractNum>
  <w:abstractNum w:abstractNumId="61">
    <w:nsid w:val="1A0DDE32"/>
    <w:multiLevelType w:val="hybridMultilevel"/>
    <w:lvl w:ilvl="0">
      <w:lvlJc w:val="left"/>
      <w:lvlText w:val="(%1)"/>
      <w:numFmt w:val="lowerLetter"/>
      <w:start w:val="7"/>
    </w:lvl>
  </w:abstractNum>
  <w:abstractNum w:abstractNumId="62">
    <w:nsid w:val="65968C1C"/>
    <w:multiLevelType w:val="hybridMultilevel"/>
    <w:lvl w:ilvl="0">
      <w:lvlJc w:val="left"/>
      <w:lvlText w:val="(%1)"/>
      <w:numFmt w:val="lowerLetter"/>
      <w:start w:val="2"/>
    </w:lvl>
  </w:abstractNum>
  <w:abstractNum w:abstractNumId="63">
    <w:nsid w:val="46263DEC"/>
    <w:multiLevelType w:val="hybridMultilevel"/>
    <w:lvl w:ilvl="0">
      <w:lvlJc w:val="left"/>
      <w:lvlText w:val="(%1)"/>
      <w:numFmt w:val="lowerLetter"/>
      <w:start w:val="1"/>
    </w:lvl>
  </w:abstractNum>
  <w:abstractNum w:abstractNumId="64">
    <w:nsid w:val="260D8C4A"/>
    <w:multiLevelType w:val="hybridMultilevel"/>
    <w:lvl w:ilvl="0">
      <w:lvlJc w:val="left"/>
      <w:lvlText w:val="(%1)"/>
      <w:numFmt w:val="lowerLetter"/>
      <w:start w:val="4"/>
    </w:lvl>
  </w:abstractNum>
  <w:abstractNum w:abstractNumId="65">
    <w:nsid w:val="73D4D3C4"/>
    <w:multiLevelType w:val="hybridMultilevel"/>
    <w:lvl w:ilvl="0">
      <w:lvlJc w:val="left"/>
      <w:lvlText w:val="%1"/>
      <w:numFmt w:val="lowerRoman"/>
      <w:start w:val="1"/>
    </w:lvl>
    <w:lvl w:ilvl="1">
      <w:lvlJc w:val="left"/>
      <w:lvlText w:val="(%2)"/>
      <w:numFmt w:val="lowerLetter"/>
      <w:start w:val="1"/>
    </w:lvl>
  </w:abstractNum>
  <w:abstractNum w:abstractNumId="66">
    <w:nsid w:val="746F2E30"/>
    <w:multiLevelType w:val="hybridMultilevel"/>
    <w:lvl w:ilvl="0">
      <w:lvlJc w:val="left"/>
      <w:lvlText w:val="(%1)"/>
      <w:numFmt w:val="lowerRoman"/>
      <w:start w:val="1"/>
    </w:lvl>
    <w:lvl w:ilvl="1">
      <w:lvlJc w:val="left"/>
      <w:lvlText w:val="%2"/>
      <w:numFmt w:val="lowerLetter"/>
      <w:start w:val="1"/>
    </w:lvl>
  </w:abstractNum>
  <w:abstractNum w:abstractNumId="67">
    <w:nsid w:val="6FDE8AF6"/>
    <w:multiLevelType w:val="hybridMultilevel"/>
    <w:lvl w:ilvl="0">
      <w:lvlJc w:val="left"/>
      <w:lvlText w:val="(%1)"/>
      <w:numFmt w:val="lowerRoman"/>
      <w:start w:val="4"/>
    </w:lvl>
    <w:lvl w:ilvl="1">
      <w:lvlJc w:val="left"/>
      <w:lvlText w:val="(%2)"/>
      <w:numFmt w:val="lowerLetter"/>
      <w:start w:val="2"/>
    </w:lvl>
  </w:abstractNum>
  <w:abstractNum w:abstractNumId="68">
    <w:nsid w:val="3FC32E20"/>
    <w:multiLevelType w:val="hybridMultilevel"/>
    <w:lvl w:ilvl="0">
      <w:lvlJc w:val="left"/>
      <w:lvlText w:val="(%1)"/>
      <w:numFmt w:val="lowerLetter"/>
      <w:start w:val="6"/>
    </w:lvl>
  </w:abstractNum>
  <w:abstractNum w:abstractNumId="69">
    <w:nsid w:val="49C0E823"/>
    <w:multiLevelType w:val="hybridMultilevel"/>
    <w:lvl w:ilvl="0">
      <w:lvlJc w:val="left"/>
      <w:lvlText w:val="%1"/>
      <w:numFmt w:val="lowerLetter"/>
      <w:start w:val="1"/>
    </w:lvl>
    <w:lvl w:ilvl="1">
      <w:lvlJc w:val="left"/>
      <w:lvlText w:val="(%2)"/>
      <w:numFmt w:val="lowerLetter"/>
      <w:start w:val="1"/>
    </w:lvl>
  </w:abstractNum>
  <w:abstractNum w:abstractNumId="70">
    <w:nsid w:val="14D53685"/>
    <w:multiLevelType w:val="hybridMultilevel"/>
    <w:lvl w:ilvl="0">
      <w:lvlJc w:val="left"/>
      <w:lvlText w:val="(%1)"/>
      <w:numFmt w:val="lowerLetter"/>
      <w:start w:val="9"/>
    </w:lvl>
    <w:lvl w:ilvl="1">
      <w:lvlJc w:val="left"/>
      <w:lvlText w:val="%2"/>
      <w:numFmt w:val="lowerLetter"/>
      <w:start w:val="1"/>
    </w:lvl>
  </w:abstractNum>
  <w:abstractNum w:abstractNumId="71">
    <w:nsid w:val="230F856C"/>
    <w:multiLevelType w:val="hybridMultilevel"/>
    <w:lvl w:ilvl="0">
      <w:lvlJc w:val="left"/>
      <w:lvlText w:val="(%1)"/>
      <w:numFmt w:val="lowerRoman"/>
      <w:start w:val="2"/>
    </w:lvl>
  </w:abstractNum>
  <w:abstractNum w:abstractNumId="72">
    <w:nsid w:val="6EAA85FB"/>
    <w:multiLevelType w:val="hybridMultilevel"/>
    <w:lvl w:ilvl="0">
      <w:lvlJc w:val="left"/>
      <w:lvlText w:val="(%1)"/>
      <w:numFmt w:val="lowerRoman"/>
      <w:start w:val="3"/>
    </w:lvl>
  </w:abstractNum>
  <w:abstractNum w:abstractNumId="73">
    <w:nsid w:val="3F06ECB2"/>
    <w:multiLevelType w:val="hybridMultilevel"/>
    <w:lvl w:ilvl="0">
      <w:lvlJc w:val="left"/>
      <w:lvlText w:val="%1"/>
      <w:numFmt w:val="lowerRoman"/>
      <w:start w:val="1"/>
    </w:lvl>
    <w:lvl w:ilvl="1">
      <w:lvlJc w:val="left"/>
      <w:lvlText w:val="(%2)"/>
      <w:numFmt w:val="lowerRoman"/>
      <w:start w:val="4"/>
    </w:lvl>
  </w:abstractNum>
  <w:abstractNum w:abstractNumId="74">
    <w:nsid w:val="3B594807"/>
    <w:multiLevelType w:val="hybridMultilevel"/>
    <w:lvl w:ilvl="0">
      <w:lvlJc w:val="left"/>
      <w:lvlText w:val="(%1)"/>
      <w:numFmt w:val="lowerRoman"/>
      <w:start w:val="3"/>
    </w:lvl>
    <w:lvl w:ilvl="1">
      <w:lvlJc w:val="left"/>
      <w:lvlText w:val="%2"/>
      <w:numFmt w:val="lowerRoman"/>
      <w:start w:val="1"/>
    </w:lvl>
  </w:abstractNum>
  <w:abstractNum w:abstractNumId="75">
    <w:nsid w:val="6CAA2304"/>
    <w:multiLevelType w:val="hybridMultilevel"/>
    <w:lvl w:ilvl="0">
      <w:lvlJc w:val="left"/>
      <w:lvlText w:val="(%1)"/>
      <w:numFmt w:val="lowerRoman"/>
      <w:start w:val="5"/>
    </w:lvl>
  </w:abstractNum>
  <w:abstractNum w:abstractNumId="76">
    <w:nsid w:val="3F7C2FF4"/>
    <w:multiLevelType w:val="hybridMultilevel"/>
    <w:lvl w:ilvl="0">
      <w:lvlJc w:val="left"/>
      <w:lvlText w:val="(%1)"/>
      <w:numFmt w:val="lowerRoman"/>
      <w:start w:val="6"/>
    </w:lvl>
  </w:abstractNum>
  <w:abstractNum w:abstractNumId="77">
    <w:nsid w:val="25413BEC"/>
    <w:multiLevelType w:val="hybridMultilevel"/>
    <w:lvl w:ilvl="0">
      <w:lvlJc w:val="left"/>
      <w:lvlText w:val="(%1)"/>
      <w:numFmt w:val="lowerRoman"/>
      <w:start w:val="7"/>
    </w:lvl>
    <w:lvl w:ilvl="1">
      <w:lvlJc w:val="left"/>
      <w:lvlText w:val="(%2)"/>
      <w:numFmt w:val="lowerLetter"/>
      <w:start w:val="2"/>
    </w:lvl>
  </w:abstractNum>
  <w:abstractNum w:abstractNumId="78">
    <w:nsid w:val="17180B0B"/>
    <w:multiLevelType w:val="hybridMultilevel"/>
    <w:lvl w:ilvl="0">
      <w:lvlJc w:val="left"/>
      <w:lvlText w:val="(%1)"/>
      <w:numFmt w:val="lowerRoman"/>
      <w:start w:val="2"/>
    </w:lvl>
  </w:abstractNum>
  <w:abstractNum w:abstractNumId="79">
    <w:nsid w:val="579328B9"/>
    <w:multiLevelType w:val="hybridMultilevel"/>
    <w:lvl w:ilvl="0">
      <w:lvlJc w:val="left"/>
      <w:lvlText w:val="(%1)"/>
      <w:numFmt w:val="upperLetter"/>
      <w:start w:val="1"/>
    </w:lvl>
  </w:abstractNum>
  <w:abstractNum w:abstractNumId="80">
    <w:nsid w:val="5D205E20"/>
    <w:multiLevelType w:val="hybridMultilevel"/>
    <w:lvl w:ilvl="0">
      <w:lvlJc w:val="left"/>
      <w:lvlText w:val="(%1)"/>
      <w:numFmt w:val="upperLetter"/>
      <w:start w:val="2"/>
    </w:lvl>
    <w:lvl w:ilvl="1">
      <w:lvlJc w:val="left"/>
      <w:lvlText w:val="(%2)"/>
      <w:numFmt w:val="lowerLetter"/>
      <w:start w:val="4"/>
    </w:lvl>
  </w:abstractNum>
  <w:abstractNum w:abstractNumId="81">
    <w:nsid w:val="11CCA8BA"/>
    <w:multiLevelType w:val="hybridMultilevel"/>
    <w:lvl w:ilvl="0">
      <w:lvlJc w:val="left"/>
      <w:lvlText w:val="(%1)"/>
      <w:numFmt w:val="lowerRoman"/>
      <w:start w:val="1"/>
    </w:lvl>
  </w:abstractNum>
  <w:abstractNum w:abstractNumId="82">
    <w:nsid w:val="4D32AB86"/>
    <w:multiLevelType w:val="hybridMultilevel"/>
    <w:lvl w:ilvl="0">
      <w:lvlJc w:val="left"/>
      <w:lvlText w:val="(%1)"/>
      <w:numFmt w:val="lowerLetter"/>
      <w:start w:val="9"/>
    </w:lvl>
    <w:lvl w:ilvl="1">
      <w:lvlJc w:val="left"/>
      <w:lvlText w:val="(%2)"/>
      <w:numFmt w:val="lowerLetter"/>
      <w:start w:val="2"/>
    </w:lvl>
  </w:abstractNum>
  <w:abstractNum w:abstractNumId="83">
    <w:nsid w:val="3F07ACC3"/>
    <w:multiLevelType w:val="hybridMultilevel"/>
    <w:lvl w:ilvl="0">
      <w:lvlJc w:val="left"/>
      <w:lvlText w:val="(%1)"/>
      <w:numFmt w:val="lowerLetter"/>
      <w:start w:val="2"/>
    </w:lvl>
  </w:abstractNum>
  <w:abstractNum w:abstractNumId="84">
    <w:nsid w:val="6B47F63E"/>
    <w:multiLevelType w:val="hybridMultilevel"/>
    <w:lvl w:ilvl="0">
      <w:lvlJc w:val="left"/>
      <w:lvlText w:val="(%1)"/>
      <w:numFmt w:val="lowerRoman"/>
      <w:start w:val="1"/>
    </w:lvl>
  </w:abstractNum>
  <w:abstractNum w:abstractNumId="85">
    <w:nsid w:val="5CB44A05"/>
    <w:multiLevelType w:val="hybridMultilevel"/>
    <w:lvl w:ilvl="0">
      <w:lvlJc w:val="left"/>
      <w:lvlText w:val="(%1)"/>
      <w:numFmt w:val="lowerLetter"/>
      <w:start w:val="3"/>
    </w:lvl>
  </w:abstractNum>
  <w:abstractNum w:abstractNumId="86">
    <w:nsid w:val="16CF80F1"/>
    <w:multiLevelType w:val="hybridMultilevel"/>
    <w:lvl w:ilvl="0">
      <w:lvlJc w:val="left"/>
      <w:lvlText w:val="(%1)"/>
      <w:numFmt w:val="lowerLetter"/>
      <w:start w:val="1"/>
    </w:lvl>
  </w:abstractNum>
  <w:abstractNum w:abstractNumId="87">
    <w:nsid w:val="1C695DEC"/>
    <w:multiLevelType w:val="hybridMultilevel"/>
    <w:lvl w:ilvl="0">
      <w:lvlJc w:val="left"/>
      <w:lvlText w:val="(%1)"/>
      <w:numFmt w:val="lowerLetter"/>
      <w:start w:val="1"/>
    </w:lvl>
  </w:abstractNum>
  <w:abstractNum w:abstractNumId="88">
    <w:nsid w:val="3FCFAED9"/>
    <w:multiLevelType w:val="hybridMultilevel"/>
    <w:lvl w:ilvl="0">
      <w:lvlJc w:val="left"/>
      <w:lvlText w:val="(%1)"/>
      <w:numFmt w:val="lowerLetter"/>
      <w:start w:val="1"/>
    </w:lvl>
  </w:abstractNum>
  <w:abstractNum w:abstractNumId="89">
    <w:nsid w:val="F856867"/>
    <w:multiLevelType w:val="hybridMultilevel"/>
    <w:lvl w:ilvl="0">
      <w:lvlJc w:val="left"/>
      <w:lvlText w:val="%1"/>
      <w:numFmt w:val="lowerLetter"/>
      <w:start w:val="1"/>
    </w:lvl>
    <w:lvl w:ilvl="1">
      <w:lvlJc w:val="left"/>
      <w:lvlText w:val="(%2)"/>
      <w:numFmt w:val="lowerLetter"/>
      <w:start w:val="1"/>
    </w:lvl>
  </w:abstractNum>
  <w:abstractNum w:abstractNumId="90">
    <w:nsid w:val="11B1CC33"/>
    <w:multiLevelType w:val="hybridMultilevel"/>
    <w:lvl w:ilvl="0">
      <w:lvlJc w:val="left"/>
      <w:lvlText w:val="(%1)"/>
      <w:numFmt w:val="lowerLetter"/>
      <w:start w:val="61"/>
    </w:lvl>
    <w:lvl w:ilvl="1">
      <w:lvlJc w:val="left"/>
      <w:lvlText w:val="(%2)"/>
      <w:numFmt w:val="lowerLetter"/>
      <w:start w:val="2"/>
    </w:lvl>
  </w:abstractNum>
  <w:abstractNum w:abstractNumId="91">
    <w:nsid w:val="2E22FBB7"/>
    <w:multiLevelType w:val="hybridMultilevel"/>
    <w:lvl w:ilvl="0">
      <w:lvlJc w:val="left"/>
      <w:lvlText w:val="(%1)"/>
      <w:numFmt w:val="lowerLetter"/>
      <w:start w:val="1"/>
    </w:lvl>
  </w:abstractNum>
  <w:abstractNum w:abstractNumId="92">
    <w:nsid w:val="29934699"/>
    <w:multiLevelType w:val="hybridMultilevel"/>
    <w:lvl w:ilvl="0">
      <w:lvlJc w:val="left"/>
      <w:lvlText w:val="(%1)"/>
      <w:numFmt w:val="lowerLetter"/>
      <w:start w:val="8"/>
    </w:lvl>
  </w:abstractNum>
  <w:abstractNum w:abstractNumId="93">
    <w:nsid w:val="77485850"/>
    <w:multiLevelType w:val="hybridMultilevel"/>
    <w:lvl w:ilvl="0">
      <w:lvlJc w:val="left"/>
      <w:lvlText w:val="(%1)"/>
      <w:numFmt w:val="lowerLetter"/>
      <w:start w:val="11"/>
    </w:lvl>
  </w:abstractNum>
  <w:abstractNum w:abstractNumId="94">
    <w:nsid w:val="744939A3"/>
    <w:multiLevelType w:val="hybridMultilevel"/>
    <w:lvl w:ilvl="0">
      <w:lvlJc w:val="left"/>
      <w:lvlText w:val="(%1)"/>
      <w:numFmt w:val="lowerLetter"/>
      <w:start w:val="16"/>
    </w:lvl>
  </w:abstractNum>
  <w:abstractNum w:abstractNumId="95">
    <w:nsid w:val="4FA0D2E3"/>
    <w:multiLevelType w:val="hybridMultilevel"/>
    <w:lvl w:ilvl="0">
      <w:lvlJc w:val="left"/>
      <w:lvlText w:val="(%1)"/>
      <w:numFmt w:val="lowerLetter"/>
      <w:start w:val="26"/>
    </w:lvl>
  </w:abstractNum>
  <w:abstractNum w:abstractNumId="96">
    <w:nsid w:val="6B1D2C14"/>
    <w:multiLevelType w:val="hybridMultilevel"/>
    <w:lvl w:ilvl="0">
      <w:lvlJc w:val="left"/>
      <w:lvlText w:val="(%1)"/>
      <w:numFmt w:val="lowerLetter"/>
      <w:start w:val="28"/>
    </w:lvl>
  </w:abstractNum>
  <w:abstractNum w:abstractNumId="97">
    <w:nsid w:val="68B867D3"/>
    <w:multiLevelType w:val="hybridMultilevel"/>
    <w:lvl w:ilvl="0">
      <w:lvlJc w:val="left"/>
      <w:lvlText w:val="%1"/>
      <w:numFmt w:val="lowerRoman"/>
      <w:start w:val="1"/>
    </w:lvl>
    <w:lvl w:ilvl="1">
      <w:lvlJc w:val="left"/>
      <w:lvlText w:val="(%2)"/>
      <w:numFmt w:val="lowerLetter"/>
      <w:start w:val="35"/>
    </w:lvl>
  </w:abstractNum>
  <w:abstractNum w:abstractNumId="98">
    <w:nsid w:val="3F7F5DD9"/>
    <w:multiLevelType w:val="hybridMultilevel"/>
    <w:lvl w:ilvl="0">
      <w:lvlJc w:val="left"/>
      <w:lvlText w:val="(%1)"/>
      <w:numFmt w:val="lowerRoman"/>
      <w:start w:val="1"/>
    </w:lvl>
    <w:lvl w:ilvl="1">
      <w:lvlJc w:val="left"/>
      <w:lvlText w:val="(%2)"/>
      <w:numFmt w:val="lowerLetter"/>
      <w:start w:val="39"/>
    </w:lvl>
  </w:abstractNum>
  <w:abstractNum w:abstractNumId="99">
    <w:nsid w:val="2AE05A34"/>
    <w:multiLevelType w:val="hybridMultilevel"/>
    <w:lvl w:ilvl="0">
      <w:lvlJc w:val="left"/>
      <w:lvlText w:val="(%1)"/>
      <w:numFmt w:val="lowerLetter"/>
      <w:start w:val="2"/>
    </w:lvl>
  </w:abstractNum>
  <w:abstractNum w:abstractNumId="100">
    <w:nsid w:val="32794FF7"/>
    <w:multiLevelType w:val="hybridMultilevel"/>
    <w:lvl w:ilvl="0">
      <w:lvlJc w:val="left"/>
      <w:lvlText w:val="(%1)"/>
      <w:numFmt w:val="lowerLetter"/>
      <w:start w:val="3"/>
    </w:lvl>
  </w:abstractNum>
  <w:abstractNum w:abstractNumId="101">
    <w:nsid w:val="5454945E"/>
    <w:multiLevelType w:val="hybridMultilevel"/>
    <w:lvl w:ilvl="0">
      <w:lvlJc w:val="left"/>
      <w:lvlText w:val="(%1)"/>
      <w:numFmt w:val="lowerLetter"/>
      <w:start w:val="7"/>
    </w:lvl>
  </w:abstractNum>
  <w:abstractNum w:abstractNumId="102">
    <w:nsid w:val="4DEFDFA0"/>
    <w:multiLevelType w:val="hybridMultilevel"/>
    <w:lvl w:ilvl="0">
      <w:lvlJc w:val="left"/>
      <w:lvlText w:val="(%1)"/>
      <w:numFmt w:val="lowerLetter"/>
      <w:start w:val="2"/>
    </w:lvl>
  </w:abstractNum>
  <w:abstractNum w:abstractNumId="103">
    <w:nsid w:val="2123D5F2"/>
    <w:multiLevelType w:val="hybridMultilevel"/>
    <w:lvl w:ilvl="0">
      <w:lvlJc w:val="left"/>
      <w:lvlText w:val="(%1)"/>
      <w:numFmt w:val="lowerLetter"/>
      <w:start w:val="1"/>
    </w:lvl>
  </w:abstractNum>
  <w:abstractNum w:abstractNumId="104">
    <w:nsid w:val="135B8110"/>
    <w:multiLevelType w:val="hybridMultilevel"/>
    <w:lvl w:ilvl="0">
      <w:lvlJc w:val="left"/>
      <w:lvlText w:val="(%1)"/>
      <w:numFmt w:val="lowerLetter"/>
      <w:start w:val="4"/>
    </w:lvl>
  </w:abstractNum>
  <w:abstractNum w:abstractNumId="105">
    <w:nsid w:val="94927A8"/>
    <w:multiLevelType w:val="hybridMultilevel"/>
    <w:lvl w:ilvl="0">
      <w:lvlJc w:val="left"/>
      <w:lvlText w:val="(%1)"/>
      <w:numFmt w:val="lowerLetter"/>
      <w:start w:val="1"/>
    </w:lvl>
  </w:abstractNum>
  <w:abstractNum w:abstractNumId="106">
    <w:nsid w:val="DCDF8F6"/>
    <w:multiLevelType w:val="hybridMultilevel"/>
    <w:lvl w:ilvl="0">
      <w:lvlJc w:val="left"/>
      <w:lvlText w:val="(%1)"/>
      <w:numFmt w:val="lowerRoman"/>
      <w:start w:val="1"/>
    </w:lvl>
  </w:abstractNum>
  <w:abstractNum w:abstractNumId="107">
    <w:nsid w:val="52D7B105"/>
    <w:multiLevelType w:val="hybridMultilevel"/>
    <w:lvl w:ilvl="0">
      <w:lvlJc w:val="left"/>
      <w:lvlText w:val="(%1)"/>
      <w:numFmt w:val="lowerRoman"/>
      <w:start w:val="3"/>
    </w:lvl>
  </w:abstractNum>
  <w:abstractNum w:abstractNumId="108">
    <w:nsid w:val="2E8A6394"/>
    <w:multiLevelType w:val="hybridMultilevel"/>
    <w:lvl w:ilvl="0">
      <w:lvlJc w:val="left"/>
      <w:lvlText w:val="(%1)"/>
      <w:numFmt w:val="lowerLetter"/>
      <w:start w:val="2"/>
    </w:lvl>
  </w:abstractNum>
  <w:abstractNum w:abstractNumId="109">
    <w:nsid w:val="24E60401"/>
    <w:multiLevelType w:val="hybridMultilevel"/>
    <w:lvl w:ilvl="0">
      <w:lvlJc w:val="left"/>
      <w:lvlText w:val="(%1)"/>
      <w:numFmt w:val="lowerLetter"/>
      <w:start w:val="5"/>
    </w:lvl>
  </w:abstractNum>
  <w:abstractNum w:abstractNumId="110">
    <w:nsid w:val="2A6AD9BE"/>
    <w:multiLevelType w:val="hybridMultilevel"/>
    <w:lvl w:ilvl="0">
      <w:lvlJc w:val="left"/>
      <w:lvlText w:val="%1"/>
      <w:numFmt w:val="lowerLetter"/>
      <w:start w:val="1"/>
    </w:lvl>
    <w:lvl w:ilvl="1">
      <w:lvlJc w:val="left"/>
      <w:lvlText w:val="(%2)"/>
      <w:numFmt w:val="lowerLetter"/>
      <w:start w:val="1"/>
    </w:lvl>
  </w:abstractNum>
  <w:abstractNum w:abstractNumId="111">
    <w:nsid w:val="BAAC1B4"/>
    <w:multiLevelType w:val="hybridMultilevel"/>
    <w:lvl w:ilvl="0">
      <w:lvlJc w:val="left"/>
      <w:lvlText w:val="(%1)"/>
      <w:numFmt w:val="lowerLetter"/>
      <w:start w:val="9"/>
    </w:lvl>
    <w:lvl w:ilvl="1">
      <w:lvlJc w:val="left"/>
      <w:lvlText w:val="%2"/>
      <w:numFmt w:val="lowerLetter"/>
      <w:start w:val="1"/>
    </w:lvl>
  </w:abstractNum>
  <w:abstractNum w:abstractNumId="112">
    <w:nsid w:val="36B2ACBC"/>
    <w:multiLevelType w:val="hybridMultilevel"/>
    <w:lvl w:ilvl="0">
      <w:lvlJc w:val="left"/>
      <w:lvlText w:val="(%1)"/>
      <w:numFmt w:val="lowerRoman"/>
      <w:start w:val="2"/>
    </w:lvl>
  </w:abstractNum>
  <w:abstractNum w:abstractNumId="113">
    <w:nsid w:val="779D8544"/>
    <w:multiLevelType w:val="hybridMultilevel"/>
    <w:lvl w:ilvl="0">
      <w:lvlJc w:val="left"/>
      <w:lvlText w:val="(%1)"/>
      <w:numFmt w:val="lowerRoman"/>
      <w:start w:val="3"/>
    </w:lvl>
  </w:abstractNum>
  <w:abstractNum w:abstractNumId="114">
    <w:nsid w:val="4AB26E78"/>
    <w:multiLevelType w:val="hybridMultilevel"/>
    <w:lvl w:ilvl="0">
      <w:lvlJc w:val="left"/>
      <w:lvlText w:val="(%1)"/>
      <w:numFmt w:val="lowerRoman"/>
      <w:start w:val="4"/>
    </w:lvl>
  </w:abstractNum>
  <w:abstractNum w:abstractNumId="115">
    <w:nsid w:val="21FAA2FA"/>
    <w:multiLevelType w:val="hybridMultilevel"/>
    <w:lvl w:ilvl="0">
      <w:lvlJc w:val="left"/>
      <w:lvlText w:val="(%1)"/>
      <w:numFmt w:val="lowerRoman"/>
      <w:start w:val="5"/>
    </w:lvl>
  </w:abstractNum>
  <w:abstractNum w:abstractNumId="116">
    <w:nsid w:val="5451CF49"/>
    <w:multiLevelType w:val="hybridMultilevel"/>
    <w:lvl w:ilvl="0">
      <w:lvlJc w:val="left"/>
      <w:lvlText w:val="(%1)"/>
      <w:numFmt w:val="lowerRoman"/>
      <w:start w:val="6"/>
    </w:lvl>
  </w:abstractNum>
  <w:abstractNum w:abstractNumId="117">
    <w:nsid w:val="6181EF69"/>
    <w:multiLevelType w:val="hybridMultilevel"/>
    <w:lvl w:ilvl="0">
      <w:lvlJc w:val="left"/>
      <w:lvlText w:val="%1"/>
      <w:numFmt w:val="lowerLetter"/>
      <w:start w:val="1"/>
    </w:lvl>
    <w:lvl w:ilvl="1">
      <w:lvlJc w:val="left"/>
      <w:lvlText w:val="(%2)"/>
      <w:numFmt w:val="lowerRoman"/>
      <w:start w:val="7"/>
    </w:lvl>
    <w:lvl w:ilvl="2">
      <w:lvlJc w:val="left"/>
      <w:lvlText w:val="%3"/>
      <w:numFmt w:val="lowerLetter"/>
      <w:start w:val="1"/>
    </w:lvl>
  </w:abstractNum>
  <w:abstractNum w:abstractNumId="118">
    <w:nsid w:val="3E6400E6"/>
    <w:multiLevelType w:val="hybridMultilevel"/>
    <w:lvl w:ilvl="0">
      <w:lvlJc w:val="left"/>
      <w:lvlText w:val="(%1)"/>
      <w:numFmt w:val="lowerLetter"/>
      <w:start w:val="61"/>
    </w:lvl>
    <w:lvl w:ilvl="1">
      <w:lvlJc w:val="left"/>
      <w:lvlText w:val="(%2)"/>
      <w:numFmt w:val="lowerRoman"/>
      <w:start w:val="1"/>
    </w:lvl>
    <w:lvl w:ilvl="2">
      <w:lvlJc w:val="left"/>
      <w:lvlText w:val="(%3)"/>
      <w:numFmt w:val="lowerLetter"/>
      <w:start w:val="2"/>
    </w:lvl>
  </w:abstractNum>
  <w:abstractNum w:abstractNumId="119">
    <w:nsid w:val="14217E23"/>
    <w:multiLevelType w:val="hybridMultilevel"/>
    <w:lvl w:ilvl="0">
      <w:lvlJc w:val="left"/>
      <w:lvlText w:val="(%1)"/>
      <w:numFmt w:val="upperLetter"/>
      <w:start w:val="1"/>
    </w:lvl>
  </w:abstractNum>
  <w:abstractNum w:abstractNumId="120">
    <w:nsid w:val="710757D0"/>
    <w:multiLevelType w:val="hybridMultilevel"/>
    <w:lvl w:ilvl="0">
      <w:lvlJc w:val="left"/>
      <w:lvlText w:val="(%1)"/>
      <w:numFmt w:val="upperLetter"/>
      <w:start w:val="3"/>
    </w:lvl>
    <w:lvl w:ilvl="1">
      <w:lvlJc w:val="left"/>
      <w:lvlText w:val="(%2)"/>
      <w:numFmt w:val="lowerLetter"/>
      <w:start w:val="4"/>
    </w:lvl>
  </w:abstractNum>
  <w:abstractNum w:abstractNumId="121">
    <w:nsid w:val="5015CD1A"/>
    <w:multiLevelType w:val="hybridMultilevel"/>
    <w:lvl w:ilvl="0">
      <w:lvlJc w:val="left"/>
      <w:lvlText w:val="(%1)"/>
      <w:numFmt w:val="lowerRoman"/>
      <w:start w:val="1"/>
    </w:lvl>
  </w:abstractNum>
  <w:abstractNum w:abstractNumId="122">
    <w:nsid w:val="424479DA"/>
    <w:multiLevelType w:val="hybridMultilevel"/>
    <w:lvl w:ilvl="0">
      <w:lvlJc w:val="left"/>
      <w:lvlText w:val="(%1)"/>
      <w:numFmt w:val="lowerLetter"/>
      <w:start w:val="9"/>
    </w:lvl>
    <w:lvl w:ilvl="1">
      <w:lvlJc w:val="left"/>
      <w:lvlText w:val="(%2)"/>
      <w:numFmt w:val="lowerLetter"/>
      <w:start w:val="2"/>
    </w:lvl>
  </w:abstractNum>
  <w:abstractNum w:abstractNumId="123">
    <w:nsid w:val="1A9A9E69"/>
    <w:multiLevelType w:val="hybridMultilevel"/>
    <w:lvl w:ilvl="0">
      <w:lvlJc w:val="left"/>
      <w:lvlText w:val="(%1)"/>
      <w:numFmt w:val="lowerLetter"/>
      <w:start w:val="2"/>
    </w:lvl>
  </w:abstractNum>
  <w:abstractNum w:abstractNumId="124">
    <w:nsid w:val="475E256A"/>
    <w:multiLevelType w:val="hybridMultilevel"/>
    <w:lvl w:ilvl="0">
      <w:lvlJc w:val="left"/>
      <w:lvlText w:val="(%1)"/>
      <w:numFmt w:val="lowerRoman"/>
      <w:start w:val="1"/>
    </w:lvl>
  </w:abstractNum>
  <w:abstractNum w:abstractNumId="125">
    <w:nsid w:val="368DB37E"/>
    <w:multiLevelType w:val="hybridMultilevel"/>
    <w:lvl w:ilvl="0">
      <w:lvlJc w:val="left"/>
      <w:lvlText w:val="(%1)"/>
      <w:numFmt w:val="lowerLetter"/>
      <w:start w:val="3"/>
    </w:lvl>
  </w:abstractNum>
  <w:abstractNum w:abstractNumId="126">
    <w:nsid w:val="6A3B714C"/>
    <w:multiLevelType w:val="hybridMultilevel"/>
    <w:lvl w:ilvl="0">
      <w:lvlJc w:val="left"/>
      <w:lvlText w:val="(%1)"/>
      <w:numFmt w:val="lowerLetter"/>
      <w:start w:val="1"/>
    </w:lvl>
  </w:abstractNum>
  <w:abstractNum w:abstractNumId="127">
    <w:nsid w:val="327B517E"/>
    <w:multiLevelType w:val="hybridMultilevel"/>
    <w:lvl w:ilvl="0">
      <w:lvlJc w:val="left"/>
      <w:lvlText w:val="(%1)"/>
      <w:numFmt w:val="lowerLetter"/>
      <w:start w:val="1"/>
    </w:lvl>
  </w:abstractNum>
  <w:abstractNum w:abstractNumId="128">
    <w:nsid w:val="1F461B51"/>
    <w:multiLevelType w:val="hybridMultilevel"/>
    <w:lvl w:ilvl="0">
      <w:lvlJc w:val="left"/>
      <w:lvlText w:val="(%1)"/>
      <w:numFmt w:val="lowerLetter"/>
      <w:start w:val="1"/>
    </w:lvl>
  </w:abstractNum>
  <w:abstractNum w:abstractNumId="129">
    <w:nsid w:val="29BACF25"/>
    <w:multiLevelType w:val="hybridMultilevel"/>
    <w:lvl w:ilvl="0">
      <w:lvlJc w:val="left"/>
      <w:lvlText w:val="%1"/>
      <w:numFmt w:val="lowerLetter"/>
      <w:start w:val="1"/>
    </w:lvl>
    <w:lvl w:ilvl="1">
      <w:lvlJc w:val="left"/>
      <w:lvlText w:val="(%2)"/>
      <w:numFmt w:val="lowerLetter"/>
      <w:start w:val="1"/>
    </w:lvl>
  </w:abstractNum>
  <w:abstractNum w:abstractNumId="130">
    <w:nsid w:val="5D5BABB3"/>
    <w:multiLevelType w:val="hybridMultilevel"/>
    <w:lvl w:ilvl="0">
      <w:lvlJc w:val="left"/>
      <w:lvlText w:val="(%1)"/>
      <w:numFmt w:val="lowerLetter"/>
      <w:start w:val="61"/>
    </w:lvl>
    <w:lvl w:ilvl="1">
      <w:lvlJc w:val="left"/>
      <w:lvlText w:val="(%2)"/>
      <w:numFmt w:val="lowerLetter"/>
      <w:start w:val="2"/>
    </w:lvl>
  </w:abstractNum>
  <w:abstractNum w:abstractNumId="131">
    <w:nsid w:val="51BF6B48"/>
    <w:multiLevelType w:val="hybridMultilevel"/>
    <w:lvl w:ilvl="0">
      <w:lvlJc w:val="left"/>
      <w:lvlText w:val="(%1)"/>
      <w:numFmt w:val="lowerLetter"/>
      <w:start w:val="1"/>
    </w:lvl>
  </w:abstractNum>
  <w:abstractNum w:abstractNumId="132">
    <w:nsid w:val="7E0F6384"/>
    <w:multiLevelType w:val="hybridMultilevel"/>
    <w:lvl w:ilvl="0">
      <w:lvlJc w:val="left"/>
      <w:lvlText w:val="(%1)"/>
      <w:numFmt w:val="lowerLetter"/>
      <w:start w:val="1"/>
    </w:lvl>
  </w:abstractNum>
  <w:abstractNum w:abstractNumId="133">
    <w:nsid w:val="2B4B8B53"/>
    <w:multiLevelType w:val="hybridMultilevel"/>
    <w:lvl w:ilvl="0">
      <w:lvlJc w:val="left"/>
      <w:lvlText w:val="(%1)"/>
      <w:numFmt w:val="lowerLetter"/>
      <w:start w:val="2"/>
    </w:lvl>
  </w:abstractNum>
  <w:abstractNum w:abstractNumId="134">
    <w:nsid w:val="72E3413A"/>
    <w:multiLevelType w:val="hybridMultilevel"/>
    <w:lvl w:ilvl="0">
      <w:lvlJc w:val="left"/>
      <w:lvlText w:val="(%1)"/>
      <w:numFmt w:val="lowerLetter"/>
      <w:start w:val="1"/>
    </w:lvl>
  </w:abstractNum>
  <w:abstractNum w:abstractNumId="135">
    <w:nsid w:val="116AE494"/>
    <w:multiLevelType w:val="hybridMultilevel"/>
    <w:lvl w:ilvl="0">
      <w:lvlJc w:val="left"/>
      <w:lvlText w:val="(%1)"/>
      <w:numFmt w:val="lowerLetter"/>
      <w:start w:val="7"/>
    </w:lvl>
  </w:abstractNum>
  <w:abstractNum w:abstractNumId="136">
    <w:nsid w:val="3494B2FB"/>
    <w:multiLevelType w:val="hybridMultilevel"/>
    <w:lvl w:ilvl="0">
      <w:lvlJc w:val="left"/>
      <w:lvlText w:val="(%1)"/>
      <w:numFmt w:val="lowerLetter"/>
      <w:start w:val="1"/>
    </w:lvl>
  </w:abstractNum>
  <w:abstractNum w:abstractNumId="137">
    <w:nsid w:val="B13A31"/>
    <w:multiLevelType w:val="hybridMultilevel"/>
    <w:lvl w:ilvl="0">
      <w:lvlJc w:val="left"/>
      <w:lvlText w:val="(%1)"/>
      <w:numFmt w:val="lowerLetter"/>
      <w:start w:val="2"/>
    </w:lvl>
  </w:abstractNum>
  <w:abstractNum w:abstractNumId="138">
    <w:nsid w:val="64429599"/>
    <w:multiLevelType w:val="hybridMultilevel"/>
    <w:lvl w:ilvl="0">
      <w:lvlJc w:val="left"/>
      <w:lvlText w:val="(%1)"/>
      <w:numFmt w:val="lowerLetter"/>
      <w:start w:val="1"/>
    </w:lvl>
  </w:abstractNum>
  <w:abstractNum w:abstractNumId="139">
    <w:nsid w:val="631F1690"/>
    <w:multiLevelType w:val="hybridMultilevel"/>
    <w:lvl w:ilvl="0">
      <w:lvlJc w:val="left"/>
      <w:lvlText w:val="(%1)"/>
      <w:numFmt w:val="lowerLetter"/>
      <w:start w:val="4"/>
    </w:lvl>
  </w:abstractNum>
  <w:abstractNum w:abstractNumId="140">
    <w:nsid w:val="25973E32"/>
    <w:multiLevelType w:val="hybridMultilevel"/>
    <w:lvl w:ilvl="0">
      <w:lvlJc w:val="left"/>
      <w:lvlText w:val="(%1)"/>
      <w:numFmt w:val="lowerLetter"/>
      <w:start w:val="1"/>
    </w:lvl>
  </w:abstractNum>
  <w:abstractNum w:abstractNumId="141">
    <w:nsid w:val="EAD6F57"/>
    <w:multiLevelType w:val="hybridMultilevel"/>
    <w:lvl w:ilvl="0">
      <w:lvlJc w:val="left"/>
      <w:lvlText w:val="(%1)"/>
      <w:numFmt w:val="lowerLetter"/>
      <w:start w:val="2"/>
    </w:lvl>
  </w:abstractNum>
  <w:abstractNum w:abstractNumId="142">
    <w:nsid w:val="6EC9D844"/>
    <w:multiLevelType w:val="hybridMultilevel"/>
    <w:lvl w:ilvl="0">
      <w:lvlJc w:val="left"/>
      <w:lvlText w:val="(%1)"/>
      <w:numFmt w:val="lowerLetter"/>
      <w:start w:val="4"/>
    </w:lvl>
  </w:abstractNum>
  <w:abstractNum w:abstractNumId="143">
    <w:nsid w:val="5C49EAEE"/>
    <w:multiLevelType w:val="hybridMultilevel"/>
    <w:lvl w:ilvl="0">
      <w:lvlJc w:val="left"/>
      <w:lvlText w:val="(%1)"/>
      <w:numFmt w:val="lowerLetter"/>
      <w:start w:val="1"/>
    </w:lvl>
  </w:abstractNum>
  <w:abstractNum w:abstractNumId="144">
    <w:nsid w:val="64AF49B"/>
    <w:multiLevelType w:val="hybridMultilevel"/>
    <w:lvl w:ilvl="0">
      <w:lvlJc w:val="left"/>
      <w:lvlText w:val="(%1)"/>
      <w:numFmt w:val="lowerRoman"/>
      <w:start w:val="1"/>
    </w:lvl>
  </w:abstractNum>
  <w:abstractNum w:abstractNumId="145">
    <w:nsid w:val="397C46BC"/>
    <w:multiLevelType w:val="hybridMultilevel"/>
    <w:lvl w:ilvl="0">
      <w:lvlJc w:val="left"/>
      <w:lvlText w:val="(%1)"/>
      <w:numFmt w:val="lowerRoman"/>
      <w:start w:val="3"/>
    </w:lvl>
  </w:abstractNum>
  <w:abstractNum w:abstractNumId="146">
    <w:nsid w:val="7E448DE9"/>
    <w:multiLevelType w:val="hybridMultilevel"/>
    <w:lvl w:ilvl="0">
      <w:lvlJc w:val="left"/>
      <w:lvlText w:val="(%1)"/>
      <w:numFmt w:val="lowerLetter"/>
      <w:start w:val="3"/>
    </w:lvl>
  </w:abstractNum>
  <w:abstractNum w:abstractNumId="147">
    <w:nsid w:val="5A9CC3E5"/>
    <w:multiLevelType w:val="hybridMultilevel"/>
    <w:lvl w:ilvl="0">
      <w:lvlJc w:val="left"/>
      <w:lvlText w:val="%1."/>
      <w:numFmt w:val="decimal"/>
      <w:start w:val="1"/>
    </w:lvl>
  </w:abstractNum>
  <w:abstractNum w:abstractNumId="148">
    <w:nsid w:val="1AFE3625"/>
    <w:multiLevelType w:val="hybridMultilevel"/>
    <w:lvl w:ilvl="0">
      <w:lvlJc w:val="left"/>
      <w:lvlText w:val="%1."/>
      <w:numFmt w:val="decimal"/>
      <w:start w:val="3"/>
    </w:lvl>
  </w:abstractNum>
  <w:abstractNum w:abstractNumId="149">
    <w:nsid w:val="3CA88ECF"/>
    <w:multiLevelType w:val="hybridMultilevel"/>
    <w:lvl w:ilvl="0">
      <w:lvlJc w:val="left"/>
      <w:lvlText w:val="(%1)"/>
      <w:numFmt w:val="lowerLetter"/>
      <w:start w:val="1"/>
    </w:lvl>
  </w:abstractNum>
  <w:abstractNum w:abstractNumId="150">
    <w:nsid w:val="6EBE4208"/>
    <w:multiLevelType w:val="hybridMultilevel"/>
    <w:lvl w:ilvl="0">
      <w:lvlJc w:val="left"/>
      <w:lvlText w:val="(%1)"/>
      <w:numFmt w:val="lowerLetter"/>
      <w:start w:val="2"/>
    </w:lvl>
  </w:abstractNum>
  <w:abstractNum w:abstractNumId="151">
    <w:nsid w:val="C058DF5"/>
    <w:multiLevelType w:val="hybridMultilevel"/>
    <w:lvl w:ilvl="0">
      <w:lvlJc w:val="left"/>
      <w:lvlText w:val="%1."/>
      <w:numFmt w:val="decimal"/>
      <w:start w:val="4"/>
    </w:lvl>
  </w:abstractNum>
  <w:abstractNum w:abstractNumId="152">
    <w:nsid w:val="CBE5BE9"/>
    <w:multiLevelType w:val="hybridMultilevel"/>
    <w:lvl w:ilvl="0">
      <w:lvlJc w:val="left"/>
      <w:lvlText w:val="(%1)"/>
      <w:numFmt w:val="lowerLetter"/>
      <w:start w:val="1"/>
    </w:lvl>
  </w:abstractNum>
  <w:abstractNum w:abstractNumId="153">
    <w:nsid w:val="3102BBE2"/>
    <w:multiLevelType w:val="hybridMultilevel"/>
    <w:lvl w:ilvl="0">
      <w:lvlJc w:val="left"/>
      <w:lvlText w:val="(%1)"/>
      <w:numFmt w:val="lowerRoman"/>
      <w:start w:val="1"/>
    </w:lvl>
  </w:abstractNum>
  <w:abstractNum w:abstractNumId="154">
    <w:nsid w:val="26A02C5E"/>
    <w:multiLevelType w:val="hybridMultilevel"/>
    <w:lvl w:ilvl="0">
      <w:lvlJc w:val="left"/>
      <w:lvlText w:val="(%1)"/>
      <w:numFmt w:val="lowerRoman"/>
      <w:start w:val="3"/>
    </w:lvl>
  </w:abstractNum>
  <w:abstractNum w:abstractNumId="155">
    <w:nsid w:val="541C8153"/>
    <w:multiLevelType w:val="hybridMultilevel"/>
    <w:lvl w:ilvl="0">
      <w:lvlJc w:val="left"/>
      <w:lvlText w:val="%1."/>
      <w:numFmt w:val="decimal"/>
      <w:start w:val="6"/>
    </w:lvl>
  </w:abstractNum>
  <w:abstractNum w:abstractNumId="156">
    <w:nsid w:val="67906F60"/>
    <w:multiLevelType w:val="hybridMultilevel"/>
    <w:lvl w:ilvl="0">
      <w:lvlJc w:val="left"/>
      <w:lvlText w:val="(%1)"/>
      <w:numFmt w:val="lowerLetter"/>
      <w:start w:val="1"/>
    </w:lvl>
  </w:abstractNum>
  <w:abstractNum w:abstractNumId="157">
    <w:nsid w:val="10DB9DAA"/>
    <w:multiLevelType w:val="hybridMultilevel"/>
    <w:lvl w:ilvl="0">
      <w:lvlJc w:val="left"/>
      <w:lvlText w:val="(%1)"/>
      <w:numFmt w:val="lowerLetter"/>
      <w:start w:val="9"/>
    </w:lvl>
  </w:abstractNum>
  <w:abstractNum w:abstractNumId="158">
    <w:nsid w:val="697D2D2"/>
    <w:multiLevelType w:val="hybridMultilevel"/>
    <w:lvl w:ilvl="0">
      <w:lvlJc w:val="left"/>
      <w:lvlText w:val="(%1)"/>
      <w:numFmt w:val="lowerLetter"/>
      <w:start w:val="1"/>
    </w:lvl>
  </w:abstractNum>
  <w:abstractNum w:abstractNumId="159">
    <w:nsid w:val="6D68AB2"/>
    <w:multiLevelType w:val="hybridMultilevel"/>
    <w:lvl w:ilvl="0">
      <w:lvlJc w:val="left"/>
      <w:lvlText w:val="(%1)"/>
      <w:numFmt w:val="lowerRoman"/>
      <w:start w:val="2"/>
    </w:lvl>
  </w:abstractNum>
  <w:abstractNum w:abstractNumId="160">
    <w:nsid w:val="3A966CD0"/>
    <w:multiLevelType w:val="hybridMultilevel"/>
    <w:lvl w:ilvl="0">
      <w:lvlJc w:val="left"/>
      <w:lvlText w:val="(%1)"/>
      <w:numFmt w:val="lowerRoman"/>
      <w:start w:val="3"/>
    </w:lvl>
  </w:abstractNum>
  <w:abstractNum w:abstractNumId="161">
    <w:nsid w:val="63F37E85"/>
    <w:multiLevelType w:val="hybridMultilevel"/>
    <w:lvl w:ilvl="0">
      <w:lvlJc w:val="left"/>
      <w:lvlText w:val="(%1)"/>
      <w:numFmt w:val="upperLetter"/>
      <w:start w:val="1"/>
    </w:lvl>
  </w:abstractNum>
  <w:abstractNum w:abstractNumId="162">
    <w:nsid w:val="5895F5FA"/>
    <w:multiLevelType w:val="hybridMultilevel"/>
    <w:lvl w:ilvl="0">
      <w:lvlJc w:val="left"/>
      <w:lvlText w:val="(%1)"/>
      <w:numFmt w:val="lowerRoman"/>
      <w:start w:val="4"/>
    </w:lvl>
  </w:abstractNum>
  <w:abstractNum w:abstractNumId="163">
    <w:nsid w:val="38A5D054"/>
    <w:multiLevelType w:val="hybridMultilevel"/>
    <w:lvl w:ilvl="0">
      <w:lvlJc w:val="left"/>
      <w:lvlText w:val="(%1)"/>
      <w:numFmt w:val="lowerLetter"/>
      <w:start w:val="2"/>
    </w:lvl>
  </w:abstractNum>
  <w:abstractNum w:abstractNumId="164">
    <w:nsid w:val="F3F09D8"/>
    <w:multiLevelType w:val="hybridMultilevel"/>
    <w:lvl w:ilvl="0">
      <w:lvlJc w:val="left"/>
      <w:lvlText w:val="(%1)"/>
      <w:numFmt w:val="lowerRoman"/>
      <w:start w:val="1"/>
    </w:lvl>
  </w:abstractNum>
  <w:abstractNum w:abstractNumId="165">
    <w:nsid w:val="4B793735"/>
    <w:multiLevelType w:val="hybridMultilevel"/>
    <w:lvl w:ilvl="0">
      <w:lvlJc w:val="left"/>
      <w:lvlText w:val="(%1)"/>
      <w:numFmt w:val="lowerRoman"/>
      <w:start w:val="3"/>
    </w:lvl>
  </w:abstractNum>
  <w:abstractNum w:abstractNumId="166">
    <w:nsid w:val="4A10B4E8"/>
    <w:multiLevelType w:val="hybridMultilevel"/>
    <w:lvl w:ilvl="0">
      <w:lvlJc w:val="left"/>
      <w:lvlText w:val="(%1)"/>
      <w:numFmt w:val="upperLetter"/>
      <w:start w:val="1"/>
    </w:lvl>
  </w:abstractNum>
  <w:abstractNum w:abstractNumId="167">
    <w:nsid w:val="43D3BCD4"/>
    <w:multiLevelType w:val="hybridMultilevel"/>
    <w:lvl w:ilvl="0">
      <w:lvlJc w:val="left"/>
      <w:lvlText w:val="(%1)"/>
      <w:numFmt w:val="lowerRoman"/>
      <w:start w:val="4"/>
    </w:lvl>
  </w:abstractNum>
  <w:abstractNum w:abstractNumId="168">
    <w:nsid w:val="4C2A7166"/>
    <w:multiLevelType w:val="hybridMultilevel"/>
    <w:lvl w:ilvl="0">
      <w:lvlJc w:val="left"/>
      <w:lvlText w:val="(%1)"/>
      <w:numFmt w:val="lowerLetter"/>
      <w:start w:val="3"/>
    </w:lvl>
  </w:abstractNum>
  <w:abstractNum w:abstractNumId="169">
    <w:nsid w:val="2E534A82"/>
    <w:multiLevelType w:val="hybridMultilevel"/>
    <w:lvl w:ilvl="0">
      <w:lvlJc w:val="left"/>
      <w:lvlText w:val="(%1)"/>
      <w:numFmt w:val="lowerLetter"/>
      <w:start w:val="6"/>
    </w:lvl>
  </w:abstractNum>
  <w:abstractNum w:abstractNumId="170">
    <w:nsid w:val="26F2D364"/>
    <w:multiLevelType w:val="hybridMultilevel"/>
    <w:lvl w:ilvl="0">
      <w:lvlJc w:val="left"/>
      <w:lvlText w:val="(%1)"/>
      <w:numFmt w:val="lowerRoman"/>
      <w:start w:val="1"/>
    </w:lvl>
  </w:abstractNum>
  <w:abstractNum w:abstractNumId="171">
    <w:nsid w:val="71C1AF98"/>
    <w:multiLevelType w:val="hybridMultilevel"/>
    <w:lvl w:ilvl="0">
      <w:lvlJc w:val="left"/>
      <w:lvlText w:val="(%1)"/>
      <w:numFmt w:val="upperLetter"/>
      <w:start w:val="1"/>
    </w:lvl>
  </w:abstractNum>
  <w:abstractNum w:abstractNumId="172">
    <w:nsid w:val="3D00B9D9"/>
    <w:multiLevelType w:val="hybridMultilevel"/>
    <w:lvl w:ilvl="0">
      <w:lvlJc w:val="left"/>
      <w:lvlText w:val="(%1)"/>
      <w:numFmt w:val="upperLetter"/>
      <w:start w:val="2"/>
    </w:lvl>
  </w:abstractNum>
  <w:abstractNum w:abstractNumId="173">
    <w:nsid w:val="15BCABA8"/>
    <w:multiLevelType w:val="hybridMultilevel"/>
    <w:lvl w:ilvl="0">
      <w:lvlJc w:val="left"/>
      <w:lvlText w:val="(%1)"/>
      <w:numFmt w:val="lowerRoman"/>
      <w:start w:val="3"/>
    </w:lvl>
  </w:abstractNum>
  <w:abstractNum w:abstractNumId="174">
    <w:nsid w:val="4E0B9A87"/>
    <w:multiLevelType w:val="hybridMultilevel"/>
    <w:lvl w:ilvl="0">
      <w:lvlJc w:val="left"/>
      <w:lvlText w:val="(%1)"/>
      <w:numFmt w:val="upperLetter"/>
      <w:start w:val="1"/>
    </w:lvl>
  </w:abstractNum>
  <w:abstractNum w:abstractNumId="175">
    <w:nsid w:val="434BAE75"/>
    <w:multiLevelType w:val="hybridMultilevel"/>
    <w:lvl w:ilvl="0">
      <w:lvlJc w:val="left"/>
      <w:lvlText w:val="%1."/>
      <w:numFmt w:val="decimal"/>
      <w:start w:val="7"/>
    </w:lvl>
  </w:abstractNum>
  <w:abstractNum w:abstractNumId="176">
    <w:nsid w:val="4F38F265"/>
    <w:multiLevelType w:val="hybridMultilevel"/>
    <w:lvl w:ilvl="0">
      <w:lvlJc w:val="left"/>
      <w:lvlText w:val="%1."/>
      <w:numFmt w:val="decimal"/>
      <w:start w:val="8"/>
    </w:lvl>
  </w:abstractNum>
  <w:abstractNum w:abstractNumId="177">
    <w:nsid w:val="4C502870"/>
    <w:multiLevelType w:val="hybridMultilevel"/>
    <w:lvl w:ilvl="0">
      <w:lvlJc w:val="left"/>
      <w:lvlText w:val="%1."/>
      <w:numFmt w:val="decimal"/>
      <w:start w:val="1"/>
    </w:lvl>
  </w:abstractNum>
  <w:abstractNum w:abstractNumId="178">
    <w:nsid w:val="1DE8725A"/>
    <w:multiLevelType w:val="hybridMultilevel"/>
    <w:lvl w:ilvl="0">
      <w:lvlJc w:val="left"/>
      <w:lvlText w:val="%1."/>
      <w:numFmt w:val="decimal"/>
      <w:start w:val="2"/>
    </w:lvl>
  </w:abstractNum>
  <w:abstractNum w:abstractNumId="179">
    <w:nsid w:val="6A37288A"/>
    <w:multiLevelType w:val="hybridMultilevel"/>
    <w:lvl w:ilvl="0">
      <w:lvlJc w:val="left"/>
      <w:lvlText w:val="(%1)"/>
      <w:numFmt w:val="lowerLetter"/>
      <w:start w:val="1"/>
    </w:lvl>
  </w:abstractNum>
  <w:abstractNum w:abstractNumId="180">
    <w:nsid w:val="8F8B73F"/>
    <w:multiLevelType w:val="hybridMultilevel"/>
    <w:lvl w:ilvl="0">
      <w:lvlJc w:val="left"/>
      <w:lvlText w:val="(%1)"/>
      <w:numFmt w:val="lowerRoman"/>
      <w:start w:val="1"/>
    </w:lvl>
  </w:abstractNum>
  <w:abstractNum w:abstractNumId="181">
    <w:nsid w:val="CA6B462"/>
    <w:multiLevelType w:val="hybridMultilevel"/>
    <w:lvl w:ilvl="0">
      <w:lvlJc w:val="left"/>
      <w:lvlText w:val="(%1)"/>
      <w:numFmt w:val="lowerRoman"/>
      <w:start w:val="2"/>
    </w:lvl>
  </w:abstractNum>
  <w:abstractNum w:abstractNumId="182">
    <w:nsid w:val="763CB680"/>
    <w:multiLevelType w:val="hybridMultilevel"/>
    <w:lvl w:ilvl="0">
      <w:lvlJc w:val="left"/>
      <w:lvlText w:val="(%1)"/>
      <w:numFmt w:val="lowerLetter"/>
      <w:start w:val="4"/>
    </w:lvl>
  </w:abstractNum>
  <w:abstractNum w:abstractNumId="183">
    <w:nsid w:val="15B71329"/>
    <w:multiLevelType w:val="hybridMultilevel"/>
    <w:lvl w:ilvl="0">
      <w:lvlJc w:val="left"/>
      <w:lvlText w:val="(%1)"/>
      <w:numFmt w:val="lowerLetter"/>
      <w:start w:val="1"/>
    </w:lvl>
  </w:abstractNum>
  <w:abstractNum w:abstractNumId="184">
    <w:nsid w:val="3DA97044"/>
    <w:multiLevelType w:val="hybridMultilevel"/>
    <w:lvl w:ilvl="0">
      <w:lvlJc w:val="left"/>
      <w:lvlText w:val="(%1)"/>
      <w:numFmt w:val="lowerLetter"/>
      <w:start w:val="5"/>
    </w:lvl>
  </w:abstractNum>
  <w:abstractNum w:abstractNumId="185">
    <w:nsid w:val="1CDCE2DE"/>
    <w:multiLevelType w:val="hybridMultilevel"/>
    <w:lvl w:ilvl="0">
      <w:lvlJc w:val="left"/>
      <w:lvlText w:val="(%1)"/>
      <w:numFmt w:val="lowerLetter"/>
      <w:start w:val="1"/>
    </w:lvl>
  </w:abstractNum>
  <w:abstractNum w:abstractNumId="186">
    <w:nsid w:val="69D3947C"/>
    <w:multiLevelType w:val="hybridMultilevel"/>
    <w:lvl w:ilvl="0">
      <w:lvlJc w:val="left"/>
      <w:lvlText w:val="(%1)"/>
      <w:numFmt w:val="lowerLetter"/>
      <w:start w:val="1"/>
    </w:lvl>
  </w:abstractNum>
  <w:abstractNum w:abstractNumId="187">
    <w:nsid w:val="2539DFA5"/>
    <w:multiLevelType w:val="hybridMultilevel"/>
    <w:lvl w:ilvl="0">
      <w:lvlJc w:val="left"/>
      <w:lvlText w:val="%1"/>
      <w:numFmt w:val="decimal"/>
      <w:start w:val="1"/>
    </w:lvl>
    <w:lvl w:ilvl="1">
      <w:lvlJc w:val="left"/>
      <w:lvlText w:val="(%2)"/>
      <w:numFmt w:val="lowerLetter"/>
      <w:start w:val="4"/>
    </w:lvl>
  </w:abstractNum>
  <w:abstractNum w:abstractNumId="188">
    <w:nsid w:val="2DB88089"/>
    <w:multiLevelType w:val="hybridMultilevel"/>
    <w:lvl w:ilvl="0">
      <w:lvlJc w:val="left"/>
      <w:lvlText w:val="(%1)"/>
      <w:numFmt w:val="decimal"/>
      <w:start w:val="20"/>
    </w:lvl>
    <w:lvl w:ilvl="1">
      <w:lvlJc w:val="left"/>
      <w:lvlText w:val="%2"/>
      <w:numFmt w:val="lowerLetter"/>
      <w:start w:val="1"/>
    </w:lvl>
  </w:abstractNum>
  <w:abstractNum w:abstractNumId="189">
    <w:nsid w:val="706B674E"/>
    <w:multiLevelType w:val="hybridMultilevel"/>
    <w:lvl w:ilvl="0">
      <w:lvlJc w:val="left"/>
      <w:lvlText w:val="(%1)"/>
      <w:numFmt w:val="lowerLetter"/>
      <w:start w:val="1"/>
    </w:lvl>
    <w:lvl w:ilvl="1">
      <w:lvlJc w:val="left"/>
      <w:lvlText w:val="(%2)"/>
      <w:numFmt w:val="lowerRoman"/>
      <w:start w:val="1"/>
    </w:lvl>
  </w:abstractNum>
  <w:abstractNum w:abstractNumId="190">
    <w:nsid w:val="2C106A57"/>
    <w:multiLevelType w:val="hybridMultilevel"/>
    <w:lvl w:ilvl="0">
      <w:lvlJc w:val="left"/>
      <w:lvlText w:val="(%1)"/>
      <w:numFmt w:val="lowerLetter"/>
      <w:start w:val="3"/>
    </w:lvl>
  </w:abstractNum>
  <w:abstractNum w:abstractNumId="191">
    <w:nsid w:val="684EED59"/>
    <w:multiLevelType w:val="hybridMultilevel"/>
    <w:lvl w:ilvl="0">
      <w:lvlJc w:val="left"/>
      <w:lvlText w:val="(%1)"/>
      <w:numFmt w:val="lowerLetter"/>
      <w:start w:val="1"/>
    </w:lvl>
  </w:abstractNum>
  <w:abstractNum w:abstractNumId="192">
    <w:nsid w:val="545EE5D3"/>
    <w:multiLevelType w:val="hybridMultilevel"/>
    <w:lvl w:ilvl="0">
      <w:lvlJc w:val="left"/>
      <w:lvlText w:val="(%1)"/>
      <w:numFmt w:val="lowerLetter"/>
      <w:start w:val="1"/>
    </w:lvl>
  </w:abstractNum>
  <w:abstractNum w:abstractNumId="193">
    <w:nsid w:val="4A66051"/>
    <w:multiLevelType w:val="hybridMultilevel"/>
    <w:lvl w:ilvl="0">
      <w:lvlJc w:val="left"/>
      <w:lvlText w:val="(%1)"/>
      <w:numFmt w:val="lowerLetter"/>
      <w:start w:val="11"/>
    </w:lvl>
  </w:abstractNum>
  <w:abstractNum w:abstractNumId="194">
    <w:nsid w:val="20F4BDAD"/>
    <w:multiLevelType w:val="hybridMultilevel"/>
    <w:lvl w:ilvl="0">
      <w:lvlJc w:val="left"/>
      <w:lvlText w:val="(%1)"/>
      <w:numFmt w:val="lowerLetter"/>
      <w:start w:val="1"/>
    </w:lvl>
  </w:abstractNum>
  <w:abstractNum w:abstractNumId="195">
    <w:nsid w:val="639DEFAC"/>
    <w:multiLevelType w:val="hybridMultilevel"/>
    <w:lvl w:ilvl="0">
      <w:lvlJc w:val="left"/>
      <w:lvlText w:val="(%1)"/>
      <w:numFmt w:val="lowerLetter"/>
      <w:start w:val="2"/>
    </w:lvl>
  </w:abstractNum>
  <w:abstractNum w:abstractNumId="196">
    <w:nsid w:val="501F9786"/>
    <w:multiLevelType w:val="hybridMultilevel"/>
    <w:lvl w:ilvl="0">
      <w:lvlJc w:val="left"/>
      <w:lvlText w:val="(%1)"/>
      <w:numFmt w:val="lowerLetter"/>
      <w:start w:val="1"/>
    </w:lvl>
  </w:abstractNum>
  <w:abstractNum w:abstractNumId="197">
    <w:nsid w:val="6B057295"/>
    <w:multiLevelType w:val="hybridMultilevel"/>
    <w:lvl w:ilvl="0">
      <w:lvlJc w:val="left"/>
      <w:lvlText w:val="(%1)"/>
      <w:numFmt w:val="lowerLetter"/>
      <w:start w:val="1"/>
    </w:lvl>
  </w:abstractNum>
  <w:abstractNum w:abstractNumId="198">
    <w:nsid w:val="2771AC80"/>
    <w:multiLevelType w:val="hybridMultilevel"/>
    <w:lvl w:ilvl="0">
      <w:lvlJc w:val="left"/>
      <w:lvlText w:val="(%1)"/>
      <w:numFmt w:val="lowerLetter"/>
      <w:start w:val="2"/>
    </w:lvl>
  </w:abstractNum>
  <w:abstractNum w:abstractNumId="199">
    <w:nsid w:val="1C4A08EC"/>
    <w:multiLevelType w:val="hybridMultilevel"/>
    <w:lvl w:ilvl="0">
      <w:lvlJc w:val="left"/>
      <w:lvlText w:val="(%1)"/>
      <w:numFmt w:val="lowerLetter"/>
      <w:start w:val="4"/>
    </w:lvl>
  </w:abstractNum>
  <w:abstractNum w:abstractNumId="200">
    <w:nsid w:val="1958BD17"/>
    <w:multiLevelType w:val="hybridMultilevel"/>
    <w:lvl w:ilvl="0">
      <w:lvlJc w:val="left"/>
      <w:lvlText w:val="(%1)"/>
      <w:numFmt w:val="lowerLetter"/>
      <w:start w:val="2"/>
    </w:lvl>
  </w:abstractNum>
  <w:abstractNum w:abstractNumId="201">
    <w:nsid w:val="4E647FE4"/>
    <w:multiLevelType w:val="hybridMultilevel"/>
    <w:lvl w:ilvl="0">
      <w:lvlJc w:val="left"/>
      <w:lvlText w:val="(%1)"/>
      <w:numFmt w:val="lowerRoman"/>
      <w:start w:val="1"/>
    </w:lvl>
  </w:abstractNum>
  <w:abstractNum w:abstractNumId="202">
    <w:nsid w:val="E0BB885"/>
    <w:multiLevelType w:val="hybridMultilevel"/>
    <w:lvl w:ilvl="0">
      <w:lvlJc w:val="left"/>
      <w:lvlText w:val="(%1)"/>
      <w:numFmt w:val="lowerRoman"/>
      <w:start w:val="2"/>
    </w:lvl>
  </w:abstractNum>
  <w:abstractNum w:abstractNumId="203">
    <w:nsid w:val="565976F1"/>
    <w:multiLevelType w:val="hybridMultilevel"/>
    <w:lvl w:ilvl="0">
      <w:lvlJc w:val="left"/>
      <w:lvlText w:val="(%1)"/>
      <w:numFmt w:val="lowerLetter"/>
      <w:start w:val="4"/>
    </w:lvl>
  </w:abstractNum>
  <w:abstractNum w:abstractNumId="204">
    <w:nsid w:val="64212B8C"/>
    <w:multiLevelType w:val="hybridMultilevel"/>
    <w:lvl w:ilvl="0">
      <w:lvlJc w:val="left"/>
      <w:lvlText w:val="(%1)"/>
      <w:numFmt w:val="lowerLetter"/>
      <w:start w:val="1"/>
    </w:lvl>
  </w:abstractNum>
  <w:abstractNum w:abstractNumId="205">
    <w:nsid w:val="5C17530C"/>
    <w:multiLevelType w:val="hybridMultilevel"/>
    <w:lvl w:ilvl="0">
      <w:lvlJc w:val="left"/>
      <w:lvlText w:val="%1."/>
      <w:numFmt w:val="decimal"/>
      <w:start w:val="1"/>
    </w:lvl>
  </w:abstractNum>
  <w:abstractNum w:abstractNumId="206">
    <w:nsid w:val="19A52566"/>
    <w:multiLevelType w:val="hybridMultilevel"/>
    <w:lvl w:ilvl="0">
      <w:lvlJc w:val="left"/>
      <w:lvlText w:val="%1."/>
      <w:numFmt w:val="decimal"/>
      <w:start w:val="2"/>
    </w:lvl>
  </w:abstractNum>
  <w:abstractNum w:abstractNumId="207">
    <w:nsid w:val="335A1DF1"/>
    <w:multiLevelType w:val="hybridMultilevel"/>
    <w:lvl w:ilvl="0">
      <w:lvlJc w:val="left"/>
      <w:lvlText w:val="(%1)"/>
      <w:numFmt w:val="lowerRoman"/>
      <w:start w:val="1"/>
    </w:lvl>
  </w:abstractNum>
  <w:abstractNum w:abstractNumId="208">
    <w:nsid w:val="28677B7C"/>
    <w:multiLevelType w:val="hybridMultilevel"/>
    <w:lvl w:ilvl="0">
      <w:lvlJc w:val="left"/>
      <w:lvlText w:val="(%1)"/>
      <w:numFmt w:val="lowerRoman"/>
      <w:start w:val="2"/>
    </w:lvl>
  </w:abstractNum>
  <w:abstractNum w:abstractNumId="209">
    <w:nsid w:val="378D97C0"/>
    <w:multiLevelType w:val="hybridMultilevel"/>
    <w:lvl w:ilvl="0">
      <w:lvlJc w:val="left"/>
      <w:lvlText w:val="(%1)"/>
      <w:numFmt w:val="lowerLetter"/>
      <w:start w:val="2"/>
    </w:lvl>
  </w:abstractNum>
  <w:abstractNum w:abstractNumId="210">
    <w:nsid w:val="1D91467C"/>
    <w:multiLevelType w:val="hybridMultilevel"/>
    <w:lvl w:ilvl="0">
      <w:lvlJc w:val="left"/>
      <w:lvlText w:val="%1."/>
      <w:numFmt w:val="decimal"/>
      <w:start w:val="4"/>
    </w:lvl>
    <w:lvl w:ilvl="1">
      <w:lvlJc w:val="left"/>
      <w:lvlText w:val="(%2)"/>
      <w:numFmt w:val="lowerLetter"/>
      <w:start w:val="1"/>
    </w:lvl>
  </w:abstractNum>
  <w:abstractNum w:abstractNumId="211">
    <w:nsid w:val="316032BB"/>
    <w:multiLevelType w:val="hybridMultilevel"/>
    <w:lvl w:ilvl="0">
      <w:lvlJc w:val="left"/>
      <w:lvlText w:val="(%1)"/>
      <w:numFmt w:val="lowerLetter"/>
      <w:start w:val="4"/>
    </w:lvl>
  </w:abstractNum>
  <w:abstractNum w:abstractNumId="212">
    <w:nsid w:val="44344C22"/>
    <w:multiLevelType w:val="hybridMultilevel"/>
    <w:lvl w:ilvl="0">
      <w:lvlJc w:val="left"/>
      <w:lvlText w:val="(%1)"/>
      <w:numFmt w:val="lowerLetter"/>
      <w:start w:val="1"/>
    </w:lvl>
  </w:abstractNum>
  <w:abstractNum w:abstractNumId="213">
    <w:nsid w:val="13CDFCFC"/>
    <w:multiLevelType w:val="hybridMultilevel"/>
    <w:lvl w:ilvl="0">
      <w:lvlJc w:val="left"/>
      <w:lvlText w:val="(%1)"/>
      <w:numFmt w:val="lowerRoman"/>
      <w:start w:val="1"/>
    </w:lvl>
  </w:abstractNum>
  <w:abstractNum w:abstractNumId="214">
    <w:nsid w:val="471745E4"/>
    <w:multiLevelType w:val="hybridMultilevel"/>
    <w:lvl w:ilvl="0">
      <w:lvlJc w:val="left"/>
      <w:lvlText w:val="(%1)"/>
      <w:numFmt w:val="lowerRoman"/>
      <w:start w:val="3"/>
    </w:lvl>
  </w:abstractNum>
  <w:abstractNum w:abstractNumId="215">
    <w:nsid w:val="1DDBC66"/>
    <w:multiLevelType w:val="hybridMultilevel"/>
    <w:lvl w:ilvl="0">
      <w:lvlJc w:val="left"/>
      <w:lvlText w:val="(%1)"/>
      <w:numFmt w:val="upperLetter"/>
      <w:start w:val="1"/>
    </w:lvl>
  </w:abstractNum>
  <w:abstractNum w:abstractNumId="216">
    <w:nsid w:val="30AADFDA"/>
    <w:multiLevelType w:val="hybridMultilevel"/>
    <w:lvl w:ilvl="0">
      <w:lvlJc w:val="left"/>
      <w:lvlText w:val="(%1)"/>
      <w:numFmt w:val="lowerRoman"/>
      <w:start w:val="1"/>
    </w:lvl>
  </w:abstractNum>
  <w:abstractNum w:abstractNumId="217">
    <w:nsid w:val="30EADA61"/>
    <w:multiLevelType w:val="hybridMultilevel"/>
    <w:lvl w:ilvl="0">
      <w:lvlJc w:val="left"/>
      <w:lvlText w:val="(%1)"/>
      <w:numFmt w:val="lowerRoman"/>
      <w:start w:val="2"/>
    </w:lvl>
  </w:abstractNum>
  <w:abstractNum w:abstractNumId="218">
    <w:nsid w:val="27179C0B"/>
    <w:multiLevelType w:val="hybridMultilevel"/>
    <w:lvl w:ilvl="0">
      <w:lvlJc w:val="left"/>
      <w:lvlText w:val="(%1)"/>
      <w:numFmt w:val="upperLetter"/>
      <w:start w:val="4"/>
    </w:lvl>
  </w:abstractNum>
  <w:abstractNum w:abstractNumId="219">
    <w:nsid w:val="5E636063"/>
    <w:multiLevelType w:val="hybridMultilevel"/>
    <w:lvl w:ilvl="0">
      <w:lvlJc w:val="left"/>
      <w:lvlText w:val="(%1)"/>
      <w:numFmt w:val="lowerRoman"/>
      <w:start w:val="2"/>
    </w:lvl>
  </w:abstractNum>
  <w:abstractNum w:abstractNumId="220">
    <w:nsid w:val="215641AF"/>
    <w:multiLevelType w:val="hybridMultilevel"/>
    <w:lvl w:ilvl="0">
      <w:lvlJc w:val="left"/>
      <w:lvlText w:val="(%1)"/>
      <w:numFmt w:val="upperLetter"/>
      <w:start w:val="6"/>
    </w:lvl>
  </w:abstractNum>
  <w:abstractNum w:abstractNumId="221">
    <w:nsid w:val="53280662"/>
    <w:multiLevelType w:val="hybridMultilevel"/>
    <w:lvl w:ilvl="0">
      <w:lvlJc w:val="left"/>
      <w:lvlText w:val="(%1)"/>
      <w:numFmt w:val="lowerRoman"/>
      <w:start w:val="1"/>
    </w:lvl>
  </w:abstractNum>
  <w:abstractNum w:abstractNumId="222">
    <w:nsid w:val="46B24DBC"/>
    <w:multiLevelType w:val="hybridMultilevel"/>
    <w:lvl w:ilvl="0">
      <w:lvlJc w:val="left"/>
      <w:lvlText w:val="%1"/>
      <w:numFmt w:val="upperLetter"/>
      <w:start w:val="1"/>
    </w:lvl>
    <w:lvl w:ilvl="1">
      <w:lvlJc w:val="left"/>
      <w:lvlText w:val="(%2)"/>
      <w:numFmt w:val="lowerRoman"/>
      <w:start w:val="2"/>
    </w:lvl>
  </w:abstractNum>
  <w:abstractNum w:abstractNumId="223">
    <w:nsid w:val="75B52783"/>
    <w:multiLevelType w:val="hybridMultilevel"/>
    <w:lvl w:ilvl="0">
      <w:lvlJc w:val="left"/>
      <w:lvlText w:val="(%1)"/>
      <w:numFmt w:val="upperLetter"/>
      <w:start w:val="8"/>
    </w:lvl>
    <w:lvl w:ilvl="1">
      <w:lvlJc w:val="left"/>
      <w:lvlText w:val="%2"/>
      <w:numFmt w:val="lowerRoman"/>
      <w:start w:val="1"/>
    </w:lvl>
  </w:abstractNum>
  <w:abstractNum w:abstractNumId="224">
    <w:nsid w:val="57CE66B4"/>
    <w:multiLevelType w:val="hybridMultilevel"/>
    <w:lvl w:ilvl="0">
      <w:lvlJc w:val="left"/>
      <w:lvlText w:val="(%1)"/>
      <w:numFmt w:val="lowerRoman"/>
      <w:start w:val="1"/>
    </w:lvl>
  </w:abstractNum>
  <w:abstractNum w:abstractNumId="225">
    <w:nsid w:val="67A70B69"/>
    <w:multiLevelType w:val="hybridMultilevel"/>
    <w:lvl w:ilvl="0">
      <w:lvlJc w:val="left"/>
      <w:lvlText w:val="(%1)"/>
      <w:numFmt w:val="upperLetter"/>
      <w:start w:val="10"/>
    </w:lvl>
  </w:abstractNum>
  <w:abstractNum w:abstractNumId="226">
    <w:nsid w:val="5953172F"/>
    <w:multiLevelType w:val="hybridMultilevel"/>
    <w:lvl w:ilvl="0">
      <w:lvlJc w:val="left"/>
      <w:lvlText w:val="%1."/>
      <w:numFmt w:val="decimal"/>
      <w:start w:val="1"/>
    </w:lvl>
  </w:abstractNum>
  <w:abstractNum w:abstractNumId="227">
    <w:nsid w:val="27EDFE3A"/>
    <w:multiLevelType w:val="hybridMultilevel"/>
    <w:lvl w:ilvl="0">
      <w:lvlJc w:val="left"/>
      <w:lvlText w:val="%1."/>
      <w:numFmt w:val="decimal"/>
      <w:start w:val="1"/>
    </w:lvl>
  </w:abstractNum>
  <w:abstractNum w:abstractNumId="228">
    <w:nsid w:val="52AC7DFF"/>
    <w:multiLevelType w:val="hybridMultilevel"/>
    <w:lvl w:ilvl="0">
      <w:lvlJc w:val="left"/>
      <w:lvlText w:val="%1."/>
      <w:numFmt w:val="decimal"/>
      <w:start w:val="2"/>
    </w:lvl>
  </w:abstractNum>
  <w:abstractNum w:abstractNumId="229">
    <w:nsid w:val="C4C3AF"/>
    <w:multiLevelType w:val="hybridMultilevel"/>
    <w:lvl w:ilvl="0">
      <w:lvlJc w:val="left"/>
      <w:lvlText w:val="(%1)"/>
      <w:numFmt w:val="lowerLetter"/>
      <w:start w:val="1"/>
    </w:lvl>
  </w:abstractNum>
  <w:abstractNum w:abstractNumId="230">
    <w:nsid w:val="44380727"/>
    <w:multiLevelType w:val="hybridMultilevel"/>
    <w:lvl w:ilvl="0">
      <w:lvlJc w:val="left"/>
      <w:lvlText w:val="(%1)"/>
      <w:numFmt w:val="lowerLetter"/>
      <w:start w:val="2"/>
    </w:lvl>
  </w:abstractNum>
  <w:abstractNum w:abstractNumId="231">
    <w:nsid w:val="6C053B16"/>
    <w:multiLevelType w:val="hybridMultilevel"/>
    <w:lvl w:ilvl="0">
      <w:lvlJc w:val="left"/>
      <w:lvlText w:val="(%1)"/>
      <w:numFmt w:val="lowerLetter"/>
      <w:start w:val="1"/>
    </w:lvl>
  </w:abstractNum>
  <w:abstractNum w:abstractNumId="232">
    <w:nsid w:val="4F294393"/>
    <w:multiLevelType w:val="hybridMultilevel"/>
    <w:lvl w:ilvl="0">
      <w:lvlJc w:val="left"/>
      <w:lvlText w:val="(%1)"/>
      <w:numFmt w:val="lowerLetter"/>
      <w:start w:val="9"/>
    </w:lvl>
    <w:lvl w:ilvl="1">
      <w:lvlJc w:val="left"/>
      <w:lvlText w:val="(%2)"/>
      <w:numFmt w:val="lowerLetter"/>
      <w:start w:val="2"/>
    </w:lvl>
  </w:abstractNum>
  <w:abstractNum w:abstractNumId="233">
    <w:nsid w:val="5243BFAC"/>
    <w:multiLevelType w:val="hybridMultilevel"/>
    <w:lvl w:ilvl="0">
      <w:lvlJc w:val="left"/>
      <w:lvlText w:val="%1."/>
      <w:numFmt w:val="decimal"/>
      <w:start w:val="1"/>
    </w:lvl>
    <w:lvl w:ilvl="1">
      <w:lvlJc w:val="left"/>
      <w:lvlText w:val="%2)"/>
      <w:numFmt w:val="lowerLetter"/>
      <w:start w:val="1"/>
    </w:lvl>
  </w:abstractNum>
  <w:abstractNum w:abstractNumId="234">
    <w:nsid w:val="425EB207"/>
    <w:multiLevelType w:val="hybridMultilevel"/>
    <w:lvl w:ilvl="0">
      <w:lvlJc w:val="left"/>
      <w:lvlText w:val="%1."/>
      <w:numFmt w:val="decimal"/>
      <w:start w:val="1"/>
    </w:lvl>
    <w:lvl w:ilvl="1">
      <w:lvlJc w:val="left"/>
      <w:lvlText w:val="%2)"/>
      <w:numFmt w:val="lowerLetter"/>
      <w:start w:val="1"/>
    </w:lvl>
  </w:abstractNum>
  <w:abstractNum w:abstractNumId="235">
    <w:nsid w:val="334A6F1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2019-12-29T17:01:59Z</dcterms:created>
  <dcterms:modified xsi:type="dcterms:W3CDTF">2019-12-29T17:01:59Z</dcterms:modified>
</cp:coreProperties>
</file>