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135"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99"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55"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001-35095</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COMMUNITY BANKS,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9" w:lineRule="exact"/>
        <w:rPr>
          <w:sz w:val="24"/>
          <w:szCs w:val="24"/>
          <w:color w:val="auto"/>
        </w:rPr>
      </w:pPr>
    </w:p>
    <w:tbl>
      <w:tblPr>
        <w:tblLayout w:type="fixed"/>
        <w:tblInd w:w="76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Georgia</w:t>
            </w:r>
          </w:p>
        </w:tc>
        <w:tc>
          <w:tcPr>
            <w:tcW w:w="2240" w:type="dxa"/>
            <w:vAlign w:val="bottom"/>
          </w:tcPr>
          <w:p>
            <w:pPr>
              <w:spacing w:after="0"/>
              <w:rPr>
                <w:sz w:val="22"/>
                <w:szCs w:val="22"/>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58-1807304</w:t>
            </w:r>
          </w:p>
        </w:tc>
      </w:tr>
      <w:tr>
        <w:trPr>
          <w:trHeight w:val="233"/>
        </w:trPr>
        <w:tc>
          <w:tcPr>
            <w:tcW w:w="20" w:type="dxa"/>
            <w:vAlign w:val="bottom"/>
          </w:tcPr>
          <w:p>
            <w:pPr>
              <w:spacing w:after="0"/>
              <w:rPr>
                <w:sz w:val="20"/>
                <w:szCs w:val="20"/>
                <w:color w:val="auto"/>
              </w:rPr>
            </w:pPr>
          </w:p>
        </w:tc>
        <w:tc>
          <w:tcPr>
            <w:tcW w:w="5960" w:type="dxa"/>
            <w:vAlign w:val="bottom"/>
            <w:gridSpan w:val="3"/>
          </w:tcPr>
          <w:p>
            <w:pPr>
              <w:jc w:val="center"/>
              <w:ind w:right="2260"/>
              <w:spacing w:after="0"/>
              <w:rPr>
                <w:sz w:val="20"/>
                <w:szCs w:val="20"/>
                <w:color w:val="auto"/>
              </w:rPr>
            </w:pPr>
            <w:r>
              <w:rPr>
                <w:rFonts w:ascii="Arial" w:cs="Arial" w:eastAsia="Arial" w:hAnsi="Arial"/>
                <w:sz w:val="16"/>
                <w:szCs w:val="16"/>
                <w:b w:val="1"/>
                <w:bCs w:val="1"/>
                <w:color w:val="auto"/>
                <w:w w:val="91"/>
              </w:rPr>
              <w:t>(State of incorporation)</w:t>
            </w: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38"/>
        </w:trPr>
        <w:tc>
          <w:tcPr>
            <w:tcW w:w="20" w:type="dxa"/>
            <w:vAlign w:val="bottom"/>
          </w:tcPr>
          <w:p>
            <w:pPr>
              <w:spacing w:after="0"/>
              <w:rPr>
                <w:sz w:val="24"/>
                <w:szCs w:val="24"/>
                <w:color w:val="auto"/>
              </w:rPr>
            </w:pPr>
          </w:p>
        </w:tc>
        <w:tc>
          <w:tcPr>
            <w:tcW w:w="5960" w:type="dxa"/>
            <w:vAlign w:val="bottom"/>
            <w:gridSpan w:val="3"/>
          </w:tcPr>
          <w:p>
            <w:pPr>
              <w:jc w:val="center"/>
              <w:ind w:right="2260"/>
              <w:spacing w:after="0"/>
              <w:rPr>
                <w:sz w:val="20"/>
                <w:szCs w:val="20"/>
                <w:color w:val="auto"/>
              </w:rPr>
            </w:pPr>
            <w:r>
              <w:rPr>
                <w:rFonts w:ascii="Arial" w:cs="Arial" w:eastAsia="Arial" w:hAnsi="Arial"/>
                <w:sz w:val="16"/>
                <w:szCs w:val="16"/>
                <w:b w:val="1"/>
                <w:bCs w:val="1"/>
                <w:color w:val="auto"/>
                <w:w w:val="92"/>
              </w:rPr>
              <w:t>125 Highway 515 East</w:t>
            </w: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5960" w:type="dxa"/>
            <w:vAlign w:val="bottom"/>
            <w:gridSpan w:val="3"/>
          </w:tcPr>
          <w:p>
            <w:pPr>
              <w:jc w:val="center"/>
              <w:ind w:right="2260"/>
              <w:spacing w:after="0"/>
              <w:rPr>
                <w:sz w:val="20"/>
                <w:szCs w:val="20"/>
                <w:color w:val="auto"/>
              </w:rPr>
            </w:pPr>
            <w:r>
              <w:rPr>
                <w:rFonts w:ascii="Arial" w:cs="Arial" w:eastAsia="Arial" w:hAnsi="Arial"/>
                <w:sz w:val="16"/>
                <w:szCs w:val="16"/>
                <w:b w:val="1"/>
                <w:bCs w:val="1"/>
                <w:color w:val="auto"/>
                <w:w w:val="92"/>
              </w:rPr>
              <w:t>Blairsville, Georgia</w:t>
            </w: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89"/>
              </w:rPr>
              <w:t>30512</w:t>
            </w:r>
          </w:p>
        </w:tc>
      </w:tr>
      <w:tr>
        <w:trPr>
          <w:trHeight w:val="207"/>
        </w:trPr>
        <w:tc>
          <w:tcPr>
            <w:tcW w:w="2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260" w:type="dxa"/>
            <w:vAlign w:val="bottom"/>
            <w:gridSpan w:val="2"/>
          </w:tcPr>
          <w:p>
            <w:pPr>
              <w:spacing w:after="0"/>
              <w:rPr>
                <w:sz w:val="17"/>
                <w:szCs w:val="17"/>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(Zip code)</w:t>
            </w:r>
          </w:p>
        </w:tc>
      </w:tr>
    </w:tbl>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(706) 781-2265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00"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840" w:type="dxa"/>
            <w:vAlign w:val="bottom"/>
          </w:tcPr>
          <w:p>
            <w:pPr>
              <w:spacing w:after="0"/>
              <w:rPr>
                <w:sz w:val="23"/>
                <w:szCs w:val="23"/>
                <w:color w:val="auto"/>
              </w:rPr>
            </w:pPr>
          </w:p>
        </w:tc>
        <w:tc>
          <w:tcPr>
            <w:tcW w:w="28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1"/>
              </w:rPr>
              <w:t>Title of Each Class</w:t>
            </w:r>
          </w:p>
        </w:tc>
        <w:tc>
          <w:tcPr>
            <w:tcW w:w="26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Trading Symbol(s)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2"/>
              </w:rPr>
              <w:t>Common stock, par value $1 per share</w:t>
            </w:r>
          </w:p>
        </w:tc>
        <w:tc>
          <w:tcPr>
            <w:tcW w:w="280" w:type="dxa"/>
            <w:vAlign w:val="bottom"/>
          </w:tcPr>
          <w:p>
            <w:pPr>
              <w:spacing w:after="0"/>
              <w:rPr>
                <w:sz w:val="17"/>
                <w:szCs w:val="17"/>
                <w:color w:val="auto"/>
              </w:rPr>
            </w:pPr>
          </w:p>
        </w:tc>
        <w:tc>
          <w:tcPr>
            <w:tcW w:w="23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UCBI</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47"/>
        </w:trPr>
        <w:tc>
          <w:tcPr>
            <w:tcW w:w="47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1"/>
              </w:rPr>
              <w:t>Depositary shares, each representing 1/1000th interest in a share of</w:t>
            </w:r>
          </w:p>
        </w:tc>
        <w:tc>
          <w:tcPr>
            <w:tcW w:w="280" w:type="dxa"/>
            <w:vAlign w:val="bottom"/>
          </w:tcPr>
          <w:p>
            <w:pPr>
              <w:spacing w:after="0"/>
              <w:rPr>
                <w:sz w:val="12"/>
                <w:szCs w:val="12"/>
                <w:color w:val="auto"/>
              </w:rPr>
            </w:pPr>
          </w:p>
        </w:tc>
        <w:tc>
          <w:tcPr>
            <w:tcW w:w="2340" w:type="dxa"/>
            <w:vAlign w:val="bottom"/>
            <w:gridSpan w:val="2"/>
            <w:vMerge w:val="restart"/>
          </w:tcPr>
          <w:p>
            <w:pPr>
              <w:jc w:val="center"/>
              <w:ind w:right="1200"/>
              <w:spacing w:after="0"/>
              <w:rPr>
                <w:sz w:val="20"/>
                <w:szCs w:val="20"/>
                <w:color w:val="auto"/>
              </w:rPr>
            </w:pPr>
            <w:r>
              <w:rPr>
                <w:rFonts w:ascii="Arial" w:cs="Arial" w:eastAsia="Arial" w:hAnsi="Arial"/>
                <w:sz w:val="14"/>
                <w:szCs w:val="14"/>
                <w:b w:val="1"/>
                <w:bCs w:val="1"/>
                <w:color w:val="auto"/>
              </w:rPr>
              <w:t>UCBIO</w:t>
            </w: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86"/>
        </w:trPr>
        <w:tc>
          <w:tcPr>
            <w:tcW w:w="47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4"/>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6" w:lineRule="exact"/>
        <w:rPr>
          <w:sz w:val="24"/>
          <w:szCs w:val="24"/>
          <w:color w:val="auto"/>
        </w:rPr>
      </w:pPr>
    </w:p>
    <w:p>
      <w:pPr>
        <w:jc w:val="both"/>
        <w:spacing w:after="0" w:line="250"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ind w:right="20"/>
        <w:spacing w:after="0" w:line="269" w:lineRule="auto"/>
        <w:rPr>
          <w:sz w:val="20"/>
          <w:szCs w:val="20"/>
          <w:color w:val="auto"/>
        </w:rPr>
      </w:pPr>
      <w:r>
        <w:rPr>
          <w:rFonts w:ascii="Arial" w:cs="Arial" w:eastAsia="Arial" w:hAnsi="Arial"/>
          <w:sz w:val="15"/>
          <w:szCs w:val="15"/>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0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spacing w:after="0" w:line="219"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Exchange Act).</w:t>
      </w:r>
    </w:p>
    <w:p>
      <w:pPr>
        <w:spacing w:after="0" w:line="14" w:lineRule="exact"/>
        <w:rPr>
          <w:sz w:val="24"/>
          <w:szCs w:val="24"/>
          <w:color w:val="auto"/>
        </w:rPr>
      </w:pPr>
    </w:p>
    <w:p>
      <w:pPr>
        <w:ind w:left="5180"/>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There were 86,778,590 shares of the registrant’s common stock, par value $1 per share, outstanding as of April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762000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gridSpan w:val="6"/>
            <w:shd w:val="clear" w:color="auto" w:fill="CCEEFF"/>
          </w:tcPr>
          <w:p>
            <w:pPr>
              <w:spacing w:after="0"/>
              <w:rPr>
                <w:rFonts w:ascii="Arial" w:cs="Arial" w:eastAsia="Arial" w:hAnsi="Arial"/>
                <w:sz w:val="18"/>
                <w:szCs w:val="18"/>
                <w:b w:val="1"/>
                <w:bCs w:val="1"/>
                <w:color w:val="0000FF"/>
                <w:w w:val="89"/>
              </w:rPr>
            </w:pPr>
            <w:hyperlink w:anchor="page2">
              <w:r>
                <w:rPr>
                  <w:rFonts w:ascii="Arial" w:cs="Arial" w:eastAsia="Arial" w:hAnsi="Arial"/>
                  <w:sz w:val="18"/>
                  <w:szCs w:val="18"/>
                  <w:b w:val="1"/>
                  <w:bCs w:val="1"/>
                  <w:color w:val="0000FF"/>
                  <w:w w:val="89"/>
                </w:rPr>
                <w:t>Glossary of Defined Terms</w:t>
              </w:r>
            </w:hyperlink>
          </w:p>
        </w:tc>
        <w:tc>
          <w:tcPr>
            <w:tcW w:w="7420" w:type="dxa"/>
            <w:vAlign w:val="bottom"/>
            <w:gridSpan w:val="14"/>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Forward Looking Statements</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40" w:type="dxa"/>
            <w:vAlign w:val="bottom"/>
            <w:gridSpan w:val="12"/>
            <w:shd w:val="clear" w:color="auto" w:fill="CCEEFF"/>
          </w:tcPr>
          <w:p>
            <w:pPr>
              <w:jc w:val="center"/>
              <w:ind w:right="4200"/>
              <w:spacing w:after="0" w:line="189" w:lineRule="exact"/>
              <w:rPr>
                <w:rFonts w:ascii="Arial" w:cs="Arial" w:eastAsia="Arial" w:hAnsi="Arial"/>
                <w:sz w:val="18"/>
                <w:szCs w:val="18"/>
                <w:b w:val="1"/>
                <w:bCs w:val="1"/>
                <w:color w:val="0000FF"/>
                <w:w w:val="94"/>
              </w:rPr>
            </w:pPr>
            <w:hyperlink w:anchor="page4">
              <w:r>
                <w:rPr>
                  <w:rFonts w:ascii="Arial" w:cs="Arial" w:eastAsia="Arial" w:hAnsi="Arial"/>
                  <w:sz w:val="18"/>
                  <w:szCs w:val="18"/>
                  <w:b w:val="1"/>
                  <w:bCs w:val="1"/>
                  <w:color w:val="0000FF"/>
                  <w:w w:val="94"/>
                </w:rPr>
                <w:t>PART I - Financial Information</w:t>
              </w:r>
            </w:hyperlink>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5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Item 1.</w:t>
            </w:r>
          </w:p>
        </w:tc>
        <w:tc>
          <w:tcPr>
            <w:tcW w:w="2840" w:type="dxa"/>
            <w:vAlign w:val="bottom"/>
            <w:tcBorders>
              <w:top w:val="single" w:sz="8" w:color="CCEEFF"/>
            </w:tcBorders>
            <w:gridSpan w:val="8"/>
          </w:tcPr>
          <w:p>
            <w:pPr>
              <w:spacing w:after="0"/>
              <w:rPr>
                <w:sz w:val="20"/>
                <w:szCs w:val="20"/>
                <w:color w:val="auto"/>
              </w:rPr>
            </w:pPr>
            <w:r>
              <w:rPr>
                <w:rFonts w:ascii="Arial" w:cs="Arial" w:eastAsia="Arial" w:hAnsi="Arial"/>
                <w:sz w:val="18"/>
                <w:szCs w:val="18"/>
                <w:b w:val="1"/>
                <w:bCs w:val="1"/>
                <w:color w:val="auto"/>
              </w:rPr>
              <w:t>Financial Statements.</w:t>
            </w:r>
          </w:p>
        </w:tc>
        <w:tc>
          <w:tcPr>
            <w:tcW w:w="2440" w:type="dxa"/>
            <w:vAlign w:val="bottom"/>
            <w:tcBorders>
              <w:top w:val="single" w:sz="8" w:color="0000FF"/>
            </w:tcBorders>
            <w:gridSpan w:val="5"/>
          </w:tcPr>
          <w:p>
            <w:pPr>
              <w:spacing w:after="0"/>
              <w:rPr>
                <w:sz w:val="19"/>
                <w:szCs w:val="19"/>
                <w:color w:val="auto"/>
              </w:rPr>
            </w:pPr>
          </w:p>
        </w:tc>
        <w:tc>
          <w:tcPr>
            <w:tcW w:w="4200" w:type="dxa"/>
            <w:vAlign w:val="bottom"/>
            <w:tcBorders>
              <w:top w:val="single" w:sz="8" w:color="CCEEFF"/>
            </w:tcBorders>
            <w:gridSpan w:val="7"/>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Consolidated Balance Sheets (unaudited) at March 31, 2021 and December 31, 2020</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Consolidated Statements of Income (unaudited) for the Three Months Ended March 31, 2021 and 2020</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rFonts w:ascii="Arial" w:cs="Arial" w:eastAsia="Arial" w:hAnsi="Arial"/>
                <w:sz w:val="18"/>
                <w:szCs w:val="18"/>
                <w:b w:val="1"/>
                <w:bCs w:val="1"/>
                <w:color w:val="0000FF"/>
                <w:w w:val="93"/>
              </w:rPr>
            </w:pPr>
            <w:hyperlink w:anchor="page6">
              <w:r>
                <w:rPr>
                  <w:rFonts w:ascii="Arial" w:cs="Arial" w:eastAsia="Arial" w:hAnsi="Arial"/>
                  <w:sz w:val="18"/>
                  <w:szCs w:val="18"/>
                  <w:b w:val="1"/>
                  <w:bCs w:val="1"/>
                  <w:color w:val="0000FF"/>
                  <w:w w:val="93"/>
                </w:rPr>
                <w:t>Consolidated Statements of Comprehensive Income (unaudited) for the Three Months Ended March 31, 2021 and 2020</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rFonts w:ascii="Arial" w:cs="Arial" w:eastAsia="Arial" w:hAnsi="Arial"/>
                <w:sz w:val="18"/>
                <w:szCs w:val="18"/>
                <w:b w:val="1"/>
                <w:bCs w:val="1"/>
                <w:color w:val="0000FF"/>
                <w:w w:val="94"/>
              </w:rPr>
            </w:pPr>
            <w:hyperlink w:anchor="page7">
              <w:r>
                <w:rPr>
                  <w:rFonts w:ascii="Arial" w:cs="Arial" w:eastAsia="Arial" w:hAnsi="Arial"/>
                  <w:sz w:val="18"/>
                  <w:szCs w:val="18"/>
                  <w:b w:val="1"/>
                  <w:bCs w:val="1"/>
                  <w:color w:val="0000FF"/>
                  <w:w w:val="94"/>
                </w:rPr>
                <w:t>Consolidated Statements of Changes in Shareholders’ Equity (unaudited) for the Three Months Ended March 31, 2021</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155"/>
        </w:trPr>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120" w:type="dxa"/>
            <w:vAlign w:val="bottom"/>
            <w:tcBorders>
              <w:top w:val="single" w:sz="8" w:color="0000FF"/>
            </w:tcBorders>
            <w:gridSpan w:val="18"/>
          </w:tcPr>
          <w:p>
            <w:pPr>
              <w:spacing w:after="0" w:line="156" w:lineRule="exact"/>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and 2020</w:t>
              </w:r>
            </w:hyperlink>
          </w:p>
        </w:tc>
        <w:tc>
          <w:tcPr>
            <w:tcW w:w="3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rFonts w:ascii="Arial" w:cs="Arial" w:eastAsia="Arial" w:hAnsi="Arial"/>
                <w:sz w:val="18"/>
                <w:szCs w:val="18"/>
                <w:b w:val="1"/>
                <w:bCs w:val="1"/>
                <w:color w:val="0000FF"/>
              </w:rPr>
            </w:pPr>
            <w:hyperlink w:anchor="page8">
              <w:r>
                <w:rPr>
                  <w:rFonts w:ascii="Arial" w:cs="Arial" w:eastAsia="Arial" w:hAnsi="Arial"/>
                  <w:sz w:val="18"/>
                  <w:szCs w:val="18"/>
                  <w:b w:val="1"/>
                  <w:bCs w:val="1"/>
                  <w:color w:val="0000FF"/>
                </w:rPr>
                <w:t>Consolidated Statements of Cash Flows (unaudited) for the Three Months Ended March 31, 2021 and 2020</w:t>
              </w:r>
            </w:hyperlink>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rFonts w:ascii="Arial" w:cs="Arial" w:eastAsia="Arial" w:hAnsi="Arial"/>
                <w:sz w:val="18"/>
                <w:szCs w:val="18"/>
                <w:b w:val="1"/>
                <w:bCs w:val="1"/>
                <w:color w:val="0000FF"/>
              </w:rPr>
            </w:pPr>
            <w:hyperlink w:anchor="page9">
              <w:r>
                <w:rPr>
                  <w:rFonts w:ascii="Arial" w:cs="Arial" w:eastAsia="Arial" w:hAnsi="Arial"/>
                  <w:sz w:val="18"/>
                  <w:szCs w:val="18"/>
                  <w:b w:val="1"/>
                  <w:bCs w:val="1"/>
                  <w:color w:val="0000FF"/>
                </w:rPr>
                <w:t>Notes to Consolidated Financial Statements</w:t>
              </w:r>
            </w:hyperlink>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2.</w:t>
              </w:r>
            </w:hyperlink>
          </w:p>
        </w:tc>
        <w:tc>
          <w:tcPr>
            <w:tcW w:w="9480" w:type="dxa"/>
            <w:vAlign w:val="bottom"/>
            <w:gridSpan w:val="20"/>
          </w:tcPr>
          <w:p>
            <w:pPr>
              <w:spacing w:after="0" w:line="189" w:lineRule="exact"/>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Management’s Discussion and Analysis of Financial Condition and Results of Operations.</w:t>
              </w:r>
            </w:hyperlink>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Item 3.</w:t>
              </w:r>
            </w:hyperlink>
          </w:p>
        </w:tc>
        <w:tc>
          <w:tcPr>
            <w:tcW w:w="9480" w:type="dxa"/>
            <w:vAlign w:val="bottom"/>
            <w:gridSpan w:val="20"/>
          </w:tcPr>
          <w:p>
            <w:pPr>
              <w:spacing w:after="0" w:line="189" w:lineRule="exact"/>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Quantitative and Qualitative Disclosures About Market Risk.</w:t>
              </w:r>
            </w:hyperlink>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50</w:t>
              </w:r>
            </w:hyperlink>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Item 4.</w:t>
              </w:r>
            </w:hyperlink>
          </w:p>
        </w:tc>
        <w:tc>
          <w:tcPr>
            <w:tcW w:w="9480" w:type="dxa"/>
            <w:vAlign w:val="bottom"/>
            <w:gridSpan w:val="20"/>
          </w:tcPr>
          <w:p>
            <w:pPr>
              <w:spacing w:after="0" w:line="189" w:lineRule="exact"/>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Controls and Procedures.</w:t>
              </w:r>
            </w:hyperlink>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40" w:type="dxa"/>
            <w:vAlign w:val="bottom"/>
            <w:gridSpan w:val="12"/>
          </w:tcPr>
          <w:p>
            <w:pPr>
              <w:jc w:val="center"/>
              <w:ind w:right="4200"/>
              <w:spacing w:after="0" w:line="189" w:lineRule="exact"/>
              <w:rPr>
                <w:rFonts w:ascii="Arial" w:cs="Arial" w:eastAsia="Arial" w:hAnsi="Arial"/>
                <w:sz w:val="18"/>
                <w:szCs w:val="18"/>
                <w:b w:val="1"/>
                <w:bCs w:val="1"/>
                <w:color w:val="0000FF"/>
                <w:w w:val="96"/>
              </w:rPr>
            </w:pPr>
            <w:hyperlink w:anchor="page50">
              <w:r>
                <w:rPr>
                  <w:rFonts w:ascii="Arial" w:cs="Arial" w:eastAsia="Arial" w:hAnsi="Arial"/>
                  <w:sz w:val="18"/>
                  <w:szCs w:val="18"/>
                  <w:b w:val="1"/>
                  <w:bCs w:val="1"/>
                  <w:color w:val="0000FF"/>
                  <w:w w:val="96"/>
                </w:rPr>
                <w:t>PART II - Other Information</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Item 1.</w:t>
              </w:r>
            </w:hyperlink>
          </w:p>
        </w:tc>
        <w:tc>
          <w:tcPr>
            <w:tcW w:w="9480" w:type="dxa"/>
            <w:vAlign w:val="bottom"/>
            <w:gridSpan w:val="20"/>
          </w:tcPr>
          <w:p>
            <w:pPr>
              <w:spacing w:after="0" w:line="189" w:lineRule="exact"/>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Legal Proceedings.</w:t>
              </w:r>
            </w:hyperlink>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line="189" w:lineRule="exact"/>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Item 1A.</w:t>
              </w:r>
            </w:hyperlink>
          </w:p>
        </w:tc>
        <w:tc>
          <w:tcPr>
            <w:tcW w:w="9480" w:type="dxa"/>
            <w:vAlign w:val="bottom"/>
            <w:gridSpan w:val="20"/>
            <w:shd w:val="clear" w:color="auto" w:fill="CCEEFF"/>
          </w:tcPr>
          <w:p>
            <w:pPr>
              <w:spacing w:after="0" w:line="189" w:lineRule="exact"/>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Risk Factors.</w:t>
              </w:r>
            </w:hyperlink>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c>
          <w:tcPr>
            <w:tcW w:w="20" w:type="dxa"/>
            <w:vAlign w:val="bottom"/>
            <w:shd w:val="clear" w:color="auto" w:fill="CCEEFF"/>
          </w:tcPr>
          <w:p>
            <w:pPr>
              <w:spacing w:after="0"/>
              <w:rPr>
                <w:sz w:val="18"/>
                <w:szCs w:val="18"/>
                <w:color w:val="auto"/>
              </w:rPr>
            </w:pPr>
          </w:p>
        </w:tc>
      </w:tr>
      <w:tr>
        <w:trPr>
          <w:trHeight w:val="189"/>
        </w:trPr>
        <w:tc>
          <w:tcPr>
            <w:tcW w:w="58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spacing w:after="0" w:line="189" w:lineRule="exact"/>
              <w:rPr>
                <w:rFonts w:ascii="Arial" w:cs="Arial" w:eastAsia="Arial" w:hAnsi="Arial"/>
                <w:sz w:val="18"/>
                <w:szCs w:val="18"/>
                <w:b w:val="1"/>
                <w:bCs w:val="1"/>
                <w:color w:val="0000FF"/>
                <w:w w:val="91"/>
              </w:rPr>
            </w:pPr>
            <w:hyperlink w:anchor="page51">
              <w:r>
                <w:rPr>
                  <w:rFonts w:ascii="Arial" w:cs="Arial" w:eastAsia="Arial" w:hAnsi="Arial"/>
                  <w:sz w:val="18"/>
                  <w:szCs w:val="18"/>
                  <w:b w:val="1"/>
                  <w:bCs w:val="1"/>
                  <w:color w:val="0000FF"/>
                  <w:w w:val="91"/>
                </w:rPr>
                <w:t>Item 6.</w:t>
              </w:r>
            </w:hyperlink>
          </w:p>
        </w:tc>
        <w:tc>
          <w:tcPr>
            <w:tcW w:w="120" w:type="dxa"/>
            <w:vAlign w:val="bottom"/>
            <w:tcBorders>
              <w:top w:val="single" w:sz="8" w:color="0000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20" w:type="dxa"/>
            <w:vAlign w:val="bottom"/>
            <w:tcBorders>
              <w:top w:val="single" w:sz="8" w:color="0000FF"/>
            </w:tcBorders>
            <w:gridSpan w:val="3"/>
          </w:tcPr>
          <w:p>
            <w:pPr>
              <w:spacing w:after="0" w:line="189" w:lineRule="exact"/>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Exhibits.</w:t>
              </w:r>
            </w:hyperlink>
          </w:p>
        </w:tc>
        <w:tc>
          <w:tcPr>
            <w:tcW w:w="8460" w:type="dxa"/>
            <w:vAlign w:val="bottom"/>
            <w:tcBorders>
              <w:top w:val="single" w:sz="8" w:color="CCEEFF"/>
            </w:tcBorders>
            <w:gridSpan w:val="17"/>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c>
          <w:tcPr>
            <w:tcW w:w="20" w:type="dxa"/>
            <w:vAlign w:val="bottom"/>
            <w:tcBorders>
              <w:top w:val="single" w:sz="8" w:color="CCEEFF"/>
            </w:tcBorders>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Term</w:t>
            </w:r>
          </w:p>
        </w:tc>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Definition</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 10-K</w:t>
            </w:r>
          </w:p>
        </w:tc>
        <w:tc>
          <w:tcPr>
            <w:tcW w:w="120" w:type="dxa"/>
            <w:vAlign w:val="bottom"/>
            <w:tcBorders>
              <w:top w:val="single" w:sz="8" w:color="CCEEFF"/>
            </w:tcBorders>
            <w:shd w:val="clear" w:color="auto" w:fill="CCEEFF"/>
          </w:tcPr>
          <w:p>
            <w:pPr>
              <w:spacing w:after="0"/>
              <w:rPr>
                <w:sz w:val="19"/>
                <w:szCs w:val="19"/>
                <w:color w:val="auto"/>
              </w:rPr>
            </w:pPr>
          </w:p>
        </w:tc>
        <w:tc>
          <w:tcPr>
            <w:tcW w:w="8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Annual Report on Form 10-K for the year ended December 31, 2020</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ACL</w:t>
            </w:r>
          </w:p>
        </w:tc>
        <w:tc>
          <w:tcPr>
            <w:tcW w:w="85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AFS</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ALCO</w:t>
            </w:r>
          </w:p>
        </w:tc>
        <w:tc>
          <w:tcPr>
            <w:tcW w:w="8580" w:type="dxa"/>
            <w:vAlign w:val="bottom"/>
          </w:tcPr>
          <w:p>
            <w:pPr>
              <w:ind w:left="20"/>
              <w:spacing w:after="0"/>
              <w:rPr>
                <w:sz w:val="20"/>
                <w:szCs w:val="20"/>
                <w:color w:val="auto"/>
              </w:rPr>
            </w:pPr>
            <w:r>
              <w:rPr>
                <w:rFonts w:ascii="Arial" w:cs="Arial" w:eastAsia="Arial" w:hAnsi="Arial"/>
                <w:sz w:val="18"/>
                <w:szCs w:val="18"/>
                <w:color w:val="auto"/>
              </w:rPr>
              <w:t>Asset/Liability Management Committee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AOCI</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ASU</w:t>
            </w:r>
          </w:p>
        </w:tc>
        <w:tc>
          <w:tcPr>
            <w:tcW w:w="8580" w:type="dxa"/>
            <w:vAlign w:val="bottom"/>
          </w:tcPr>
          <w:p>
            <w:pPr>
              <w:ind w:left="20"/>
              <w:spacing w:after="0"/>
              <w:rPr>
                <w:sz w:val="20"/>
                <w:szCs w:val="20"/>
                <w:color w:val="auto"/>
              </w:rPr>
            </w:pPr>
            <w:r>
              <w:rPr>
                <w:rFonts w:ascii="Arial" w:cs="Arial" w:eastAsia="Arial" w:hAnsi="Arial"/>
                <w:sz w:val="18"/>
                <w:szCs w:val="18"/>
                <w:color w:val="auto"/>
              </w:rPr>
              <w:t>Accounting standards update</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Board</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 Board of Directors</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BOLI</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Bank-owned life insurance</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CARES Act</w:t>
            </w:r>
          </w:p>
        </w:tc>
        <w:tc>
          <w:tcPr>
            <w:tcW w:w="8580" w:type="dxa"/>
            <w:vAlign w:val="bottom"/>
          </w:tcPr>
          <w:p>
            <w:pPr>
              <w:ind w:left="20"/>
              <w:spacing w:after="0"/>
              <w:rPr>
                <w:sz w:val="20"/>
                <w:szCs w:val="20"/>
                <w:color w:val="auto"/>
              </w:rPr>
            </w:pPr>
            <w:r>
              <w:rPr>
                <w:rFonts w:ascii="Arial" w:cs="Arial" w:eastAsia="Arial" w:hAnsi="Arial"/>
                <w:sz w:val="18"/>
                <w:szCs w:val="18"/>
                <w:color w:val="auto"/>
              </w:rPr>
              <w:t>Coronavirus Aid, Relief, and Economic Security Act</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CECL</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expected credit loss model</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CET1</w:t>
            </w:r>
          </w:p>
        </w:tc>
        <w:tc>
          <w:tcPr>
            <w:tcW w:w="8580" w:type="dxa"/>
            <w:vAlign w:val="bottom"/>
          </w:tcPr>
          <w:p>
            <w:pPr>
              <w:ind w:left="20"/>
              <w:spacing w:after="0"/>
              <w:rPr>
                <w:sz w:val="20"/>
                <w:szCs w:val="20"/>
                <w:color w:val="auto"/>
              </w:rPr>
            </w:pPr>
            <w:r>
              <w:rPr>
                <w:rFonts w:ascii="Arial" w:cs="Arial" w:eastAsia="Arial" w:hAnsi="Arial"/>
                <w:sz w:val="18"/>
                <w:szCs w:val="18"/>
                <w:color w:val="auto"/>
              </w:rPr>
              <w:t>Common equity tier 1</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CME</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Chicago Mercantile Exchange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Incorporated (interchangeable with "United" below)</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CVA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valuation adjustments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FASB</w:t>
            </w:r>
          </w:p>
        </w:tc>
        <w:tc>
          <w:tcPr>
            <w:tcW w:w="8580" w:type="dxa"/>
            <w:vAlign w:val="bottom"/>
          </w:tcPr>
          <w:p>
            <w:pPr>
              <w:ind w:left="20"/>
              <w:spacing w:after="0"/>
              <w:rPr>
                <w:sz w:val="20"/>
                <w:szCs w:val="20"/>
                <w:color w:val="auto"/>
              </w:rPr>
            </w:pPr>
            <w:r>
              <w:rPr>
                <w:rFonts w:ascii="Arial" w:cs="Arial" w:eastAsia="Arial" w:hAnsi="Arial"/>
                <w:sz w:val="18"/>
                <w:szCs w:val="18"/>
                <w:color w:val="auto"/>
              </w:rPr>
              <w:t>Financial Accounting Standards Board</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FDIC</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Deposit Insurance Corporation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Federal Reserve</w:t>
            </w:r>
          </w:p>
        </w:tc>
        <w:tc>
          <w:tcPr>
            <w:tcW w:w="8580" w:type="dxa"/>
            <w:vAlign w:val="bottom"/>
          </w:tcPr>
          <w:p>
            <w:pPr>
              <w:ind w:left="20"/>
              <w:spacing w:after="0"/>
              <w:rPr>
                <w:sz w:val="20"/>
                <w:szCs w:val="20"/>
                <w:color w:val="auto"/>
              </w:rPr>
            </w:pPr>
            <w:r>
              <w:rPr>
                <w:rFonts w:ascii="Arial" w:cs="Arial" w:eastAsia="Arial" w:hAnsi="Arial"/>
                <w:sz w:val="18"/>
                <w:szCs w:val="18"/>
                <w:color w:val="auto"/>
              </w:rPr>
              <w:t>Federal Reserve System</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FHLB</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Home Loan Bank</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FTE</w:t>
            </w:r>
          </w:p>
        </w:tc>
        <w:tc>
          <w:tcPr>
            <w:tcW w:w="8580" w:type="dxa"/>
            <w:vAlign w:val="bottom"/>
          </w:tcPr>
          <w:p>
            <w:pPr>
              <w:ind w:left="20"/>
              <w:spacing w:after="0"/>
              <w:rPr>
                <w:sz w:val="20"/>
                <w:szCs w:val="20"/>
                <w:color w:val="auto"/>
              </w:rPr>
            </w:pPr>
            <w:r>
              <w:rPr>
                <w:rFonts w:ascii="Arial" w:cs="Arial" w:eastAsia="Arial" w:hAnsi="Arial"/>
                <w:sz w:val="18"/>
                <w:szCs w:val="18"/>
                <w:color w:val="auto"/>
              </w:rPr>
              <w:t>Fully taxable equivalent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principles generally accepted in the United States of America</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GSE</w:t>
            </w:r>
          </w:p>
        </w:tc>
        <w:tc>
          <w:tcPr>
            <w:tcW w:w="8580" w:type="dxa"/>
            <w:vAlign w:val="bottom"/>
          </w:tcPr>
          <w:p>
            <w:pPr>
              <w:ind w:left="20"/>
              <w:spacing w:after="0"/>
              <w:rPr>
                <w:sz w:val="20"/>
                <w:szCs w:val="20"/>
                <w:color w:val="auto"/>
              </w:rPr>
            </w:pPr>
            <w:r>
              <w:rPr>
                <w:rFonts w:ascii="Arial" w:cs="Arial" w:eastAsia="Arial" w:hAnsi="Arial"/>
                <w:sz w:val="18"/>
                <w:szCs w:val="18"/>
                <w:color w:val="auto"/>
              </w:rPr>
              <w:t>U.S. government-sponsored enterprise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HELOC</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equity lines of credit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Holding Company</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 on an unconsolidated basis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HTM</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Held-to-maturity</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LIBOR</w:t>
            </w:r>
          </w:p>
        </w:tc>
        <w:tc>
          <w:tcPr>
            <w:tcW w:w="8580" w:type="dxa"/>
            <w:vAlign w:val="bottom"/>
          </w:tcPr>
          <w:p>
            <w:pPr>
              <w:ind w:left="20"/>
              <w:spacing w:after="0"/>
              <w:rPr>
                <w:sz w:val="20"/>
                <w:szCs w:val="20"/>
                <w:color w:val="auto"/>
              </w:rPr>
            </w:pPr>
            <w:r>
              <w:rPr>
                <w:rFonts w:ascii="Arial" w:cs="Arial" w:eastAsia="Arial" w:hAnsi="Arial"/>
                <w:sz w:val="18"/>
                <w:szCs w:val="18"/>
                <w:color w:val="auto"/>
              </w:rPr>
              <w:t>London Interbank Offered Rate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MD&amp;A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MBS</w:t>
            </w:r>
          </w:p>
        </w:tc>
        <w:tc>
          <w:tcPr>
            <w:tcW w:w="8580" w:type="dxa"/>
            <w:vAlign w:val="bottom"/>
          </w:tcPr>
          <w:p>
            <w:pPr>
              <w:ind w:left="20"/>
              <w:spacing w:after="0"/>
              <w:rPr>
                <w:sz w:val="20"/>
                <w:szCs w:val="20"/>
                <w:color w:val="auto"/>
              </w:rPr>
            </w:pPr>
            <w:r>
              <w:rPr>
                <w:rFonts w:ascii="Arial" w:cs="Arial" w:eastAsia="Arial" w:hAnsi="Arial"/>
                <w:sz w:val="18"/>
                <w:szCs w:val="18"/>
                <w:color w:val="auto"/>
              </w:rPr>
              <w:t>Mortgage-backed securities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Negotiable order of withdrawal</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NPA</w:t>
            </w:r>
          </w:p>
        </w:tc>
        <w:tc>
          <w:tcPr>
            <w:tcW w:w="8580" w:type="dxa"/>
            <w:vAlign w:val="bottom"/>
          </w:tcPr>
          <w:p>
            <w:pPr>
              <w:ind w:left="20"/>
              <w:spacing w:after="0"/>
              <w:rPr>
                <w:sz w:val="20"/>
                <w:szCs w:val="20"/>
                <w:color w:val="auto"/>
              </w:rPr>
            </w:pPr>
            <w:r>
              <w:rPr>
                <w:rFonts w:ascii="Arial" w:cs="Arial" w:eastAsia="Arial" w:hAnsi="Arial"/>
                <w:sz w:val="18"/>
                <w:szCs w:val="18"/>
                <w:color w:val="auto"/>
              </w:rPr>
              <w:t>Nonperforming asset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OCI</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PCD</w:t>
            </w:r>
          </w:p>
        </w:tc>
        <w:tc>
          <w:tcPr>
            <w:tcW w:w="8580" w:type="dxa"/>
            <w:vAlign w:val="bottom"/>
          </w:tcPr>
          <w:p>
            <w:pPr>
              <w:ind w:left="20"/>
              <w:spacing w:after="0"/>
              <w:rPr>
                <w:sz w:val="20"/>
                <w:szCs w:val="20"/>
                <w:color w:val="auto"/>
              </w:rPr>
            </w:pPr>
            <w:r>
              <w:rPr>
                <w:rFonts w:ascii="Arial" w:cs="Arial" w:eastAsia="Arial" w:hAnsi="Arial"/>
                <w:sz w:val="18"/>
                <w:szCs w:val="18"/>
                <w:color w:val="auto"/>
              </w:rPr>
              <w:t>Purchased credit deteriorated loans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Paycheck Protection Program</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Report</w:t>
            </w:r>
          </w:p>
        </w:tc>
        <w:tc>
          <w:tcPr>
            <w:tcW w:w="8580" w:type="dxa"/>
            <w:vAlign w:val="bottom"/>
          </w:tcPr>
          <w:p>
            <w:pPr>
              <w:ind w:left="20"/>
              <w:spacing w:after="0"/>
              <w:rPr>
                <w:sz w:val="20"/>
                <w:szCs w:val="20"/>
                <w:color w:val="auto"/>
              </w:rPr>
            </w:pPr>
            <w:r>
              <w:rPr>
                <w:rFonts w:ascii="Arial" w:cs="Arial" w:eastAsia="Arial" w:hAnsi="Arial"/>
                <w:sz w:val="18"/>
                <w:szCs w:val="18"/>
                <w:color w:val="auto"/>
              </w:rPr>
              <w:t>Quarterly Report on Form 10-Q</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Small Business Administration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Seaside</w:t>
            </w:r>
          </w:p>
        </w:tc>
        <w:tc>
          <w:tcPr>
            <w:tcW w:w="8580" w:type="dxa"/>
            <w:vAlign w:val="bottom"/>
          </w:tcPr>
          <w:p>
            <w:pPr>
              <w:ind w:left="20"/>
              <w:spacing w:after="0"/>
              <w:rPr>
                <w:sz w:val="20"/>
                <w:szCs w:val="20"/>
                <w:color w:val="auto"/>
              </w:rPr>
            </w:pPr>
            <w:r>
              <w:rPr>
                <w:rFonts w:ascii="Arial" w:cs="Arial" w:eastAsia="Arial" w:hAnsi="Arial"/>
                <w:sz w:val="18"/>
                <w:szCs w:val="18"/>
                <w:color w:val="auto"/>
              </w:rPr>
              <w:t>Seaside National Bank &amp; Trust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and Exchange Commission</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TDR</w:t>
            </w:r>
          </w:p>
        </w:tc>
        <w:tc>
          <w:tcPr>
            <w:tcW w:w="8580" w:type="dxa"/>
            <w:vAlign w:val="bottom"/>
          </w:tcPr>
          <w:p>
            <w:pPr>
              <w:ind w:left="20"/>
              <w:spacing w:after="0"/>
              <w:rPr>
                <w:sz w:val="20"/>
                <w:szCs w:val="20"/>
                <w:color w:val="auto"/>
              </w:rPr>
            </w:pPr>
            <w:r>
              <w:rPr>
                <w:rFonts w:ascii="Arial" w:cs="Arial" w:eastAsia="Arial" w:hAnsi="Arial"/>
                <w:sz w:val="18"/>
                <w:szCs w:val="18"/>
                <w:color w:val="auto"/>
              </w:rPr>
              <w:t>Troubled debt restructuring</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Shores</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Shores Bancorporation, Inc.</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U.S. Treasury</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States Department of the Treasury</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Banks, Inc. and its direct and indirect subsidiaries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USDA</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States Department of Agriculture</w:t>
            </w:r>
          </w:p>
        </w:tc>
        <w:tc>
          <w:tcPr>
            <w:tcW w:w="40" w:type="dxa"/>
            <w:vAlign w:val="bottom"/>
          </w:tcPr>
          <w:p>
            <w:pPr>
              <w:spacing w:after="0"/>
              <w:rPr>
                <w:sz w:val="20"/>
                <w:szCs w:val="20"/>
                <w:color w:val="auto"/>
              </w:rPr>
            </w:pPr>
          </w:p>
        </w:tc>
      </w:tr>
      <w:tr>
        <w:trPr>
          <w:trHeight w:val="80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tcPr>
          <w:p>
            <w:pPr>
              <w:ind w:left="29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Forward-looking statements are neither statements of historical fact nor assurance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 addition to those referenced in Part II, Item 1A of this Report - “Risk Factors” - include, but are not limited to the following:</w:t>
      </w:r>
    </w:p>
    <w:p>
      <w:pPr>
        <w:spacing w:after="0" w:line="215" w:lineRule="exact"/>
        <w:rPr>
          <w:sz w:val="20"/>
          <w:szCs w:val="20"/>
          <w:color w:val="auto"/>
        </w:rPr>
      </w:pPr>
    </w:p>
    <w:p>
      <w:pPr>
        <w:jc w:val="both"/>
        <w:ind w:left="340" w:hanging="332"/>
        <w:spacing w:after="0" w:line="25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levels of non-performing assets, charge-offs and provision expense;</w:t>
      </w:r>
    </w:p>
    <w:p>
      <w:pPr>
        <w:spacing w:after="0" w:line="2"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continuing effects on the economic and business environments in which we operate;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continuation of historically low interest rates coupled with other potential fluctuations or unanticipated changes in the interest rate environment, including interest rate changes made by the Federal Reserve, the discontinuation of LIBOR as an interest rate benchmark, and cash flow reassessments, may reduce net interest margin and/or the volumes and values of loans made or held as well as the value of other financial assets;</w:t>
      </w:r>
    </w:p>
    <w:p>
      <w:pPr>
        <w:spacing w:after="0" w:line="1" w:lineRule="exact"/>
        <w:rPr>
          <w:rFonts w:ascii="Arial" w:cs="Arial" w:eastAsia="Arial" w:hAnsi="Arial"/>
          <w:sz w:val="16"/>
          <w:szCs w:val="16"/>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geographic diversification and any unanticipated or greater than anticipated adverse conditions in the national or local economies in which we operate;</w:t>
      </w: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loan concentration in industries or sectors that may experience unanticipated or anticipated adverse conditions greater than other industries or sectors in the national or local economies in which we operate;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with respect to future mergers or acquisitions, including our ability to successfully expand and complete acquisitions and integrate businesses and operations that we acquire;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risks and the vulnerability of our network and online banking portals, and the systems of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access to capital;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ACL resulting from the CECL methodology, either alone or as that may be affected by conditions arising out of the COVID-19 pandemic;</w:t>
      </w:r>
    </w:p>
    <w:p>
      <w:pPr>
        <w:ind w:left="340" w:right="20" w:hanging="332"/>
        <w:spacing w:after="0" w:line="265"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 such as goodwill;</w:t>
      </w:r>
    </w:p>
    <w:p>
      <w:pPr>
        <w:spacing w:after="0" w:line="9" w:lineRule="exact"/>
        <w:rPr>
          <w:rFonts w:ascii="Arial" w:cs="Arial" w:eastAsia="Arial" w:hAnsi="Arial"/>
          <w:sz w:val="18"/>
          <w:szCs w:val="18"/>
          <w:color w:val="auto"/>
        </w:rPr>
      </w:pPr>
    </w:p>
    <w:p>
      <w:pPr>
        <w:ind w:left="340" w:hanging="332"/>
        <w:spacing w:after="0" w:line="265"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limitations on our ability to declare and pay dividends and other distributions from the Bank to the Holding Company, which could affect Holding Company liquidity, including the ability to pay dividends to shareholders or undertake other capital initiatives, such as share repurchases; and</w:t>
      </w:r>
    </w:p>
    <w:p>
      <w:pPr>
        <w:ind w:left="340" w:hanging="332"/>
        <w:spacing w:after="0" w:line="26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Annual Report on Form 10-K,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Form 10-Q, which speaks only as of the date hereof,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31" w:right="33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095"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share data)</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120"/>
              <w:spacing w:after="0" w:line="175" w:lineRule="exact"/>
              <w:rPr>
                <w:sz w:val="20"/>
                <w:szCs w:val="20"/>
                <w:color w:val="auto"/>
              </w:rPr>
            </w:pPr>
            <w:r>
              <w:rPr>
                <w:rFonts w:ascii="Arial" w:cs="Arial" w:eastAsia="Arial" w:hAnsi="Arial"/>
                <w:sz w:val="16"/>
                <w:szCs w:val="16"/>
                <w:b w:val="1"/>
                <w:bCs w:val="1"/>
                <w:color w:val="auto"/>
              </w:rPr>
              <w:t>March 31,</w:t>
            </w: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139"/>
              <w:spacing w:after="0" w:line="175" w:lineRule="exact"/>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84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83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due from banks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148,896</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Interest-bearing deposits in banks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1,207,949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1,459,723</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1,334,113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1,608,619</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Debt securities available-for-sale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3,744,280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3,224,721</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Debt securities held-to-maturity (fair value $586,828 and $437,193, respectively)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587,696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420,361</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Loans held for sale at fair value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164,979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105,433</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Loans and leases held for investment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11,678,544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11,370,815</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Less allowance for credit losses - loans and leases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(126,866)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(137,010)</w:t>
            </w:r>
          </w:p>
        </w:tc>
        <w:tc>
          <w:tcPr>
            <w:tcW w:w="0" w:type="dxa"/>
            <w:vAlign w:val="bottom"/>
          </w:tcPr>
          <w:p>
            <w:pPr>
              <w:spacing w:after="0"/>
              <w:rPr>
                <w:sz w:val="1"/>
                <w:szCs w:val="1"/>
                <w:color w:val="auto"/>
              </w:rPr>
            </w:pPr>
          </w:p>
        </w:tc>
      </w:tr>
      <w:tr>
        <w:trPr>
          <w:trHeight w:val="213"/>
        </w:trPr>
        <w:tc>
          <w:tcPr>
            <w:tcW w:w="84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Loans and leases, net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11,551,678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11,233,805</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Premises and equipment,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216,752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218,489</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Bank owned life insurance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201,969</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Accrued interest receivable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47,672</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deferred tax asset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38,411</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Derivative financial instruments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86,666</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Goodwill and other intangible assets,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381,823</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226,405</w:t>
            </w: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18,556,908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17,794,374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Deposits: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Noninterest-bearing demand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6,058,439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5,390,291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Interest-bearing deposits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9,934,781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9,842,067</w:t>
            </w:r>
          </w:p>
        </w:tc>
        <w:tc>
          <w:tcPr>
            <w:tcW w:w="0" w:type="dxa"/>
            <w:vAlign w:val="bottom"/>
          </w:tcPr>
          <w:p>
            <w:pPr>
              <w:spacing w:after="0"/>
              <w:rPr>
                <w:sz w:val="1"/>
                <w:szCs w:val="1"/>
                <w:color w:val="auto"/>
              </w:rPr>
            </w:pPr>
          </w:p>
        </w:tc>
      </w:tr>
      <w:tr>
        <w:trPr>
          <w:trHeight w:val="213"/>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deposits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15,993,220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15,232,358</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311,591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326,956</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Derivative financial instruments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198,527</w:t>
            </w:r>
          </w:p>
        </w:tc>
        <w:tc>
          <w:tcPr>
            <w:tcW w:w="0" w:type="dxa"/>
            <w:vAlign w:val="bottom"/>
          </w:tcPr>
          <w:p>
            <w:pPr>
              <w:spacing w:after="0"/>
              <w:rPr>
                <w:sz w:val="1"/>
                <w:szCs w:val="1"/>
                <w:color w:val="auto"/>
              </w:rPr>
            </w:pPr>
          </w:p>
        </w:tc>
      </w:tr>
      <w:tr>
        <w:trPr>
          <w:trHeight w:val="213"/>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16,525,824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15,786,844</w:t>
            </w:r>
          </w:p>
        </w:tc>
        <w:tc>
          <w:tcPr>
            <w:tcW w:w="0" w:type="dxa"/>
            <w:vAlign w:val="bottom"/>
          </w:tcPr>
          <w:p>
            <w:pPr>
              <w:spacing w:after="0"/>
              <w:rPr>
                <w:sz w:val="1"/>
                <w:szCs w:val="1"/>
                <w:color w:val="auto"/>
              </w:rPr>
            </w:pPr>
          </w:p>
        </w:tc>
      </w:tr>
      <w:tr>
        <w:trPr>
          <w:trHeight w:val="193"/>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44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Preferred stock, $1 par value: 10,000,000 shares authorized; Series I, $25,000 per share liquidation preference; 4,000 shares</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96,422</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issued and outstanding</w:t>
            </w: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40" w:type="dxa"/>
            <w:vAlign w:val="bottom"/>
            <w:gridSpan w:val="2"/>
          </w:tcPr>
          <w:p>
            <w:pPr>
              <w:ind w:left="140"/>
              <w:spacing w:after="0" w:line="166" w:lineRule="exact"/>
              <w:rPr>
                <w:sz w:val="20"/>
                <w:szCs w:val="20"/>
                <w:color w:val="auto"/>
              </w:rPr>
            </w:pPr>
            <w:r>
              <w:rPr>
                <w:rFonts w:ascii="Arial" w:cs="Arial" w:eastAsia="Arial" w:hAnsi="Arial"/>
                <w:sz w:val="16"/>
                <w:szCs w:val="16"/>
                <w:color w:val="auto"/>
                <w:w w:val="95"/>
              </w:rPr>
              <w:t>Common stock, $1 par value: 150,000,000 shares authorized; 86,776,508 and 86,675,279 shares issued and outstanding,</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86,777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86,675</w:t>
            </w:r>
          </w:p>
        </w:tc>
        <w:tc>
          <w:tcPr>
            <w:tcW w:w="0" w:type="dxa"/>
            <w:vAlign w:val="bottom"/>
          </w:tcPr>
          <w:p>
            <w:pPr>
              <w:spacing w:after="0"/>
              <w:rPr>
                <w:sz w:val="1"/>
                <w:szCs w:val="1"/>
                <w:color w:val="auto"/>
              </w:rPr>
            </w:pPr>
          </w:p>
        </w:tc>
      </w:tr>
      <w:tr>
        <w:trPr>
          <w:trHeight w:val="209"/>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issuable: 565,904 and 600,834 shares, respectively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10,855</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Capital surplus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1,640,583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1,638,999</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136,869</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37,710</w:t>
            </w: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2,031,084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2,007,530</w:t>
            </w:r>
          </w:p>
        </w:tc>
        <w:tc>
          <w:tcPr>
            <w:tcW w:w="0" w:type="dxa"/>
            <w:vAlign w:val="bottom"/>
          </w:tcPr>
          <w:p>
            <w:pPr>
              <w:spacing w:after="0"/>
              <w:rPr>
                <w:sz w:val="1"/>
                <w:szCs w:val="1"/>
                <w:color w:val="auto"/>
              </w:rPr>
            </w:pPr>
          </w:p>
        </w:tc>
      </w:tr>
      <w:tr>
        <w:trPr>
          <w:trHeight w:val="213"/>
        </w:trPr>
        <w:tc>
          <w:tcPr>
            <w:tcW w:w="844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18,556,908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17,794,374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Income </w:t>
      </w:r>
      <w:r>
        <w:rPr>
          <w:rFonts w:ascii="Arial" w:cs="Arial" w:eastAsia="Arial" w:hAnsi="Arial"/>
          <w:sz w:val="16"/>
          <w:szCs w:val="16"/>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gridSpan w:val="4"/>
          </w:tcPr>
          <w:p>
            <w:pPr>
              <w:jc w:val="right"/>
              <w:ind w:right="668"/>
              <w:spacing w:after="0" w:line="162" w:lineRule="exact"/>
              <w:rPr>
                <w:sz w:val="20"/>
                <w:szCs w:val="20"/>
                <w:color w:val="auto"/>
              </w:rPr>
            </w:pPr>
            <w:r>
              <w:rPr>
                <w:rFonts w:ascii="Arial" w:cs="Arial" w:eastAsia="Arial" w:hAnsi="Arial"/>
                <w:sz w:val="15"/>
                <w:szCs w:val="15"/>
                <w:b w:val="1"/>
                <w:bCs w:val="1"/>
                <w:color w:val="auto"/>
              </w:rPr>
              <w:t>Three Months Ended</w:t>
            </w:r>
          </w:p>
        </w:tc>
      </w:tr>
      <w:tr>
        <w:trPr>
          <w:trHeight w:val="198"/>
        </w:trPr>
        <w:tc>
          <w:tcPr>
            <w:tcW w:w="8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5"/>
                <w:szCs w:val="15"/>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198"/>
        </w:trPr>
        <w:tc>
          <w:tcPr>
            <w:tcW w:w="8380" w:type="dxa"/>
            <w:vAlign w:val="bottom"/>
            <w:gridSpan w:val="2"/>
          </w:tcPr>
          <w:p>
            <w:pPr>
              <w:ind w:left="20"/>
              <w:spacing w:after="0"/>
              <w:rPr>
                <w:sz w:val="20"/>
                <w:szCs w:val="20"/>
                <w:color w:val="auto"/>
              </w:rPr>
            </w:pPr>
            <w:r>
              <w:rPr>
                <w:rFonts w:ascii="Arial" w:cs="Arial" w:eastAsia="Arial" w:hAnsi="Arial"/>
                <w:sz w:val="15"/>
                <w:szCs w:val="15"/>
                <w:i w:val="1"/>
                <w:iCs w:val="1"/>
                <w:color w:val="auto"/>
              </w:rPr>
              <w:t>(in thousands, except per share data)</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68"/>
              <w:spacing w:after="0"/>
              <w:rPr>
                <w:sz w:val="20"/>
                <w:szCs w:val="20"/>
                <w:color w:val="auto"/>
              </w:rPr>
            </w:pPr>
            <w:r>
              <w:rPr>
                <w:rFonts w:ascii="Arial" w:cs="Arial" w:eastAsia="Arial" w:hAnsi="Arial"/>
                <w:sz w:val="15"/>
                <w:szCs w:val="15"/>
                <w:b w:val="1"/>
                <w:bCs w:val="1"/>
                <w:color w:val="auto"/>
              </w:rPr>
              <w:t>2020</w:t>
            </w:r>
          </w:p>
        </w:tc>
      </w:tr>
      <w:tr>
        <w:trPr>
          <w:trHeight w:val="183"/>
        </w:trPr>
        <w:tc>
          <w:tcPr>
            <w:tcW w:w="8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Interest revenue:</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190"/>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Loans, including fees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125,726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118,063</w:t>
            </w:r>
          </w:p>
        </w:tc>
      </w:tr>
      <w:tr>
        <w:trPr>
          <w:trHeight w:val="186"/>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Investment securities, including tax exempt of $2,150 and $1,523, respectively</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15,448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17,394</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Deposits in banks and short-term investments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w:t>
            </w:r>
          </w:p>
        </w:tc>
      </w:tr>
      <w:tr>
        <w:trPr>
          <w:trHeight w:val="179"/>
        </w:trPr>
        <w:tc>
          <w:tcPr>
            <w:tcW w:w="838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Total interest revenue</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141,542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136,547</w:t>
            </w:r>
          </w:p>
        </w:tc>
      </w:tr>
      <w:tr>
        <w:trPr>
          <w:trHeight w:val="186"/>
        </w:trPr>
        <w:tc>
          <w:tcPr>
            <w:tcW w:w="8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8"/>
        </w:trPr>
        <w:tc>
          <w:tcPr>
            <w:tcW w:w="83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expense: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0"/>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15,075</w:t>
            </w:r>
          </w:p>
        </w:tc>
      </w:tr>
      <w:tr>
        <w:trPr>
          <w:trHeight w:val="186"/>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Short-term borrowings</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Federal Home Loan Bank advances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8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Long-term debt</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2,864</w:t>
            </w:r>
          </w:p>
        </w:tc>
      </w:tr>
      <w:tr>
        <w:trPr>
          <w:trHeight w:val="186"/>
        </w:trPr>
        <w:tc>
          <w:tcPr>
            <w:tcW w:w="8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interest expense</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9,478</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17,941</w:t>
            </w:r>
          </w:p>
        </w:tc>
      </w:tr>
      <w:tr>
        <w:trPr>
          <w:trHeight w:val="179"/>
        </w:trPr>
        <w:tc>
          <w:tcPr>
            <w:tcW w:w="8380" w:type="dxa"/>
            <w:vAlign w:val="bottom"/>
            <w:gridSpan w:val="2"/>
          </w:tcPr>
          <w:p>
            <w:pPr>
              <w:ind w:left="220"/>
              <w:spacing w:after="0"/>
              <w:rPr>
                <w:sz w:val="20"/>
                <w:szCs w:val="20"/>
                <w:color w:val="auto"/>
              </w:rPr>
            </w:pPr>
            <w:r>
              <w:rPr>
                <w:rFonts w:ascii="Arial" w:cs="Arial" w:eastAsia="Arial" w:hAnsi="Arial"/>
                <w:sz w:val="14"/>
                <w:szCs w:val="14"/>
                <w:color w:val="auto"/>
              </w:rPr>
              <w:t>Net interest revenue</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132,064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118,606</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(Release of) provision for credit losses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(12,281)</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22,191</w:t>
            </w:r>
          </w:p>
        </w:tc>
      </w:tr>
      <w:tr>
        <w:trPr>
          <w:trHeight w:val="179"/>
        </w:trPr>
        <w:tc>
          <w:tcPr>
            <w:tcW w:w="8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Net interest revenue after provision for credit losses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144,345</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96,415</w:t>
            </w:r>
          </w:p>
        </w:tc>
      </w:tr>
      <w:tr>
        <w:trPr>
          <w:trHeight w:val="186"/>
        </w:trPr>
        <w:tc>
          <w:tcPr>
            <w:tcW w:w="8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8"/>
        </w:trPr>
        <w:tc>
          <w:tcPr>
            <w:tcW w:w="83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Noninterest income: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0"/>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 charges and fees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8,638</w:t>
            </w:r>
          </w:p>
        </w:tc>
      </w:tr>
      <w:tr>
        <w:trPr>
          <w:trHeight w:val="186"/>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Mortgage loan gains and other related fees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22,572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8,310</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Wealth management fees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w:t>
            </w:r>
          </w:p>
        </w:tc>
      </w:tr>
      <w:tr>
        <w:trPr>
          <w:trHeight w:val="186"/>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Gains from sales of other loans,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1,674</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10,028</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5,552</w:t>
            </w:r>
          </w:p>
        </w:tc>
      </w:tr>
      <w:tr>
        <w:trPr>
          <w:trHeight w:val="179"/>
        </w:trPr>
        <w:tc>
          <w:tcPr>
            <w:tcW w:w="8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noninterest income</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44,705</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25,814</w:t>
            </w:r>
          </w:p>
        </w:tc>
      </w:tr>
      <w:tr>
        <w:trPr>
          <w:trHeight w:val="183"/>
        </w:trPr>
        <w:tc>
          <w:tcPr>
            <w:tcW w:w="838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189,050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122,229</w:t>
            </w:r>
          </w:p>
        </w:tc>
      </w:tr>
      <w:tr>
        <w:trPr>
          <w:trHeight w:val="186"/>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Salaries and employee benefits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60,585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51,358</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Communications and equipment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5,946</w:t>
            </w:r>
          </w:p>
        </w:tc>
      </w:tr>
      <w:tr>
        <w:trPr>
          <w:trHeight w:val="186"/>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Occupancy</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6,956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5,714</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Advertising and public relations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r>
      <w:tr>
        <w:trPr>
          <w:trHeight w:val="186"/>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Postage, printing and supplies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1,670</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4,097</w:t>
            </w:r>
          </w:p>
        </w:tc>
      </w:tr>
      <w:tr>
        <w:trPr>
          <w:trHeight w:val="186"/>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Lending and loan servicing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2,877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2,293</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Outside services - electronic banking</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w:t>
            </w:r>
          </w:p>
        </w:tc>
      </w:tr>
      <w:tr>
        <w:trPr>
          <w:trHeight w:val="186"/>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FDIC assessments and other regulatory charges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1,896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1,484</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Amortization of intangibles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r>
      <w:tr>
        <w:trPr>
          <w:trHeight w:val="186"/>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Merger-related and other charges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808</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3,676</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4,022</w:t>
            </w:r>
          </w:p>
        </w:tc>
      </w:tr>
      <w:tr>
        <w:trPr>
          <w:trHeight w:val="179"/>
        </w:trPr>
        <w:tc>
          <w:tcPr>
            <w:tcW w:w="8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noninterest expenses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95,194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81,538</w:t>
            </w:r>
          </w:p>
        </w:tc>
      </w:tr>
      <w:tr>
        <w:trPr>
          <w:trHeight w:val="186"/>
        </w:trPr>
        <w:tc>
          <w:tcPr>
            <w:tcW w:w="8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income before income taxes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93,856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40,691</w:t>
            </w:r>
          </w:p>
        </w:tc>
      </w:tr>
      <w:tr>
        <w:trPr>
          <w:trHeight w:val="186"/>
        </w:trPr>
        <w:tc>
          <w:tcPr>
            <w:tcW w:w="8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8,807</w:t>
            </w:r>
          </w:p>
        </w:tc>
      </w:tr>
      <w:tr>
        <w:trPr>
          <w:trHeight w:val="211"/>
        </w:trPr>
        <w:tc>
          <w:tcPr>
            <w:tcW w:w="8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Net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73,706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31,884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4"/>
        </w:trPr>
        <w:tc>
          <w:tcPr>
            <w:tcW w:w="8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Net income available to common shareholders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71,525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31,641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9"/>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per common share: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0.82</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0.40</w:t>
            </w: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r>
      <w:tr>
        <w:trPr>
          <w:trHeight w:val="186"/>
        </w:trPr>
        <w:tc>
          <w:tcPr>
            <w:tcW w:w="8380" w:type="dxa"/>
            <w:vAlign w:val="bottom"/>
            <w:gridSpan w:val="2"/>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8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87,322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79,340</w:t>
            </w:r>
          </w:p>
        </w:tc>
      </w:tr>
      <w:tr>
        <w:trPr>
          <w:trHeight w:val="182"/>
        </w:trPr>
        <w:tc>
          <w:tcPr>
            <w:tcW w:w="8380" w:type="dxa"/>
            <w:vAlign w:val="bottom"/>
            <w:gridSpan w:val="2"/>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87,466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79,446</w:t>
            </w:r>
          </w:p>
        </w:tc>
      </w:tr>
    </w:tbl>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Comprehensive Income </w:t>
      </w:r>
      <w:r>
        <w:rPr>
          <w:rFonts w:ascii="Arial" w:cs="Arial" w:eastAsia="Arial" w:hAnsi="Arial"/>
          <w:sz w:val="16"/>
          <w:szCs w:val="16"/>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top w:val="single" w:sz="8" w:color="auto"/>
              <w:bottom w:val="single" w:sz="8" w:color="auto"/>
            </w:tcBorders>
          </w:tcPr>
          <w:p>
            <w:pPr>
              <w:spacing w:after="0"/>
              <w:rPr>
                <w:sz w:val="19"/>
                <w:szCs w:val="19"/>
                <w:color w:val="auto"/>
              </w:rPr>
            </w:pPr>
          </w:p>
        </w:tc>
        <w:tc>
          <w:tcPr>
            <w:tcW w:w="3800" w:type="dxa"/>
            <w:vAlign w:val="bottom"/>
            <w:tcBorders>
              <w:top w:val="single" w:sz="8" w:color="auto"/>
              <w:bottom w:val="single" w:sz="8" w:color="auto"/>
            </w:tcBorders>
            <w:gridSpan w:val="7"/>
          </w:tcPr>
          <w:p>
            <w:pPr>
              <w:jc w:val="center"/>
              <w:ind w:right="101"/>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158"/>
        </w:trPr>
        <w:tc>
          <w:tcPr>
            <w:tcW w:w="7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0"/>
              </w:rPr>
              <w:t>Before-tax</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4"/>
              </w:rPr>
              <w:t>Tax</w:t>
            </w:r>
          </w:p>
        </w:tc>
        <w:tc>
          <w:tcPr>
            <w:tcW w:w="180" w:type="dxa"/>
            <w:vAlign w:val="bottom"/>
          </w:tcPr>
          <w:p>
            <w:pPr>
              <w:spacing w:after="0"/>
              <w:rPr>
                <w:sz w:val="13"/>
                <w:szCs w:val="13"/>
                <w:color w:val="auto"/>
              </w:rPr>
            </w:pPr>
          </w:p>
        </w:tc>
        <w:tc>
          <w:tcPr>
            <w:tcW w:w="1080" w:type="dxa"/>
            <w:vAlign w:val="bottom"/>
            <w:vMerge w:val="restart"/>
          </w:tcPr>
          <w:p>
            <w:pPr>
              <w:jc w:val="right"/>
              <w:ind w:right="201"/>
              <w:spacing w:after="0"/>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1"/>
              </w:rPr>
              <w:t>(Expense)</w:t>
            </w: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Benefit</w:t>
            </w:r>
          </w:p>
        </w:tc>
        <w:tc>
          <w:tcPr>
            <w:tcW w:w="180" w:type="dxa"/>
            <w:vAlign w:val="bottom"/>
          </w:tcPr>
          <w:p>
            <w:pPr>
              <w:spacing w:after="0"/>
              <w:rPr>
                <w:sz w:val="18"/>
                <w:szCs w:val="18"/>
                <w:color w:val="auto"/>
              </w:rPr>
            </w:pPr>
          </w:p>
        </w:tc>
        <w:tc>
          <w:tcPr>
            <w:tcW w:w="1080" w:type="dxa"/>
            <w:vAlign w:val="bottom"/>
          </w:tcPr>
          <w:p>
            <w:pPr>
              <w:jc w:val="right"/>
              <w:ind w:right="26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81"/>
        </w:trPr>
        <w:tc>
          <w:tcPr>
            <w:tcW w:w="71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08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106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08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93,856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73,706</w:t>
            </w:r>
          </w:p>
        </w:tc>
        <w:tc>
          <w:tcPr>
            <w:tcW w:w="0" w:type="dxa"/>
            <w:vAlign w:val="bottom"/>
          </w:tcPr>
          <w:p>
            <w:pPr>
              <w:spacing w:after="0"/>
              <w:rPr>
                <w:sz w:val="1"/>
                <w:szCs w:val="1"/>
                <w:color w:val="auto"/>
              </w:rPr>
            </w:pPr>
          </w:p>
        </w:tc>
      </w:tr>
      <w:tr>
        <w:trPr>
          <w:trHeight w:val="201"/>
        </w:trPr>
        <w:tc>
          <w:tcPr>
            <w:tcW w:w="72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Unrealized losses on available-for-sale securities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(37,685)</w:t>
            </w:r>
          </w:p>
        </w:tc>
        <w:tc>
          <w:tcPr>
            <w:tcW w:w="0" w:type="dxa"/>
            <w:vAlign w:val="bottom"/>
          </w:tcPr>
          <w:p>
            <w:pPr>
              <w:spacing w:after="0"/>
              <w:rPr>
                <w:sz w:val="1"/>
                <w:szCs w:val="1"/>
                <w:color w:val="auto"/>
              </w:rPr>
            </w:pPr>
          </w:p>
        </w:tc>
      </w:tr>
      <w:tr>
        <w:trPr>
          <w:trHeight w:val="201"/>
        </w:trPr>
        <w:tc>
          <w:tcPr>
            <w:tcW w:w="7260" w:type="dxa"/>
            <w:vAlign w:val="bottom"/>
            <w:gridSpan w:val="2"/>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Unrealized holding gains on derivatives arising during the period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4,306</w:t>
            </w:r>
          </w:p>
        </w:tc>
        <w:tc>
          <w:tcPr>
            <w:tcW w:w="0" w:type="dxa"/>
            <w:vAlign w:val="bottom"/>
          </w:tcPr>
          <w:p>
            <w:pPr>
              <w:spacing w:after="0"/>
              <w:rPr>
                <w:sz w:val="1"/>
                <w:szCs w:val="1"/>
                <w:color w:val="auto"/>
              </w:rPr>
            </w:pPr>
          </w:p>
        </w:tc>
      </w:tr>
      <w:tr>
        <w:trPr>
          <w:trHeight w:val="201"/>
        </w:trPr>
        <w:tc>
          <w:tcPr>
            <w:tcW w:w="72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Reclassification of losses on derivative instruments realized in net income</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97"/>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cash flow hedge activity</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4,413</w:t>
            </w:r>
          </w:p>
        </w:tc>
        <w:tc>
          <w:tcPr>
            <w:tcW w:w="0" w:type="dxa"/>
            <w:vAlign w:val="bottom"/>
          </w:tcPr>
          <w:p>
            <w:pPr>
              <w:spacing w:after="0"/>
              <w:rPr>
                <w:sz w:val="1"/>
                <w:szCs w:val="1"/>
                <w:color w:val="auto"/>
              </w:rPr>
            </w:pPr>
          </w:p>
        </w:tc>
      </w:tr>
      <w:tr>
        <w:trPr>
          <w:trHeight w:val="148"/>
        </w:trPr>
        <w:tc>
          <w:tcPr>
            <w:tcW w:w="7260" w:type="dxa"/>
            <w:vAlign w:val="bottom"/>
            <w:gridSpan w:val="2"/>
          </w:tcPr>
          <w:p>
            <w:pPr>
              <w:ind w:left="140"/>
              <w:spacing w:after="0" w:line="148" w:lineRule="exact"/>
              <w:rPr>
                <w:sz w:val="20"/>
                <w:szCs w:val="20"/>
                <w:color w:val="auto"/>
              </w:rPr>
            </w:pPr>
            <w:r>
              <w:rPr>
                <w:rFonts w:ascii="Arial" w:cs="Arial" w:eastAsia="Arial" w:hAnsi="Arial"/>
                <w:sz w:val="16"/>
                <w:szCs w:val="16"/>
                <w:color w:val="auto"/>
                <w:w w:val="91"/>
              </w:rPr>
              <w:t>Amortization of prior service cost and actuarial losses included in net periodic pension cost for defined benefit</w:t>
            </w:r>
          </w:p>
        </w:tc>
        <w:tc>
          <w:tcPr>
            <w:tcW w:w="180" w:type="dxa"/>
            <w:vAlign w:val="bottom"/>
          </w:tcPr>
          <w:p>
            <w:pPr>
              <w:spacing w:after="0"/>
              <w:rPr>
                <w:sz w:val="12"/>
                <w:szCs w:val="12"/>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1"/>
        </w:trPr>
        <w:tc>
          <w:tcPr>
            <w:tcW w:w="7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pension plan</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other comprehensive loss</w:t>
            </w: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(33,078)</w:t>
            </w:r>
          </w:p>
        </w:tc>
        <w:tc>
          <w:tcPr>
            <w:tcW w:w="0" w:type="dxa"/>
            <w:vAlign w:val="bottom"/>
          </w:tcPr>
          <w:p>
            <w:pPr>
              <w:spacing w:after="0"/>
              <w:rPr>
                <w:sz w:val="1"/>
                <w:szCs w:val="1"/>
                <w:color w:val="auto"/>
              </w:rPr>
            </w:pPr>
          </w:p>
        </w:tc>
      </w:tr>
      <w:tr>
        <w:trPr>
          <w:trHeight w:val="197"/>
        </w:trPr>
        <w:tc>
          <w:tcPr>
            <w:tcW w:w="7260" w:type="dxa"/>
            <w:vAlign w:val="bottom"/>
            <w:gridSpan w:val="2"/>
          </w:tcPr>
          <w:p>
            <w:pPr>
              <w:ind w:left="36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49,809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40,628</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40,691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31,884</w:t>
            </w:r>
          </w:p>
        </w:tc>
        <w:tc>
          <w:tcPr>
            <w:tcW w:w="0" w:type="dxa"/>
            <w:vAlign w:val="bottom"/>
          </w:tcPr>
          <w:p>
            <w:pPr>
              <w:spacing w:after="0"/>
              <w:rPr>
                <w:sz w:val="1"/>
                <w:szCs w:val="1"/>
                <w:color w:val="auto"/>
              </w:rPr>
            </w:pPr>
          </w:p>
        </w:tc>
      </w:tr>
      <w:tr>
        <w:trPr>
          <w:trHeight w:val="201"/>
        </w:trPr>
        <w:tc>
          <w:tcPr>
            <w:tcW w:w="72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Unrealized gains on available-for-sale securities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0" w:type="dxa"/>
            <w:vAlign w:val="bottom"/>
          </w:tcPr>
          <w:p>
            <w:pPr>
              <w:spacing w:after="0"/>
              <w:rPr>
                <w:sz w:val="1"/>
                <w:szCs w:val="1"/>
                <w:color w:val="auto"/>
              </w:rPr>
            </w:pPr>
          </w:p>
        </w:tc>
      </w:tr>
      <w:tr>
        <w:trPr>
          <w:trHeight w:val="201"/>
        </w:trPr>
        <w:tc>
          <w:tcPr>
            <w:tcW w:w="7260" w:type="dxa"/>
            <w:vAlign w:val="bottom"/>
            <w:gridSpan w:val="2"/>
          </w:tcPr>
          <w:p>
            <w:pPr>
              <w:ind w:left="140"/>
              <w:spacing w:after="0"/>
              <w:rPr>
                <w:sz w:val="20"/>
                <w:szCs w:val="20"/>
                <w:color w:val="auto"/>
              </w:rPr>
            </w:pPr>
            <w:r>
              <w:rPr>
                <w:rFonts w:ascii="Arial" w:cs="Arial" w:eastAsia="Arial" w:hAnsi="Arial"/>
                <w:sz w:val="16"/>
                <w:szCs w:val="16"/>
                <w:color w:val="auto"/>
                <w:w w:val="93"/>
              </w:rPr>
              <w:t>Amortization of losses included in net income on available-for-sale securities transferred to held-to-maturity</w:t>
            </w:r>
          </w:p>
        </w:tc>
        <w:tc>
          <w:tcPr>
            <w:tcW w:w="18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50"/>
        </w:trPr>
        <w:tc>
          <w:tcPr>
            <w:tcW w:w="7260" w:type="dxa"/>
            <w:vAlign w:val="bottom"/>
            <w:gridSpan w:val="2"/>
            <w:shd w:val="clear" w:color="auto" w:fill="CCEEFF"/>
          </w:tcPr>
          <w:p>
            <w:pPr>
              <w:ind w:left="140"/>
              <w:spacing w:after="0" w:line="150" w:lineRule="exact"/>
              <w:rPr>
                <w:sz w:val="20"/>
                <w:szCs w:val="20"/>
                <w:color w:val="auto"/>
              </w:rPr>
            </w:pPr>
            <w:r>
              <w:rPr>
                <w:rFonts w:ascii="Arial" w:cs="Arial" w:eastAsia="Arial" w:hAnsi="Arial"/>
                <w:sz w:val="16"/>
                <w:szCs w:val="16"/>
                <w:color w:val="auto"/>
                <w:w w:val="91"/>
              </w:rPr>
              <w:t>Amortization of prior service cost and actuarial losses included in net periodic pension cost for defined benefit</w:t>
            </w: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pension plan</w:t>
            </w: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2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other comprehensive income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13,982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10,475</w:t>
            </w:r>
          </w:p>
        </w:tc>
        <w:tc>
          <w:tcPr>
            <w:tcW w:w="0" w:type="dxa"/>
            <w:vAlign w:val="bottom"/>
          </w:tcPr>
          <w:p>
            <w:pPr>
              <w:spacing w:after="0"/>
              <w:rPr>
                <w:sz w:val="1"/>
                <w:szCs w:val="1"/>
                <w:color w:val="auto"/>
              </w:rPr>
            </w:pPr>
          </w:p>
        </w:tc>
      </w:tr>
      <w:tr>
        <w:trPr>
          <w:trHeight w:val="222"/>
        </w:trPr>
        <w:tc>
          <w:tcPr>
            <w:tcW w:w="72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54,673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42,359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6"/>
          <w:szCs w:val="16"/>
          <w:b w:val="1"/>
          <w:bCs w:val="1"/>
          <w:color w:val="auto"/>
        </w:rPr>
        <w:t>UNITED COMMUNITY BANKS,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 of Changes in Shareholders’ Equity </w:t>
      </w:r>
      <w:r>
        <w:rPr>
          <w:rFonts w:ascii="Arial" w:cs="Arial" w:eastAsia="Arial" w:hAnsi="Arial"/>
          <w:sz w:val="16"/>
          <w:szCs w:val="16"/>
          <w:i w:val="1"/>
          <w:iCs w:val="1"/>
          <w:color w:val="auto"/>
        </w:rPr>
        <w:t>(Unaudited)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 except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87"/>
              </w:rPr>
              <w:t>Shares of</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8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Preferred</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220" w:type="dxa"/>
            <w:vAlign w:val="bottom"/>
          </w:tcPr>
          <w:p>
            <w:pPr>
              <w:spacing w:after="0"/>
              <w:rPr>
                <w:sz w:val="14"/>
                <w:szCs w:val="14"/>
                <w:color w:val="auto"/>
              </w:rPr>
            </w:pPr>
          </w:p>
        </w:tc>
        <w:tc>
          <w:tcPr>
            <w:tcW w:w="980" w:type="dxa"/>
            <w:vAlign w:val="bottom"/>
            <w:gridSpan w:val="2"/>
          </w:tcPr>
          <w:p>
            <w:pPr>
              <w:ind w:left="140"/>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6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6"/>
              </w:rPr>
              <w:t>Comprehensive</w:t>
            </w:r>
          </w:p>
        </w:tc>
        <w:tc>
          <w:tcPr>
            <w:tcW w:w="180" w:type="dxa"/>
            <w:vAlign w:val="bottom"/>
          </w:tcPr>
          <w:p>
            <w:pPr>
              <w:spacing w:after="0"/>
              <w:rPr>
                <w:sz w:val="14"/>
                <w:szCs w:val="14"/>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Issuable</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Surplus</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200" w:type="dxa"/>
            <w:vAlign w:val="bottom"/>
            <w:gridSpan w:val="3"/>
          </w:tcPr>
          <w:p>
            <w:pPr>
              <w:ind w:left="80"/>
              <w:spacing w:after="0"/>
              <w:rPr>
                <w:sz w:val="20"/>
                <w:szCs w:val="20"/>
                <w:color w:val="auto"/>
              </w:rPr>
            </w:pPr>
            <w:r>
              <w:rPr>
                <w:rFonts w:ascii="Arial" w:cs="Arial" w:eastAsia="Arial" w:hAnsi="Arial"/>
                <w:sz w:val="16"/>
                <w:szCs w:val="16"/>
                <w:b w:val="1"/>
                <w:bCs w:val="1"/>
                <w:color w:val="auto"/>
              </w:rPr>
              <w:t>Income (Loss)</w:t>
            </w: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86,675,279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86,675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1,638,999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136,869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37,710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2,007,530</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73,706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73,706</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(33,078)</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Preferred stock dividends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dividends ($0.19 per</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(16,671)</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line="166" w:lineRule="exact"/>
              <w:rPr>
                <w:sz w:val="20"/>
                <w:szCs w:val="20"/>
                <w:color w:val="auto"/>
              </w:rPr>
            </w:pPr>
            <w:r>
              <w:rPr>
                <w:rFonts w:ascii="Arial" w:cs="Arial" w:eastAsia="Arial" w:hAnsi="Arial"/>
                <w:sz w:val="16"/>
                <w:szCs w:val="16"/>
                <w:color w:val="auto"/>
              </w:rPr>
              <w:t>Impact of equity-based compensation</w:t>
            </w:r>
          </w:p>
        </w:tc>
        <w:tc>
          <w:tcPr>
            <w:tcW w:w="980" w:type="dxa"/>
            <w:vAlign w:val="bottom"/>
          </w:tcPr>
          <w:p>
            <w:pPr>
              <w:jc w:val="right"/>
              <w:spacing w:after="0" w:line="166" w:lineRule="exact"/>
              <w:rPr>
                <w:sz w:val="20"/>
                <w:szCs w:val="20"/>
                <w:color w:val="auto"/>
              </w:rPr>
            </w:pPr>
            <w:r>
              <w:rPr>
                <w:rFonts w:ascii="Arial" w:cs="Arial" w:eastAsia="Arial" w:hAnsi="Arial"/>
                <w:sz w:val="16"/>
                <w:szCs w:val="16"/>
                <w:color w:val="auto"/>
              </w:rPr>
              <w:t>35,170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576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404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awards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Impact of other United sponsored equity</w:t>
            </w: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66,059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(946)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1,180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plans</w:t>
            </w:r>
          </w:p>
        </w:tc>
        <w:tc>
          <w:tcPr>
            <w:tcW w:w="9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86,776,508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96,422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86,777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1,640,583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192,185</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2,031,084</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80" w:type="dxa"/>
            <w:vAlign w:val="bottom"/>
          </w:tcPr>
          <w:p>
            <w:pPr>
              <w:jc w:val="right"/>
              <w:spacing w:after="0"/>
              <w:rPr>
                <w:sz w:val="20"/>
                <w:szCs w:val="20"/>
                <w:color w:val="auto"/>
              </w:rPr>
            </w:pPr>
            <w:r>
              <w:rPr>
                <w:rFonts w:ascii="Arial" w:cs="Arial" w:eastAsia="Arial" w:hAnsi="Arial"/>
                <w:sz w:val="16"/>
                <w:szCs w:val="16"/>
                <w:color w:val="auto"/>
              </w:rPr>
              <w:t>79,013,729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79,014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11,491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1,496,641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40,152</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8,394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1,635,692</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31,884</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10,475</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(826,482)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(20,782)</w:t>
            </w: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line="166" w:lineRule="exact"/>
              <w:rPr>
                <w:sz w:val="20"/>
                <w:szCs w:val="20"/>
                <w:color w:val="auto"/>
              </w:rPr>
            </w:pPr>
            <w:r>
              <w:rPr>
                <w:rFonts w:ascii="Arial" w:cs="Arial" w:eastAsia="Arial" w:hAnsi="Arial"/>
                <w:sz w:val="16"/>
                <w:szCs w:val="16"/>
                <w:color w:val="auto"/>
              </w:rPr>
              <w:t>Common stock dividends ($0.18 per</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(14,301)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(14,301)</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share)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Impact of equity-based compensation</w:t>
            </w: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24,005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awards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line="166" w:lineRule="exact"/>
              <w:rPr>
                <w:sz w:val="20"/>
                <w:szCs w:val="20"/>
                <w:color w:val="auto"/>
              </w:rPr>
            </w:pPr>
            <w:r>
              <w:rPr>
                <w:rFonts w:ascii="Arial" w:cs="Arial" w:eastAsia="Arial" w:hAnsi="Arial"/>
                <w:sz w:val="16"/>
                <w:szCs w:val="16"/>
                <w:color w:val="auto"/>
                <w:w w:val="95"/>
              </w:rPr>
              <w:t>Impact of other United sponsored equity</w:t>
            </w:r>
          </w:p>
        </w:tc>
        <w:tc>
          <w:tcPr>
            <w:tcW w:w="980" w:type="dxa"/>
            <w:vAlign w:val="bottom"/>
          </w:tcPr>
          <w:p>
            <w:pPr>
              <w:jc w:val="right"/>
              <w:spacing w:after="0" w:line="166" w:lineRule="exact"/>
              <w:rPr>
                <w:sz w:val="20"/>
                <w:szCs w:val="20"/>
                <w:color w:val="auto"/>
              </w:rPr>
            </w:pPr>
            <w:r>
              <w:rPr>
                <w:rFonts w:ascii="Arial" w:cs="Arial" w:eastAsia="Arial" w:hAnsi="Arial"/>
                <w:sz w:val="16"/>
                <w:szCs w:val="16"/>
                <w:color w:val="auto"/>
              </w:rPr>
              <w:t>72,292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(1,622)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718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plans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new accounting standard</w:t>
            </w: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w:t>
            </w: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980" w:type="dxa"/>
            <w:vAlign w:val="bottom"/>
          </w:tcPr>
          <w:p>
            <w:pPr>
              <w:jc w:val="right"/>
              <w:spacing w:after="0"/>
              <w:rPr>
                <w:sz w:val="20"/>
                <w:szCs w:val="20"/>
                <w:color w:val="auto"/>
              </w:rPr>
            </w:pPr>
            <w:r>
              <w:rPr>
                <w:rFonts w:ascii="Arial" w:cs="Arial" w:eastAsia="Arial" w:hAnsi="Arial"/>
                <w:sz w:val="16"/>
                <w:szCs w:val="16"/>
                <w:color w:val="auto"/>
              </w:rPr>
              <w:t>78,283,544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78,284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10,534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1,478,719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54,206</w:t>
            </w:r>
          </w:p>
        </w:tc>
        <w:tc>
          <w:tcPr>
            <w:tcW w:w="8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18,869</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1,640,612</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jc w:val="right"/>
              <w:ind w:right="304"/>
              <w:spacing w:after="0"/>
              <w:rPr>
                <w:sz w:val="20"/>
                <w:szCs w:val="20"/>
                <w:color w:val="auto"/>
              </w:rPr>
            </w:pPr>
            <w:r>
              <w:rPr>
                <w:rFonts w:ascii="Arial" w:cs="Arial" w:eastAsia="Arial" w:hAnsi="Arial"/>
                <w:sz w:val="15"/>
                <w:szCs w:val="15"/>
                <w:b w:val="1"/>
                <w:bCs w:val="1"/>
                <w:color w:val="auto"/>
              </w:rPr>
              <w:t>Three Months Ended March 31,</w:t>
            </w:r>
          </w:p>
        </w:tc>
      </w:tr>
      <w:tr>
        <w:trPr>
          <w:trHeight w:val="198"/>
        </w:trPr>
        <w:tc>
          <w:tcPr>
            <w:tcW w:w="8360" w:type="dxa"/>
            <w:vAlign w:val="bottom"/>
            <w:gridSpan w:val="2"/>
          </w:tcPr>
          <w:p>
            <w:pPr>
              <w:ind w:left="20"/>
              <w:spacing w:after="0"/>
              <w:rPr>
                <w:sz w:val="20"/>
                <w:szCs w:val="20"/>
                <w:color w:val="auto"/>
              </w:rPr>
            </w:pPr>
            <w:r>
              <w:rPr>
                <w:rFonts w:ascii="Arial" w:cs="Arial" w:eastAsia="Arial" w:hAnsi="Arial"/>
                <w:sz w:val="15"/>
                <w:szCs w:val="15"/>
                <w:i w:val="1"/>
                <w:iCs w:val="1"/>
                <w:color w:val="auto"/>
              </w:rPr>
              <w:t>(in thousands)</w:t>
            </w:r>
          </w:p>
        </w:tc>
        <w:tc>
          <w:tcPr>
            <w:tcW w:w="220" w:type="dxa"/>
            <w:vAlign w:val="bottom"/>
          </w:tcPr>
          <w:p>
            <w:pPr>
              <w:spacing w:after="0"/>
              <w:rPr>
                <w:sz w:val="17"/>
                <w:szCs w:val="17"/>
                <w:color w:val="auto"/>
              </w:rPr>
            </w:pPr>
          </w:p>
        </w:tc>
        <w:tc>
          <w:tcPr>
            <w:tcW w:w="1140" w:type="dxa"/>
            <w:vAlign w:val="bottom"/>
          </w:tcPr>
          <w:p>
            <w:pPr>
              <w:jc w:val="right"/>
              <w:ind w:right="444"/>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4"/>
              <w:spacing w:after="0"/>
              <w:rPr>
                <w:sz w:val="20"/>
                <w:szCs w:val="20"/>
                <w:color w:val="auto"/>
              </w:rPr>
            </w:pPr>
            <w:r>
              <w:rPr>
                <w:rFonts w:ascii="Arial" w:cs="Arial" w:eastAsia="Arial" w:hAnsi="Arial"/>
                <w:sz w:val="15"/>
                <w:szCs w:val="15"/>
                <w:b w:val="1"/>
                <w:bCs w:val="1"/>
                <w:color w:val="auto"/>
              </w:rPr>
              <w:t>2020</w:t>
            </w:r>
          </w:p>
        </w:tc>
      </w:tr>
      <w:tr>
        <w:trPr>
          <w:trHeight w:val="198"/>
        </w:trPr>
        <w:tc>
          <w:tcPr>
            <w:tcW w:w="8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198"/>
        </w:trPr>
        <w:tc>
          <w:tcPr>
            <w:tcW w:w="8360" w:type="dxa"/>
            <w:vAlign w:val="bottom"/>
            <w:gridSpan w:val="2"/>
          </w:tcPr>
          <w:p>
            <w:pPr>
              <w:ind w:left="140"/>
              <w:spacing w:after="0"/>
              <w:rPr>
                <w:sz w:val="20"/>
                <w:szCs w:val="20"/>
                <w:color w:val="auto"/>
              </w:rPr>
            </w:pPr>
            <w:r>
              <w:rPr>
                <w:rFonts w:ascii="Arial" w:cs="Arial" w:eastAsia="Arial" w:hAnsi="Arial"/>
                <w:sz w:val="15"/>
                <w:szCs w:val="15"/>
                <w:color w:val="auto"/>
              </w:rPr>
              <w:t>Net income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73,706</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31,884</w:t>
            </w:r>
          </w:p>
        </w:tc>
      </w:tr>
      <w:tr>
        <w:trPr>
          <w:trHeight w:val="207"/>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(used in) operating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gridSpan w:val="2"/>
          </w:tcPr>
          <w:p>
            <w:pPr>
              <w:ind w:left="220"/>
              <w:spacing w:after="0"/>
              <w:rPr>
                <w:sz w:val="20"/>
                <w:szCs w:val="20"/>
                <w:color w:val="auto"/>
              </w:rPr>
            </w:pPr>
            <w:r>
              <w:rPr>
                <w:rFonts w:ascii="Arial" w:cs="Arial" w:eastAsia="Arial" w:hAnsi="Arial"/>
                <w:sz w:val="15"/>
                <w:szCs w:val="15"/>
                <w:color w:val="auto"/>
              </w:rPr>
              <w:t>Depreciation, amortization and accretion, net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1,894</w:t>
            </w:r>
          </w:p>
        </w:tc>
      </w:tr>
      <w:tr>
        <w:trPr>
          <w:trHeight w:val="207"/>
        </w:trPr>
        <w:tc>
          <w:tcPr>
            <w:tcW w:w="8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(Release of) provision for credit losses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(12,281)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22,191</w:t>
            </w:r>
          </w:p>
        </w:tc>
      </w:tr>
      <w:tr>
        <w:trPr>
          <w:trHeight w:val="198"/>
        </w:trPr>
        <w:tc>
          <w:tcPr>
            <w:tcW w:w="8360" w:type="dxa"/>
            <w:vAlign w:val="bottom"/>
            <w:gridSpan w:val="2"/>
          </w:tcPr>
          <w:p>
            <w:pPr>
              <w:ind w:left="220"/>
              <w:spacing w:after="0"/>
              <w:rPr>
                <w:sz w:val="20"/>
                <w:szCs w:val="20"/>
                <w:color w:val="auto"/>
              </w:rPr>
            </w:pPr>
            <w:r>
              <w:rPr>
                <w:rFonts w:ascii="Arial" w:cs="Arial" w:eastAsia="Arial" w:hAnsi="Arial"/>
                <w:sz w:val="15"/>
                <w:szCs w:val="15"/>
                <w:color w:val="auto"/>
              </w:rPr>
              <w:t>Stock based compensation</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2,492</w:t>
            </w:r>
          </w:p>
        </w:tc>
      </w:tr>
      <w:tr>
        <w:trPr>
          <w:trHeight w:val="207"/>
        </w:trPr>
        <w:tc>
          <w:tcPr>
            <w:tcW w:w="8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Deferred income tax expense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1,292</w:t>
            </w:r>
          </w:p>
        </w:tc>
      </w:tr>
      <w:tr>
        <w:trPr>
          <w:trHeight w:val="198"/>
        </w:trPr>
        <w:tc>
          <w:tcPr>
            <w:tcW w:w="8360" w:type="dxa"/>
            <w:vAlign w:val="bottom"/>
            <w:gridSpan w:val="2"/>
          </w:tcPr>
          <w:p>
            <w:pPr>
              <w:ind w:left="220"/>
              <w:spacing w:after="0"/>
              <w:rPr>
                <w:sz w:val="20"/>
                <w:szCs w:val="20"/>
                <w:color w:val="auto"/>
              </w:rPr>
            </w:pPr>
            <w:r>
              <w:rPr>
                <w:rFonts w:ascii="Arial" w:cs="Arial" w:eastAsia="Arial" w:hAnsi="Arial"/>
                <w:sz w:val="15"/>
                <w:szCs w:val="15"/>
                <w:color w:val="auto"/>
              </w:rPr>
              <w:t>Gains from sales of other loans, net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(1,674)</w:t>
            </w:r>
          </w:p>
        </w:tc>
      </w:tr>
      <w:tr>
        <w:trPr>
          <w:trHeight w:val="207"/>
        </w:trPr>
        <w:tc>
          <w:tcPr>
            <w:tcW w:w="8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Changes in assets and liabilities: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gridSpan w:val="2"/>
          </w:tcPr>
          <w:p>
            <w:pPr>
              <w:ind w:left="360"/>
              <w:spacing w:after="0"/>
              <w:rPr>
                <w:sz w:val="20"/>
                <w:szCs w:val="20"/>
                <w:color w:val="auto"/>
              </w:rPr>
            </w:pPr>
            <w:r>
              <w:rPr>
                <w:rFonts w:ascii="Arial" w:cs="Arial" w:eastAsia="Arial" w:hAnsi="Arial"/>
                <w:sz w:val="15"/>
                <w:szCs w:val="15"/>
                <w:color w:val="auto"/>
              </w:rPr>
              <w:t>Other assets and accrued interest receivable</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15,165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(45,851)</w:t>
            </w:r>
          </w:p>
        </w:tc>
      </w:tr>
      <w:tr>
        <w:trPr>
          <w:trHeight w:val="207"/>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Accrued expenses and other liabilities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8,456</w:t>
            </w:r>
          </w:p>
        </w:tc>
      </w:tr>
      <w:tr>
        <w:trPr>
          <w:trHeight w:val="198"/>
        </w:trPr>
        <w:tc>
          <w:tcPr>
            <w:tcW w:w="8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Loans held for sale</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(59,546)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(31,475)</w:t>
            </w:r>
          </w:p>
        </w:tc>
      </w:tr>
      <w:tr>
        <w:trPr>
          <w:trHeight w:val="196"/>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Net cash provided by (used in)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34,664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(10,791)</w:t>
            </w:r>
          </w:p>
        </w:tc>
      </w:tr>
      <w:tr>
        <w:trPr>
          <w:trHeight w:val="187"/>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gridSpan w:val="2"/>
          </w:tcPr>
          <w:p>
            <w:pPr>
              <w:ind w:left="140"/>
              <w:spacing w:after="0"/>
              <w:rPr>
                <w:sz w:val="20"/>
                <w:szCs w:val="20"/>
                <w:color w:val="auto"/>
              </w:rPr>
            </w:pPr>
            <w:r>
              <w:rPr>
                <w:rFonts w:ascii="Arial" w:cs="Arial" w:eastAsia="Arial" w:hAnsi="Arial"/>
                <w:sz w:val="15"/>
                <w:szCs w:val="15"/>
                <w:color w:val="auto"/>
              </w:rPr>
              <w:t>Debt securities held-to-maturity:</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8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Proceeds from maturities and calls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24,629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9,085</w:t>
            </w:r>
          </w:p>
        </w:tc>
      </w:tr>
      <w:tr>
        <w:trPr>
          <w:trHeight w:val="198"/>
        </w:trPr>
        <w:tc>
          <w:tcPr>
            <w:tcW w:w="8360" w:type="dxa"/>
            <w:vAlign w:val="bottom"/>
            <w:gridSpan w:val="2"/>
          </w:tcPr>
          <w:p>
            <w:pPr>
              <w:ind w:left="220"/>
              <w:spacing w:after="0"/>
              <w:rPr>
                <w:sz w:val="20"/>
                <w:szCs w:val="20"/>
                <w:color w:val="auto"/>
              </w:rPr>
            </w:pPr>
            <w:r>
              <w:rPr>
                <w:rFonts w:ascii="Arial" w:cs="Arial" w:eastAsia="Arial" w:hAnsi="Arial"/>
                <w:sz w:val="15"/>
                <w:szCs w:val="15"/>
                <w:color w:val="auto"/>
              </w:rPr>
              <w:t>Purchases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(192,541)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(15,989)</w:t>
            </w:r>
          </w:p>
        </w:tc>
      </w:tr>
      <w:tr>
        <w:trPr>
          <w:trHeight w:val="207"/>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Debt securities available-for-sale: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gridSpan w:val="2"/>
          </w:tcPr>
          <w:p>
            <w:pPr>
              <w:ind w:left="220"/>
              <w:spacing w:after="0"/>
              <w:rPr>
                <w:sz w:val="20"/>
                <w:szCs w:val="20"/>
                <w:color w:val="auto"/>
              </w:rPr>
            </w:pPr>
            <w:r>
              <w:rPr>
                <w:rFonts w:ascii="Arial" w:cs="Arial" w:eastAsia="Arial" w:hAnsi="Arial"/>
                <w:sz w:val="15"/>
                <w:szCs w:val="15"/>
                <w:color w:val="auto"/>
              </w:rPr>
              <w:t>Proceeds from sales</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1,000</w:t>
            </w:r>
          </w:p>
        </w:tc>
      </w:tr>
      <w:tr>
        <w:trPr>
          <w:trHeight w:val="207"/>
        </w:trPr>
        <w:tc>
          <w:tcPr>
            <w:tcW w:w="8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Proceeds from maturities and calls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105,247</w:t>
            </w:r>
          </w:p>
        </w:tc>
      </w:tr>
      <w:tr>
        <w:trPr>
          <w:trHeight w:val="198"/>
        </w:trPr>
        <w:tc>
          <w:tcPr>
            <w:tcW w:w="8360" w:type="dxa"/>
            <w:vAlign w:val="bottom"/>
            <w:gridSpan w:val="2"/>
          </w:tcPr>
          <w:p>
            <w:pPr>
              <w:ind w:left="220"/>
              <w:spacing w:after="0"/>
              <w:rPr>
                <w:sz w:val="20"/>
                <w:szCs w:val="20"/>
                <w:color w:val="auto"/>
              </w:rPr>
            </w:pPr>
            <w:r>
              <w:rPr>
                <w:rFonts w:ascii="Arial" w:cs="Arial" w:eastAsia="Arial" w:hAnsi="Arial"/>
                <w:sz w:val="15"/>
                <w:szCs w:val="15"/>
                <w:color w:val="auto"/>
              </w:rPr>
              <w:t>Purchases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(759,874)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(70,075)</w:t>
            </w:r>
          </w:p>
        </w:tc>
      </w:tr>
      <w:tr>
        <w:trPr>
          <w:trHeight w:val="20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increase in loans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(292,603)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(110,222)</w:t>
            </w:r>
          </w:p>
        </w:tc>
      </w:tr>
      <w:tr>
        <w:trPr>
          <w:trHeight w:val="198"/>
        </w:trPr>
        <w:tc>
          <w:tcPr>
            <w:tcW w:w="8360" w:type="dxa"/>
            <w:vAlign w:val="bottom"/>
            <w:gridSpan w:val="2"/>
          </w:tcPr>
          <w:p>
            <w:pPr>
              <w:ind w:left="140"/>
              <w:spacing w:after="0"/>
              <w:rPr>
                <w:sz w:val="20"/>
                <w:szCs w:val="20"/>
                <w:color w:val="auto"/>
              </w:rPr>
            </w:pPr>
            <w:r>
              <w:rPr>
                <w:rFonts w:ascii="Arial" w:cs="Arial" w:eastAsia="Arial" w:hAnsi="Arial"/>
                <w:sz w:val="15"/>
                <w:szCs w:val="15"/>
                <w:color w:val="auto"/>
              </w:rPr>
              <w:t>Equity investments, outflows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(5,753)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(4,330)</w:t>
            </w:r>
          </w:p>
        </w:tc>
      </w:tr>
      <w:tr>
        <w:trPr>
          <w:trHeight w:val="207"/>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Equity investments, inflows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8"/>
        </w:trPr>
        <w:tc>
          <w:tcPr>
            <w:tcW w:w="8360" w:type="dxa"/>
            <w:vAlign w:val="bottom"/>
            <w:gridSpan w:val="2"/>
          </w:tcPr>
          <w:p>
            <w:pPr>
              <w:ind w:left="140"/>
              <w:spacing w:after="0"/>
              <w:rPr>
                <w:sz w:val="20"/>
                <w:szCs w:val="20"/>
                <w:color w:val="auto"/>
              </w:rPr>
            </w:pPr>
            <w:r>
              <w:rPr>
                <w:rFonts w:ascii="Arial" w:cs="Arial" w:eastAsia="Arial" w:hAnsi="Arial"/>
                <w:sz w:val="15"/>
                <w:szCs w:val="15"/>
                <w:color w:val="auto"/>
              </w:rPr>
              <w:t>Proceeds from sales of premises and equipment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102</w:t>
            </w:r>
          </w:p>
        </w:tc>
      </w:tr>
      <w:tr>
        <w:trPr>
          <w:trHeight w:val="207"/>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Purchases of premises and equipment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(2,596)</w:t>
            </w:r>
          </w:p>
        </w:tc>
      </w:tr>
      <w:tr>
        <w:trPr>
          <w:trHeight w:val="198"/>
        </w:trPr>
        <w:tc>
          <w:tcPr>
            <w:tcW w:w="8360" w:type="dxa"/>
            <w:vAlign w:val="bottom"/>
            <w:gridSpan w:val="2"/>
          </w:tcPr>
          <w:p>
            <w:pPr>
              <w:ind w:left="140"/>
              <w:spacing w:after="0"/>
              <w:rPr>
                <w:sz w:val="20"/>
                <w:szCs w:val="20"/>
                <w:color w:val="auto"/>
              </w:rPr>
            </w:pPr>
            <w:r>
              <w:rPr>
                <w:rFonts w:ascii="Arial" w:cs="Arial" w:eastAsia="Arial" w:hAnsi="Arial"/>
                <w:sz w:val="15"/>
                <w:szCs w:val="15"/>
                <w:color w:val="auto"/>
              </w:rPr>
              <w:t>Proceeds from sale of other real estate</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1,308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63</w:t>
            </w:r>
          </w:p>
        </w:tc>
      </w:tr>
      <w:tr>
        <w:trPr>
          <w:trHeight w:val="207"/>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2,730</w:t>
            </w:r>
          </w:p>
        </w:tc>
      </w:tr>
      <w:tr>
        <w:trPr>
          <w:trHeight w:val="192"/>
        </w:trPr>
        <w:tc>
          <w:tcPr>
            <w:tcW w:w="83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(1,037,271)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(84,985)</w:t>
            </w:r>
          </w:p>
        </w:tc>
      </w:tr>
      <w:tr>
        <w:trPr>
          <w:trHeight w:val="186"/>
        </w:trPr>
        <w:tc>
          <w:tcPr>
            <w:tcW w:w="8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0"/>
        </w:trPr>
        <w:tc>
          <w:tcPr>
            <w:tcW w:w="8360" w:type="dxa"/>
            <w:vAlign w:val="bottom"/>
            <w:gridSpan w:val="2"/>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increase in deposits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761,630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137,783</w:t>
            </w:r>
          </w:p>
        </w:tc>
      </w:tr>
      <w:tr>
        <w:trPr>
          <w:trHeight w:val="199"/>
        </w:trPr>
        <w:tc>
          <w:tcPr>
            <w:tcW w:w="8360" w:type="dxa"/>
            <w:vAlign w:val="bottom"/>
            <w:gridSpan w:val="2"/>
          </w:tcPr>
          <w:p>
            <w:pPr>
              <w:ind w:left="140"/>
              <w:spacing w:after="0"/>
              <w:rPr>
                <w:sz w:val="20"/>
                <w:szCs w:val="20"/>
                <w:color w:val="auto"/>
              </w:rPr>
            </w:pPr>
            <w:r>
              <w:rPr>
                <w:rFonts w:ascii="Arial" w:cs="Arial" w:eastAsia="Arial" w:hAnsi="Arial"/>
                <w:sz w:val="15"/>
                <w:szCs w:val="15"/>
                <w:color w:val="auto"/>
              </w:rPr>
              <w:t>Repayment of long-term debt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(15,632)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Proceeds from FHLB advances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5,000</w:t>
            </w:r>
          </w:p>
        </w:tc>
      </w:tr>
      <w:tr>
        <w:trPr>
          <w:trHeight w:val="198"/>
        </w:trPr>
        <w:tc>
          <w:tcPr>
            <w:tcW w:w="8360" w:type="dxa"/>
            <w:vAlign w:val="bottom"/>
            <w:gridSpan w:val="2"/>
          </w:tcPr>
          <w:p>
            <w:pPr>
              <w:ind w:left="140"/>
              <w:spacing w:after="0"/>
              <w:rPr>
                <w:sz w:val="20"/>
                <w:szCs w:val="20"/>
                <w:color w:val="auto"/>
              </w:rPr>
            </w:pPr>
            <w:r>
              <w:rPr>
                <w:rFonts w:ascii="Arial" w:cs="Arial" w:eastAsia="Arial" w:hAnsi="Arial"/>
                <w:sz w:val="15"/>
                <w:szCs w:val="15"/>
                <w:color w:val="auto"/>
              </w:rPr>
              <w:t>Repayment of FHLB advances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(5,000)</w:t>
            </w:r>
          </w:p>
        </w:tc>
      </w:tr>
      <w:tr>
        <w:trPr>
          <w:trHeight w:val="207"/>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Proceeds from issuance of common stock for dividend reinvestment and employee benefit plans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199</w:t>
            </w:r>
          </w:p>
        </w:tc>
      </w:tr>
      <w:tr>
        <w:trPr>
          <w:trHeight w:val="198"/>
        </w:trPr>
        <w:tc>
          <w:tcPr>
            <w:tcW w:w="8360" w:type="dxa"/>
            <w:vAlign w:val="bottom"/>
            <w:gridSpan w:val="2"/>
          </w:tcPr>
          <w:p>
            <w:pPr>
              <w:ind w:left="140"/>
              <w:spacing w:after="0"/>
              <w:rPr>
                <w:sz w:val="20"/>
                <w:szCs w:val="20"/>
                <w:color w:val="auto"/>
              </w:rPr>
            </w:pPr>
            <w:r>
              <w:rPr>
                <w:rFonts w:ascii="Arial" w:cs="Arial" w:eastAsia="Arial" w:hAnsi="Arial"/>
                <w:sz w:val="15"/>
                <w:szCs w:val="15"/>
                <w:color w:val="auto"/>
              </w:rPr>
              <w:t>Cash paid for shares withheld to cover payroll taxes upon vesting of restricted stock units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(1,674)</w:t>
            </w:r>
          </w:p>
        </w:tc>
      </w:tr>
      <w:tr>
        <w:trPr>
          <w:trHeight w:val="207"/>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Repurchase of common stock</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(20,782)</w:t>
            </w:r>
          </w:p>
        </w:tc>
      </w:tr>
      <w:tr>
        <w:trPr>
          <w:trHeight w:val="198"/>
        </w:trPr>
        <w:tc>
          <w:tcPr>
            <w:tcW w:w="8360" w:type="dxa"/>
            <w:vAlign w:val="bottom"/>
            <w:gridSpan w:val="2"/>
          </w:tcPr>
          <w:p>
            <w:pPr>
              <w:ind w:left="140"/>
              <w:spacing w:after="0"/>
              <w:rPr>
                <w:sz w:val="20"/>
                <w:szCs w:val="20"/>
                <w:color w:val="auto"/>
              </w:rPr>
            </w:pPr>
            <w:r>
              <w:rPr>
                <w:rFonts w:ascii="Arial" w:cs="Arial" w:eastAsia="Arial" w:hAnsi="Arial"/>
                <w:sz w:val="15"/>
                <w:szCs w:val="15"/>
                <w:color w:val="auto"/>
              </w:rPr>
              <w:t>Cash dividends on common stock</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(15,852)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(14,454)</w:t>
            </w:r>
          </w:p>
        </w:tc>
      </w:tr>
      <w:tr>
        <w:trPr>
          <w:trHeight w:val="207"/>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dividends on preferred stock</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2"/>
        </w:trPr>
        <w:tc>
          <w:tcPr>
            <w:tcW w:w="836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cash provided by financing activities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728,101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101,072</w:t>
            </w:r>
          </w:p>
        </w:tc>
      </w:tr>
      <w:tr>
        <w:trPr>
          <w:trHeight w:val="206"/>
        </w:trPr>
        <w:tc>
          <w:tcPr>
            <w:tcW w:w="8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change in cash and cash equivalents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(274,506)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5,296</w:t>
            </w:r>
          </w:p>
        </w:tc>
      </w:tr>
      <w:tr>
        <w:trPr>
          <w:trHeight w:val="205"/>
        </w:trPr>
        <w:tc>
          <w:tcPr>
            <w:tcW w:w="8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Cash and cash equivalents, at beginning of period</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1,608,619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515,206</w:t>
            </w:r>
          </w:p>
        </w:tc>
      </w:tr>
      <w:tr>
        <w:trPr>
          <w:trHeight w:val="187"/>
        </w:trPr>
        <w:tc>
          <w:tcPr>
            <w:tcW w:w="8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836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and cash equivalents, at end of period</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1,334,113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520,502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9"/>
        </w:trPr>
        <w:tc>
          <w:tcPr>
            <w:tcW w:w="8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00"/>
        </w:trPr>
        <w:tc>
          <w:tcPr>
            <w:tcW w:w="8360" w:type="dxa"/>
            <w:vAlign w:val="bottom"/>
            <w:gridSpan w:val="2"/>
          </w:tcPr>
          <w:p>
            <w:pPr>
              <w:ind w:left="20"/>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Significant non-cash investing and financing transactions: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9"/>
        </w:trPr>
        <w:tc>
          <w:tcPr>
            <w:tcW w:w="8360" w:type="dxa"/>
            <w:vAlign w:val="bottom"/>
            <w:gridSpan w:val="2"/>
          </w:tcPr>
          <w:p>
            <w:pPr>
              <w:ind w:left="220"/>
              <w:spacing w:after="0"/>
              <w:rPr>
                <w:sz w:val="20"/>
                <w:szCs w:val="20"/>
                <w:color w:val="auto"/>
              </w:rPr>
            </w:pPr>
            <w:r>
              <w:rPr>
                <w:rFonts w:ascii="Arial" w:cs="Arial" w:eastAsia="Arial" w:hAnsi="Arial"/>
                <w:sz w:val="15"/>
                <w:szCs w:val="15"/>
                <w:color w:val="auto"/>
              </w:rPr>
              <w:t>Unsettled government guaranteed loan sales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485</w:t>
            </w:r>
          </w:p>
        </w:tc>
      </w:tr>
      <w:tr>
        <w:trPr>
          <w:trHeight w:val="206"/>
        </w:trPr>
        <w:tc>
          <w:tcPr>
            <w:tcW w:w="8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Transfers of loans to foreclosed properties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127</w:t>
            </w:r>
          </w:p>
        </w:tc>
      </w:tr>
    </w:tbl>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20"/>
          </w:cols>
          <w:pgMar w:left="320" w:top="972"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2020 10-K.</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2020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2020, the FASB issued ASU No.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In addition to consolidating existing disclosure guidance into a single codification section to reduce the likelihood of a required disclosure being missed, this update clarifies the application of select guidance in cases where the original guidance may have been unclear. United adopted this update as of January 1, 2021, with no material impact on the consolidated financial statements.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October 2020, the FASB issued ASU No. 2020-08, </w:t>
      </w:r>
      <w:r>
        <w:rPr>
          <w:rFonts w:ascii="Arial" w:cs="Arial" w:eastAsia="Arial" w:hAnsi="Arial"/>
          <w:sz w:val="16"/>
          <w:szCs w:val="16"/>
          <w:i w:val="1"/>
          <w:iCs w:val="1"/>
          <w:color w:val="auto"/>
        </w:rPr>
        <w:t>Codification Improvements to Subtopic 310-20, Receivables—Nonrefundable Fees and Other Costs</w:t>
      </w:r>
      <w:r>
        <w:rPr>
          <w:rFonts w:ascii="Arial" w:cs="Arial" w:eastAsia="Arial" w:hAnsi="Arial"/>
          <w:sz w:val="16"/>
          <w:szCs w:val="16"/>
          <w:color w:val="auto"/>
        </w:rPr>
        <w:t>. This update clarifies that an entity should reevaluate whether a callable debt security meets the criteria to adjust the amortization period of any related premium at each reporting period. United adopted this update as of January 1, 2021, with no material impact on the consolidated financial statements.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January 2020, the FASB issued ASU No. 2020-01, </w:t>
      </w:r>
      <w:r>
        <w:rPr>
          <w:rFonts w:ascii="Arial" w:cs="Arial" w:eastAsia="Arial" w:hAnsi="Arial"/>
          <w:sz w:val="16"/>
          <w:szCs w:val="16"/>
          <w:i w:val="1"/>
          <w:iCs w:val="1"/>
          <w:color w:val="auto"/>
        </w:rPr>
        <w:t>Investments—Equity Securities (Topic 321), Investments—Equity Method and Joint Ventures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323), and Derivatives and Hedging (Topic 815)—Clarifying the Interactions between Topic 321, Topic 323, and Topic 815 (a consensus of the Emerging Issues Task Force)</w:t>
      </w:r>
      <w:r>
        <w:rPr>
          <w:rFonts w:ascii="Arial" w:cs="Arial" w:eastAsia="Arial" w:hAnsi="Arial"/>
          <w:sz w:val="16"/>
          <w:szCs w:val="16"/>
          <w:color w:val="auto"/>
        </w:rPr>
        <w:t>. This update clarifies whether an entity should consider observable transactions that require it to either apply or discontinue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method of accounting for the purposes of applying the measurement alternative and how to account for certain forward contracts and purchased options to purchase securities. United adopted this update as of January 1, 2021, with no material impact on the consolidated financial statements.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update removes several exceptions related to intraperiod tax allocation when there is a loss from continuing operations and income from other items, foreign subsidiaries becoming equity method investments and vice versa, and calculating income taxes in an interim period when a year-to-date loss exceeds the anticipated loss for the year. The guidance also amends requirements related to franchise tax that is partially based on income, a step up in the tax basis of goodwill, allocation of consolidated tax expense to a legal entity not subject to tax in its separate financial statements, the effects of enacted changes in tax laws and other minor codification improvements regarding employee stock ownership plans and investments in qualified affordable housing projects. United adopted this update as of January 1, 2021, with no material impact on the consolidated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 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Defined Benefit Plans</w:t>
      </w:r>
      <w:r>
        <w:rPr>
          <w:rFonts w:ascii="Arial" w:cs="Arial" w:eastAsia="Arial" w:hAnsi="Arial"/>
          <w:sz w:val="18"/>
          <w:szCs w:val="18"/>
          <w:color w:val="auto"/>
        </w:rPr>
        <w:t>. The update removes disclosures that are no longer considered cost</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clarifies specific requirements of disclosures, and adds disclosure requirements identified as relevant. United adopted this update as of January 1, 2021, with no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amortized cost basis, unrealized gains and losses and fair value of HTM debt securities as of the dates indicated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3"/>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Value</w:t>
            </w:r>
          </w:p>
        </w:tc>
      </w:tr>
      <w:tr>
        <w:trPr>
          <w:trHeight w:val="212"/>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2021</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140"/>
              <w:spacing w:after="0"/>
              <w:rPr>
                <w:sz w:val="20"/>
                <w:szCs w:val="20"/>
                <w:color w:val="auto"/>
              </w:rPr>
            </w:pPr>
            <w:r>
              <w:rPr>
                <w:rFonts w:ascii="Arial" w:cs="Arial" w:eastAsia="Arial" w:hAnsi="Arial"/>
                <w:sz w:val="16"/>
                <w:szCs w:val="16"/>
                <w:color w:val="auto"/>
              </w:rPr>
              <w:t>U.S. Government agencies &amp; GSEs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10,535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9,945</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237,828</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135,156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137,848</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186,346</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Supranational entities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14,861</w:t>
            </w:r>
          </w:p>
        </w:tc>
      </w:tr>
      <w:tr>
        <w:trPr>
          <w:trHeight w:val="238"/>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586,828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7"/>
        </w:trPr>
        <w:tc>
          <w:tcPr>
            <w:tcW w:w="4260" w:type="dxa"/>
            <w:vAlign w:val="bottom"/>
          </w:tcPr>
          <w:p>
            <w:pPr>
              <w:ind w:left="140"/>
              <w:spacing w:after="0"/>
              <w:rPr>
                <w:sz w:val="20"/>
                <w:szCs w:val="20"/>
                <w:color w:val="auto"/>
              </w:rPr>
            </w:pPr>
            <w:r>
              <w:rPr>
                <w:rFonts w:ascii="Arial" w:cs="Arial" w:eastAsia="Arial" w:hAnsi="Arial"/>
                <w:sz w:val="16"/>
                <w:szCs w:val="16"/>
                <w:color w:val="auto"/>
              </w:rPr>
              <w:t>U.S. Government agencies &amp; GSEs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10,575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10,590</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205,139</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113,400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118,173</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MBS, Agency &amp; GSEs</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103,291</w:t>
            </w:r>
          </w:p>
        </w:tc>
      </w:tr>
      <w:tr>
        <w:trPr>
          <w:trHeight w:val="212"/>
        </w:trPr>
        <w:tc>
          <w:tcPr>
            <w:tcW w:w="426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420,361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437,193</w:t>
            </w:r>
          </w:p>
        </w:tc>
      </w:tr>
      <w:tr>
        <w:trPr>
          <w:trHeight w:val="21"/>
        </w:trPr>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amortized cost basis, unrealized gains and losses, and fair value of AFS debt securities as of the dates indicated are presented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3"/>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Value</w:t>
            </w:r>
          </w:p>
        </w:tc>
      </w:tr>
      <w:tr>
        <w:trPr>
          <w:trHeight w:val="212"/>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2021</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123,817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3,752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127,569</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173,522</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280,171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16,782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294,394</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1,501,825</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155,370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160,810</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718,294</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16,764</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70,610</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678,802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680,492</w:t>
            </w:r>
          </w:p>
        </w:tc>
      </w:tr>
      <w:tr>
        <w:trPr>
          <w:trHeight w:val="238"/>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3,721,905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3,744,280</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123,677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4,395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128,072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152,972</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253,630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20,891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274,472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1,303,892</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174,322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181,693</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532,268</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16,863</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71,767</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562,722</w:t>
            </w: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3,152,111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3,224,721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with a carrying value of $1.23 billion and $1.11 billion were pledged, primarily to secure public deposits,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HTM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40"/>
              <w:spacing w:after="0" w:line="15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41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2021</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8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9,945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9,945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39,628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39,628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w:t>
            </w:r>
          </w:p>
        </w:tc>
        <w:tc>
          <w:tcPr>
            <w:tcW w:w="0" w:type="dxa"/>
            <w:vAlign w:val="bottom"/>
          </w:tcPr>
          <w:p>
            <w:pPr>
              <w:spacing w:after="0"/>
              <w:rPr>
                <w:sz w:val="1"/>
                <w:szCs w:val="1"/>
                <w:color w:val="auto"/>
              </w:rPr>
            </w:pPr>
          </w:p>
        </w:tc>
      </w:tr>
      <w:tr>
        <w:trPr>
          <w:trHeight w:val="21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Supranational entities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322,093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8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4,677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4,677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26,308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45,502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46,854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AFS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2021</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116,612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3,967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116,612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3,967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699,029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699,029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15,928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Non-agency</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434,542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434,542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15,555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48,142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201,578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1,481,599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1,532,195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27,952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28,559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Non-agency</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87,305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140,892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450,517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504,711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there were 213 AFS debt securities and 60 HTM debt securities that were in an unrealized loss position. United does not intend to sell nor does it believe it will be required to sell securities in an unrealized loss position prior to the recovery of their amortized cost basis. Unrealized losses at March 31, 2021 were primarily attributable to changes in interest rates.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2021 and December 31, 2020, calculated credit losses and, thus, the related ACL on HTM debt securities were not material due to the high credit quality of the portfolio, which included securities issued or guaranteed by U.S. Government agencies, GSEs, high credit quality municipalities and supranational entities. As a result, no ACL was recorded on the HTM portfolio at March 31, 2021 or December 31, 2020. In addition, based on the assessments performed at March 31, 2021 and December 31, 2020, there was no ACL required related to the AFS portfolio.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accrued interest receivable for the periods indicated on HTM and AFS debt securities </w:t>
      </w:r>
      <w:r>
        <w:rPr>
          <w:rFonts w:ascii="Arial" w:cs="Arial" w:eastAsia="Arial" w:hAnsi="Arial"/>
          <w:sz w:val="18"/>
          <w:szCs w:val="18"/>
          <w:i w:val="1"/>
          <w:iCs w:val="1"/>
          <w:color w:val="auto"/>
        </w:rPr>
        <w:t>(in thousands)</w:t>
      </w:r>
      <w:r>
        <w:rPr>
          <w:rFonts w:ascii="Arial" w:cs="Arial" w:eastAsia="Arial" w:hAnsi="Arial"/>
          <w:sz w:val="18"/>
          <w:szCs w:val="18"/>
          <w:color w:val="auto"/>
        </w:rPr>
        <w:t>, which was excluded from the estimate of credit losses.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5"/>
          </w:tcPr>
          <w:p>
            <w:pPr>
              <w:jc w:val="center"/>
              <w:ind w:right="2840"/>
              <w:spacing w:after="0"/>
              <w:rPr>
                <w:sz w:val="20"/>
                <w:szCs w:val="20"/>
                <w:color w:val="auto"/>
              </w:rPr>
            </w:pPr>
            <w:r>
              <w:rPr>
                <w:rFonts w:ascii="Arial" w:cs="Arial" w:eastAsia="Arial" w:hAnsi="Arial"/>
                <w:sz w:val="16"/>
                <w:szCs w:val="16"/>
                <w:b w:val="1"/>
                <w:bCs w:val="1"/>
                <w:color w:val="auto"/>
                <w:w w:val="90"/>
              </w:rPr>
              <w:t>Accrued Interest Receivable</w:t>
            </w:r>
          </w:p>
        </w:tc>
      </w:tr>
      <w:tr>
        <w:trPr>
          <w:trHeight w:val="213"/>
        </w:trPr>
        <w:tc>
          <w:tcPr>
            <w:tcW w:w="5160" w:type="dxa"/>
            <w:vAlign w:val="bottom"/>
          </w:tcPr>
          <w:p>
            <w:pPr>
              <w:ind w:left="2680"/>
              <w:spacing w:after="0"/>
              <w:rPr>
                <w:sz w:val="20"/>
                <w:szCs w:val="20"/>
                <w:color w:val="auto"/>
              </w:rPr>
            </w:pPr>
            <w:r>
              <w:rPr>
                <w:rFonts w:ascii="Arial" w:cs="Arial" w:eastAsia="Arial" w:hAnsi="Arial"/>
                <w:sz w:val="16"/>
                <w:szCs w:val="16"/>
                <w:color w:val="auto"/>
              </w:rPr>
              <w:t>Debt Securities: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2020</w:t>
            </w:r>
          </w:p>
        </w:tc>
        <w:tc>
          <w:tcPr>
            <w:tcW w:w="2660" w:type="dxa"/>
            <w:vAlign w:val="bottom"/>
          </w:tcPr>
          <w:p>
            <w:pPr>
              <w:spacing w:after="0"/>
              <w:rPr>
                <w:sz w:val="18"/>
                <w:szCs w:val="18"/>
                <w:color w:val="auto"/>
              </w:rPr>
            </w:pPr>
          </w:p>
        </w:tc>
      </w:tr>
      <w:tr>
        <w:trPr>
          <w:trHeight w:val="212"/>
        </w:trPr>
        <w:tc>
          <w:tcPr>
            <w:tcW w:w="5160" w:type="dxa"/>
            <w:vAlign w:val="bottom"/>
            <w:tcBorders>
              <w:top w:val="single" w:sz="8" w:color="CCEEFF"/>
            </w:tcBorders>
            <w:shd w:val="clear" w:color="auto" w:fill="CCEEFF"/>
          </w:tcPr>
          <w:p>
            <w:pPr>
              <w:ind w:left="2780"/>
              <w:spacing w:after="0"/>
              <w:rPr>
                <w:sz w:val="20"/>
                <w:szCs w:val="20"/>
                <w:color w:val="auto"/>
              </w:rPr>
            </w:pPr>
            <w:r>
              <w:rPr>
                <w:rFonts w:ascii="Arial" w:cs="Arial" w:eastAsia="Arial" w:hAnsi="Arial"/>
                <w:sz w:val="16"/>
                <w:szCs w:val="16"/>
                <w:color w:val="auto"/>
              </w:rPr>
              <w:t>HTM</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2660" w:type="dxa"/>
            <w:vAlign w:val="bottom"/>
            <w:tcBorders>
              <w:top w:val="single" w:sz="8" w:color="CCEEFF"/>
            </w:tcBorders>
            <w:shd w:val="clear" w:color="auto" w:fill="CCEEFF"/>
          </w:tcPr>
          <w:p>
            <w:pPr>
              <w:spacing w:after="0"/>
              <w:rPr>
                <w:sz w:val="18"/>
                <w:szCs w:val="18"/>
                <w:color w:val="auto"/>
              </w:rPr>
            </w:pPr>
          </w:p>
        </w:tc>
      </w:tr>
      <w:tr>
        <w:trPr>
          <w:trHeight w:val="210"/>
        </w:trPr>
        <w:tc>
          <w:tcPr>
            <w:tcW w:w="5160" w:type="dxa"/>
            <w:vAlign w:val="bottom"/>
          </w:tcPr>
          <w:p>
            <w:pPr>
              <w:ind w:left="2780"/>
              <w:spacing w:after="0"/>
              <w:rPr>
                <w:sz w:val="20"/>
                <w:szCs w:val="20"/>
                <w:color w:val="auto"/>
              </w:rPr>
            </w:pPr>
            <w:r>
              <w:rPr>
                <w:rFonts w:ascii="Arial" w:cs="Arial" w:eastAsia="Arial" w:hAnsi="Arial"/>
                <w:sz w:val="16"/>
                <w:szCs w:val="16"/>
                <w:color w:val="auto"/>
              </w:rPr>
              <w:t>AFS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9,114</w:t>
            </w:r>
          </w:p>
        </w:tc>
        <w:tc>
          <w:tcPr>
            <w:tcW w:w="2660" w:type="dxa"/>
            <w:vAlign w:val="bottom"/>
          </w:tcPr>
          <w:p>
            <w:pPr>
              <w:spacing w:after="0"/>
              <w:rPr>
                <w:sz w:val="18"/>
                <w:szCs w:val="18"/>
                <w:color w:val="auto"/>
              </w:rPr>
            </w:pPr>
          </w:p>
        </w:tc>
      </w:tr>
    </w:tbl>
    <w:p>
      <w:pPr>
        <w:spacing w:after="0" w:line="200" w:lineRule="exact"/>
        <w:rPr>
          <w:sz w:val="20"/>
          <w:szCs w:val="20"/>
          <w:color w:val="auto"/>
        </w:rPr>
      </w:pPr>
    </w:p>
    <w:p>
      <w:pPr>
        <w:spacing w:after="0" w:line="2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amortized cost and fair value of AFS and HTM debt securities at March 31, 2021, by contractual maturity, are presented in the following table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 Expected maturities may differ from contractual maturities because issuers and borrowers may have the right to call or prepay obligations.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AFS</w:t>
            </w: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Arial" w:cs="Arial" w:eastAsia="Arial" w:hAnsi="Arial"/>
                <w:sz w:val="16"/>
                <w:szCs w:val="16"/>
                <w:b w:val="1"/>
                <w:bCs w:val="1"/>
                <w:color w:val="auto"/>
              </w:rPr>
              <w:t>Fair Value</w:t>
            </w:r>
          </w:p>
        </w:tc>
      </w:tr>
      <w:tr>
        <w:trPr>
          <w:trHeight w:val="19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Within 1 year:</w:t>
            </w: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44,901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45,525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20,010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1,732</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76,825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77,648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1 to 5 years: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78,916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82,044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41,787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44,194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14,504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15,899</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176,221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182,418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14,504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15,899</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5 to 10 years: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103,975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19,654</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15,886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Supranational entities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14,861</w:t>
            </w:r>
          </w:p>
        </w:tc>
      </w:tr>
      <w:tr>
        <w:trPr>
          <w:trHeight w:val="210"/>
        </w:trPr>
        <w:tc>
          <w:tcPr>
            <w:tcW w:w="4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210,787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211,413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33,964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34,515</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More than 10 years: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58,605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58,201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9,945</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200,543</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186,830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194,616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214,180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210,488</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Debt securities not due at a single maturity date: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678,802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680,492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1,648,519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1,662,635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135,156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137,848</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735,058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186,346</w:t>
            </w:r>
          </w:p>
        </w:tc>
      </w:tr>
      <w:tr>
        <w:trPr>
          <w:trHeight w:val="216"/>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1"/>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3,721,905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3,744,280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587,696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586,828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and Leases and Allowance for Credit Losses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5880" w:type="dxa"/>
            <w:vAlign w:val="bottom"/>
            <w:tcBorders>
              <w:top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2,107,153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2,090,443</w:t>
            </w:r>
          </w:p>
        </w:tc>
        <w:tc>
          <w:tcPr>
            <w:tcW w:w="1680" w:type="dxa"/>
            <w:vAlign w:val="bottom"/>
            <w:tcBorders>
              <w:top w:val="single" w:sz="8" w:color="CCEEFF"/>
            </w:tcBorders>
            <w:shd w:val="clear" w:color="auto" w:fill="CCEEFF"/>
          </w:tcPr>
          <w:p>
            <w:pPr>
              <w:spacing w:after="0"/>
              <w:rPr>
                <w:sz w:val="18"/>
                <w:szCs w:val="18"/>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2,598,482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2,540,750</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line="219" w:lineRule="exact"/>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2,643,279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2,498,560</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960,153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967,305</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912,650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863,830</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Arial" w:cs="Arial" w:eastAsia="Arial" w:hAnsi="Arial"/>
                <w:sz w:val="16"/>
                <w:szCs w:val="16"/>
                <w:color w:val="auto"/>
              </w:rPr>
              <w:t>Total commercial</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9,221,717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8,960,888</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Residential mortgage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1,362,088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1,284,920</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HELOC</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679,094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697,117</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281,430</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Borders>
              <w:bottom w:val="single" w:sz="8" w:color="CCEEFF"/>
            </w:tcBorders>
          </w:tcPr>
          <w:p>
            <w:pPr>
              <w:ind w:left="166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144,045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146,460</w:t>
            </w:r>
          </w:p>
        </w:tc>
        <w:tc>
          <w:tcPr>
            <w:tcW w:w="1680" w:type="dxa"/>
            <w:vAlign w:val="bottom"/>
            <w:tcBorders>
              <w:bottom w:val="single" w:sz="8" w:color="CCEEFF"/>
            </w:tcBorders>
          </w:tcPr>
          <w:p>
            <w:pPr>
              <w:spacing w:after="0"/>
              <w:rPr>
                <w:sz w:val="18"/>
                <w:szCs w:val="18"/>
                <w:color w:val="auto"/>
              </w:rPr>
            </w:pPr>
          </w:p>
        </w:tc>
      </w:tr>
      <w:tr>
        <w:trPr>
          <w:trHeight w:val="213"/>
        </w:trPr>
        <w:tc>
          <w:tcPr>
            <w:tcW w:w="588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Total loans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11,678,544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11,370,815</w:t>
            </w:r>
          </w:p>
        </w:tc>
        <w:tc>
          <w:tcPr>
            <w:tcW w:w="1680" w:type="dxa"/>
            <w:vAlign w:val="bottom"/>
            <w:shd w:val="clear" w:color="auto" w:fill="CCEEFF"/>
          </w:tcPr>
          <w:p>
            <w:pPr>
              <w:spacing w:after="0"/>
              <w:rPr>
                <w:sz w:val="18"/>
                <w:szCs w:val="18"/>
                <w:color w:val="auto"/>
              </w:rPr>
            </w:pPr>
          </w:p>
        </w:tc>
      </w:tr>
      <w:tr>
        <w:trPr>
          <w:trHeight w:val="213"/>
        </w:trPr>
        <w:tc>
          <w:tcPr>
            <w:tcW w:w="5880" w:type="dxa"/>
            <w:vAlign w:val="bottom"/>
            <w:tcBorders>
              <w:bottom w:val="single" w:sz="8" w:color="CCEEFF"/>
            </w:tcBorders>
          </w:tcPr>
          <w:p>
            <w:pPr>
              <w:ind w:left="1660"/>
              <w:spacing w:after="0"/>
              <w:rPr>
                <w:sz w:val="20"/>
                <w:szCs w:val="20"/>
                <w:color w:val="auto"/>
              </w:rPr>
            </w:pPr>
            <w:r>
              <w:rPr>
                <w:rFonts w:ascii="Arial" w:cs="Arial" w:eastAsia="Arial" w:hAnsi="Arial"/>
                <w:sz w:val="16"/>
                <w:szCs w:val="16"/>
                <w:color w:val="auto"/>
              </w:rPr>
              <w:t>Less allowance for credit losses - loans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(126,866)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(137,010)</w:t>
            </w:r>
          </w:p>
        </w:tc>
        <w:tc>
          <w:tcPr>
            <w:tcW w:w="1680" w:type="dxa"/>
            <w:vAlign w:val="bottom"/>
            <w:tcBorders>
              <w:bottom w:val="single" w:sz="8" w:color="CCEEFF"/>
            </w:tcBorders>
          </w:tcPr>
          <w:p>
            <w:pPr>
              <w:spacing w:after="0"/>
              <w:rPr>
                <w:sz w:val="18"/>
                <w:szCs w:val="18"/>
                <w:color w:val="auto"/>
              </w:rPr>
            </w:pPr>
          </w:p>
        </w:tc>
      </w:tr>
      <w:tr>
        <w:trPr>
          <w:trHeight w:val="238"/>
        </w:trPr>
        <w:tc>
          <w:tcPr>
            <w:tcW w:w="588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6"/>
                <w:szCs w:val="16"/>
                <w:color w:val="auto"/>
              </w:rPr>
              <w:t>Loans,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11,551,678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11,233,805</w:t>
            </w:r>
          </w:p>
        </w:tc>
        <w:tc>
          <w:tcPr>
            <w:tcW w:w="1680" w:type="dxa"/>
            <w:vAlign w:val="bottom"/>
            <w:tcBorders>
              <w:bottom w:val="single" w:sz="8" w:color="CCEEFF"/>
            </w:tcBorders>
            <w:shd w:val="clear" w:color="auto" w:fill="CCEEFF"/>
          </w:tcPr>
          <w:p>
            <w:pPr>
              <w:spacing w:after="0"/>
              <w:rPr>
                <w:sz w:val="20"/>
                <w:szCs w:val="20"/>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Commercial and industrial loans as of March 31, 2021 and December 31, 2020 included $883 million and $646 million of PPP loans, respectively.</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Accrued interest receivable related to loans totaled $33.3 million and $35.5 million at March 31, 2021 and December 31, 2020, respectively, and was reported in accrued interest receivable on the consolidated balance sheets.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2021 and December 31, 2020, the loan portfolio was subject to blanket pledges on certain qualifying loan types with the FHLB and FRB to secure contingent funding sources.</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The following table presents loans held for investment sold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The gains and losses on these loan sales were included in noninterest income on the consolidated statements of income.</w:t>
      </w: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59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2560" w:type="dxa"/>
            <w:vAlign w:val="bottom"/>
            <w:tcBorders>
              <w:bottom w:val="single" w:sz="8" w:color="CCEEFF"/>
            </w:tcBorders>
          </w:tcPr>
          <w:p>
            <w:pPr>
              <w:spacing w:after="0"/>
              <w:rPr>
                <w:sz w:val="18"/>
                <w:szCs w:val="18"/>
                <w:color w:val="auto"/>
              </w:rPr>
            </w:pPr>
          </w:p>
        </w:tc>
      </w:tr>
      <w:tr>
        <w:trPr>
          <w:trHeight w:val="212"/>
        </w:trPr>
        <w:tc>
          <w:tcPr>
            <w:tcW w:w="590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Guaranteed portion of SBA/USDA loans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w:t>
            </w:r>
          </w:p>
        </w:tc>
        <w:tc>
          <w:tcPr>
            <w:tcW w:w="2560" w:type="dxa"/>
            <w:vAlign w:val="bottom"/>
            <w:shd w:val="clear" w:color="auto" w:fill="CCEEFF"/>
          </w:tcPr>
          <w:p>
            <w:pPr>
              <w:spacing w:after="0"/>
              <w:rPr>
                <w:sz w:val="18"/>
                <w:szCs w:val="18"/>
                <w:color w:val="auto"/>
              </w:rPr>
            </w:pPr>
          </w:p>
        </w:tc>
      </w:tr>
      <w:tr>
        <w:trPr>
          <w:trHeight w:val="213"/>
        </w:trPr>
        <w:tc>
          <w:tcPr>
            <w:tcW w:w="5900" w:type="dxa"/>
            <w:vAlign w:val="bottom"/>
            <w:tcBorders>
              <w:bottom w:val="single" w:sz="8" w:color="CCEEFF"/>
            </w:tcBorders>
          </w:tcPr>
          <w:p>
            <w:pPr>
              <w:ind w:left="2560"/>
              <w:spacing w:after="0"/>
              <w:rPr>
                <w:sz w:val="20"/>
                <w:szCs w:val="20"/>
                <w:color w:val="auto"/>
              </w:rPr>
            </w:pPr>
            <w:r>
              <w:rPr>
                <w:rFonts w:ascii="Arial" w:cs="Arial" w:eastAsia="Arial" w:hAnsi="Arial"/>
                <w:sz w:val="16"/>
                <w:szCs w:val="16"/>
                <w:color w:val="auto"/>
              </w:rPr>
              <w:t>Equipment financing receivables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22,217</w:t>
            </w:r>
          </w:p>
        </w:tc>
        <w:tc>
          <w:tcPr>
            <w:tcW w:w="2560" w:type="dxa"/>
            <w:vAlign w:val="bottom"/>
            <w:tcBorders>
              <w:bottom w:val="single" w:sz="8" w:color="CCEEFF"/>
            </w:tcBorders>
          </w:tcPr>
          <w:p>
            <w:pPr>
              <w:spacing w:after="0"/>
              <w:rPr>
                <w:sz w:val="18"/>
                <w:szCs w:val="18"/>
                <w:color w:val="auto"/>
              </w:rPr>
            </w:pPr>
          </w:p>
        </w:tc>
      </w:tr>
      <w:tr>
        <w:trPr>
          <w:trHeight w:val="238"/>
        </w:trPr>
        <w:tc>
          <w:tcPr>
            <w:tcW w:w="5900" w:type="dxa"/>
            <w:vAlign w:val="bottom"/>
            <w:tcBorders>
              <w:bottom w:val="single" w:sz="8" w:color="CCEEFF"/>
            </w:tcBorders>
            <w:shd w:val="clear" w:color="auto" w:fill="CCEEFF"/>
          </w:tcPr>
          <w:p>
            <w:pPr>
              <w:ind w:left="26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26,251</w:t>
            </w:r>
          </w:p>
        </w:tc>
        <w:tc>
          <w:tcPr>
            <w:tcW w:w="2560" w:type="dxa"/>
            <w:vAlign w:val="bottom"/>
            <w:tcBorders>
              <w:bottom w:val="single" w:sz="8" w:color="CCEEFF"/>
            </w:tcBorders>
            <w:shd w:val="clear" w:color="auto" w:fill="CCEEFF"/>
          </w:tcPr>
          <w:p>
            <w:pPr>
              <w:spacing w:after="0"/>
              <w:rPr>
                <w:sz w:val="20"/>
                <w:szCs w:val="20"/>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At March 31, 2021 and December 31, 2020, equipment financing assets included leases of $37.6 million and $36.8 million, respectively. The components of the net investment in leases, which included both sales-type and direct financing,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5760" w:type="dxa"/>
            <w:vAlign w:val="bottom"/>
            <w:tcBorders>
              <w:top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Minimum future lease payments receivable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38,934</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Arial" w:cs="Arial" w:eastAsia="Arial" w:hAnsi="Arial"/>
                <w:sz w:val="16"/>
                <w:szCs w:val="16"/>
                <w:color w:val="auto"/>
              </w:rPr>
              <w:t>Estimated residual value of leased equipment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3,263</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Initial direct costs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Arial" w:cs="Arial" w:eastAsia="Arial" w:hAnsi="Arial"/>
                <w:sz w:val="16"/>
                <w:szCs w:val="16"/>
                <w:color w:val="auto"/>
              </w:rPr>
              <w:t>Security deposits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(727)</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Purchase accounting premium</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Borders>
              <w:bottom w:val="single" w:sz="8" w:color="CCEEFF"/>
            </w:tcBorders>
          </w:tcPr>
          <w:p>
            <w:pPr>
              <w:ind w:left="1620"/>
              <w:spacing w:after="0"/>
              <w:rPr>
                <w:sz w:val="20"/>
                <w:szCs w:val="20"/>
                <w:color w:val="auto"/>
              </w:rPr>
            </w:pPr>
            <w:r>
              <w:rPr>
                <w:rFonts w:ascii="Arial" w:cs="Arial" w:eastAsia="Arial" w:hAnsi="Arial"/>
                <w:sz w:val="16"/>
                <w:szCs w:val="16"/>
                <w:color w:val="auto"/>
              </w:rPr>
              <w:t>Unearned income</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1620" w:type="dxa"/>
            <w:vAlign w:val="bottom"/>
            <w:tcBorders>
              <w:bottom w:val="single" w:sz="8" w:color="CCEEFF"/>
            </w:tcBorders>
          </w:tcPr>
          <w:p>
            <w:pPr>
              <w:spacing w:after="0"/>
              <w:rPr>
                <w:sz w:val="18"/>
                <w:szCs w:val="18"/>
                <w:color w:val="auto"/>
              </w:rPr>
            </w:pPr>
          </w:p>
        </w:tc>
      </w:tr>
      <w:tr>
        <w:trPr>
          <w:trHeight w:val="238"/>
        </w:trPr>
        <w:tc>
          <w:tcPr>
            <w:tcW w:w="576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6"/>
                <w:szCs w:val="16"/>
                <w:color w:val="auto"/>
              </w:rPr>
              <w:t>Net investment in leases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36,802</w:t>
            </w:r>
          </w:p>
        </w:tc>
        <w:tc>
          <w:tcPr>
            <w:tcW w:w="1620" w:type="dxa"/>
            <w:vAlign w:val="bottom"/>
            <w:tcBorders>
              <w:bottom w:val="single" w:sz="8" w:color="CCEEFF"/>
            </w:tcBorders>
            <w:shd w:val="clear" w:color="auto" w:fill="CCEEFF"/>
          </w:tcPr>
          <w:p>
            <w:pPr>
              <w:spacing w:after="0"/>
              <w:rPr>
                <w:sz w:val="20"/>
                <w:szCs w:val="20"/>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Minimum future lease payments expected to be received from equipment financing lease contracts as of March 31, 2021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ind w:left="2700"/>
              <w:spacing w:after="0"/>
              <w:rPr>
                <w:sz w:val="20"/>
                <w:szCs w:val="20"/>
                <w:color w:val="auto"/>
              </w:rPr>
            </w:pPr>
            <w:r>
              <w:rPr>
                <w:rFonts w:ascii="Arial" w:cs="Arial" w:eastAsia="Arial" w:hAnsi="Arial"/>
                <w:sz w:val="16"/>
                <w:szCs w:val="16"/>
                <w:b w:val="1"/>
                <w:bCs w:val="1"/>
                <w:color w:val="auto"/>
              </w:rPr>
              <w:t>Year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Remainder of 2021</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11,794</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2022</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12,744</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2023</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2024</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4,311</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2025</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680" w:type="dxa"/>
            <w:vAlign w:val="bottom"/>
            <w:tcBorders>
              <w:bottom w:val="single" w:sz="8" w:color="CCEEFF"/>
            </w:tcBorders>
          </w:tcPr>
          <w:p>
            <w:pPr>
              <w:spacing w:after="0"/>
              <w:rPr>
                <w:sz w:val="18"/>
                <w:szCs w:val="18"/>
                <w:color w:val="auto"/>
              </w:rPr>
            </w:pPr>
          </w:p>
        </w:tc>
      </w:tr>
      <w:tr>
        <w:trPr>
          <w:trHeight w:val="238"/>
        </w:trPr>
        <w:tc>
          <w:tcPr>
            <w:tcW w:w="698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39,720</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following table presents the aging of the amortized cost basis in loans by aging category and accrual status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 Past due status is based on contractual terms of the loan. The accrual of interest is generally discontinued when a loan becomes 90 days past due. Deferrals related to the COVID-19 crisis are not reported as past due during the deferral period.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Accruing</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9"/>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1"/>
              </w:rPr>
              <w:t>Total Loans</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March 31, 2021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8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2,097,553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2,107,153</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2,584,511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2,598,482</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2,628,764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2,643,279</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957,435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960,153</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908,694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912,650</w:t>
            </w:r>
          </w:p>
        </w:tc>
        <w:tc>
          <w:tcPr>
            <w:tcW w:w="0" w:type="dxa"/>
            <w:vAlign w:val="bottom"/>
          </w:tcPr>
          <w:p>
            <w:pPr>
              <w:spacing w:after="0"/>
              <w:rPr>
                <w:sz w:val="1"/>
                <w:szCs w:val="1"/>
                <w:color w:val="auto"/>
              </w:rPr>
            </w:pPr>
          </w:p>
        </w:tc>
      </w:tr>
      <w:tr>
        <w:trPr>
          <w:trHeight w:val="206"/>
        </w:trPr>
        <w:tc>
          <w:tcPr>
            <w:tcW w:w="4260" w:type="dxa"/>
            <w:vAlign w:val="bottom"/>
            <w:gridSpan w:val="2"/>
          </w:tcPr>
          <w:p>
            <w:pPr>
              <w:ind w:left="140"/>
              <w:spacing w:after="0"/>
              <w:rPr>
                <w:sz w:val="20"/>
                <w:szCs w:val="20"/>
                <w:color w:val="auto"/>
              </w:rPr>
            </w:pPr>
            <w:r>
              <w:rPr>
                <w:rFonts w:ascii="Arial" w:cs="Arial" w:eastAsia="Arial" w:hAnsi="Arial"/>
                <w:sz w:val="16"/>
                <w:szCs w:val="16"/>
                <w:color w:val="auto"/>
              </w:rPr>
              <w:t>Total commercial</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9,176,957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3,613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39,667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9,221,717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1,345,427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1,362,088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HELOC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675,545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679,094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271,600</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143,669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144,045</w:t>
            </w:r>
          </w:p>
        </w:tc>
        <w:tc>
          <w:tcPr>
            <w:tcW w:w="0" w:type="dxa"/>
            <w:vAlign w:val="bottom"/>
          </w:tcPr>
          <w:p>
            <w:pPr>
              <w:spacing w:after="0"/>
              <w:rPr>
                <w:sz w:val="1"/>
                <w:szCs w:val="1"/>
                <w:color w:val="auto"/>
              </w:rPr>
            </w:pPr>
          </w:p>
        </w:tc>
      </w:tr>
      <w:tr>
        <w:trPr>
          <w:trHeight w:val="233"/>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loans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11,612,367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11,678,544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2,079,845</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2,090,443</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2,522,743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2,540,750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2,480,483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2,498,560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967,305</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856,985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863,830</w:t>
            </w:r>
          </w:p>
        </w:tc>
        <w:tc>
          <w:tcPr>
            <w:tcW w:w="0" w:type="dxa"/>
            <w:vAlign w:val="bottom"/>
          </w:tcPr>
          <w:p>
            <w:pPr>
              <w:spacing w:after="0"/>
              <w:rPr>
                <w:sz w:val="1"/>
                <w:szCs w:val="1"/>
                <w:color w:val="auto"/>
              </w:rPr>
            </w:pPr>
          </w:p>
        </w:tc>
      </w:tr>
      <w:tr>
        <w:trPr>
          <w:trHeight w:val="213"/>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commercial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8,905,003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8,960,888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1,265,019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1,284,920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HELOC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697,117</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280,551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281,430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146,460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140"/>
              <w:spacing w:after="0"/>
              <w:rPr>
                <w:sz w:val="20"/>
                <w:szCs w:val="20"/>
                <w:color w:val="auto"/>
              </w:rPr>
            </w:pPr>
            <w:r>
              <w:rPr>
                <w:rFonts w:ascii="Arial" w:cs="Arial" w:eastAsia="Arial" w:hAnsi="Arial"/>
                <w:sz w:val="16"/>
                <w:szCs w:val="16"/>
                <w:color w:val="auto"/>
              </w:rPr>
              <w:t>Total 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11,288,847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15,744</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4,625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61,599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11,370,815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nonaccrual loans by loan class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With no</w:t>
            </w:r>
          </w:p>
        </w:tc>
        <w:tc>
          <w:tcPr>
            <w:tcW w:w="160" w:type="dxa"/>
            <w:vAlign w:val="bottom"/>
          </w:tcPr>
          <w:p>
            <w:pPr>
              <w:spacing w:after="0"/>
              <w:rPr>
                <w:sz w:val="13"/>
                <w:szCs w:val="13"/>
                <w:color w:val="auto"/>
              </w:rPr>
            </w:pPr>
          </w:p>
        </w:tc>
        <w:tc>
          <w:tcPr>
            <w:tcW w:w="108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With an</w:t>
            </w:r>
          </w:p>
        </w:tc>
        <w:tc>
          <w:tcPr>
            <w:tcW w:w="24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6"/>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allowance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allowance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allowance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allowance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8,582</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15,149</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16,634</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0" w:type="dxa"/>
            <w:vAlign w:val="bottom"/>
          </w:tcPr>
          <w:p>
            <w:pPr>
              <w:spacing w:after="0"/>
              <w:rPr>
                <w:sz w:val="1"/>
                <w:szCs w:val="1"/>
                <w:color w:val="auto"/>
              </w:rPr>
            </w:pPr>
          </w:p>
        </w:tc>
      </w:tr>
      <w:tr>
        <w:trPr>
          <w:trHeight w:val="207"/>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Total commercial</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19,326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45,515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12,858</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HELOC</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2,487</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2"/>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this system, loans that are on nonaccrual status, become past due 90 days, or are in bankruptcy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Based on the most recent analysis performed, the amortized cost of loans by risk category by vintage year as of the date indicated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4"/>
              </w:rPr>
              <w:t>Term Loans by Origination Year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Revolvers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gridSpan w:val="7"/>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tcPr>
          <w:p>
            <w:pPr>
              <w:jc w:val="center"/>
              <w:ind w:right="120"/>
              <w:spacing w:after="0" w:line="102" w:lineRule="exact"/>
              <w:rPr>
                <w:sz w:val="20"/>
                <w:szCs w:val="20"/>
                <w:color w:val="auto"/>
              </w:rPr>
            </w:pPr>
            <w:r>
              <w:rPr>
                <w:rFonts w:ascii="Arial" w:cs="Arial" w:eastAsia="Arial" w:hAnsi="Arial"/>
                <w:sz w:val="11"/>
                <w:szCs w:val="11"/>
                <w:b w:val="1"/>
                <w:bCs w:val="1"/>
                <w:color w:val="auto"/>
              </w:rPr>
              <w:t>converted to</w:t>
            </w: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2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Revolvers</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20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Pass</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179,476</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701,135</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317,755</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199,511</w:t>
            </w:r>
          </w:p>
        </w:tc>
        <w:tc>
          <w:tcPr>
            <w:tcW w:w="10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191,124</w:t>
            </w:r>
          </w:p>
        </w:tc>
        <w:tc>
          <w:tcPr>
            <w:tcW w:w="10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350,036</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46,178</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9,426</w:t>
            </w:r>
          </w:p>
        </w:tc>
        <w:tc>
          <w:tcPr>
            <w:tcW w:w="10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1,994,641</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182,686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804,728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368,588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338,718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236,773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327,673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12,336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2,297,827</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696,983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792,547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227,628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216,428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81,554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114,095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445,382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2,578,494</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853,405</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139,648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376,918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247,084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107,756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32,220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909,965</w:t>
            </w:r>
          </w:p>
        </w:tc>
        <w:tc>
          <w:tcPr>
            <w:tcW w:w="0" w:type="dxa"/>
            <w:vAlign w:val="bottom"/>
          </w:tcPr>
          <w:p>
            <w:pPr>
              <w:spacing w:after="0"/>
              <w:rPr>
                <w:sz w:val="1"/>
                <w:szCs w:val="1"/>
                <w:color w:val="auto"/>
              </w:rPr>
            </w:pPr>
          </w:p>
        </w:tc>
      </w:tr>
      <w:tr>
        <w:trPr>
          <w:trHeight w:val="186"/>
        </w:trPr>
        <w:tc>
          <w:tcPr>
            <w:tcW w:w="22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1,311,018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2,972,532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1,352,488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1,031,379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586,028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818,972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532,218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29,697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8,634,332</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217,716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444,751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159,000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108,791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309,592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1,344,921</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660,070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676,583</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57,904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178,711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271,055</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Consumer</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44,170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143,737</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1,603,518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3,640,164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1,544,308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1,155,534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693,686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1,146,615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1,234,821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51,982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11,070,628</w:t>
            </w:r>
          </w:p>
        </w:tc>
        <w:tc>
          <w:tcPr>
            <w:tcW w:w="0" w:type="dxa"/>
            <w:vAlign w:val="bottom"/>
          </w:tcPr>
          <w:p>
            <w:pPr>
              <w:spacing w:after="0"/>
              <w:rPr>
                <w:sz w:val="1"/>
                <w:szCs w:val="1"/>
                <w:color w:val="auto"/>
              </w:rPr>
            </w:pPr>
          </w:p>
        </w:tc>
      </w:tr>
      <w:tr>
        <w:trPr>
          <w:trHeight w:val="172"/>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Watch</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7,364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7,861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18,539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4,203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3,681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16,321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58,069</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59,580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51,067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205,742</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27,546</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84,893</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58,215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105,484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83,976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44,069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55,119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376,250</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19,654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58,215</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105,484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83,976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44,069</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55,119</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7,858</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376,250</w:t>
            </w:r>
          </w:p>
        </w:tc>
        <w:tc>
          <w:tcPr>
            <w:tcW w:w="0" w:type="dxa"/>
            <w:vAlign w:val="bottom"/>
          </w:tcPr>
          <w:p>
            <w:pPr>
              <w:spacing w:after="0"/>
              <w:rPr>
                <w:sz w:val="1"/>
                <w:szCs w:val="1"/>
                <w:color w:val="auto"/>
              </w:rPr>
            </w:pPr>
          </w:p>
        </w:tc>
      </w:tr>
      <w:tr>
        <w:trPr>
          <w:trHeight w:val="172"/>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Substandard</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2,615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12,137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10,231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8,289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5,257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12,508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54,443</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6,259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5,588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94,913</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37,239</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21,855</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2,685</w:t>
            </w:r>
          </w:p>
        </w:tc>
        <w:tc>
          <w:tcPr>
            <w:tcW w:w="0" w:type="dxa"/>
            <w:vAlign w:val="bottom"/>
          </w:tcPr>
          <w:p>
            <w:pPr>
              <w:spacing w:after="0"/>
              <w:rPr>
                <w:sz w:val="1"/>
                <w:szCs w:val="1"/>
                <w:color w:val="auto"/>
              </w:rPr>
            </w:pPr>
          </w:p>
        </w:tc>
      </w:tr>
      <w:tr>
        <w:trPr>
          <w:trHeight w:val="186"/>
        </w:trPr>
        <w:tc>
          <w:tcPr>
            <w:tcW w:w="22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15,531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57,366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31,243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55,423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211,135</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17,167</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2,511</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15,692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59,348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30,516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35,164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14,992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62,581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7,395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5,978</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231,666</w:t>
            </w:r>
          </w:p>
        </w:tc>
        <w:tc>
          <w:tcPr>
            <w:tcW w:w="0" w:type="dxa"/>
            <w:vAlign w:val="bottom"/>
          </w:tcPr>
          <w:p>
            <w:pPr>
              <w:spacing w:after="0"/>
              <w:rPr>
                <w:sz w:val="1"/>
                <w:szCs w:val="1"/>
                <w:color w:val="auto"/>
              </w:rPr>
            </w:pPr>
          </w:p>
        </w:tc>
      </w:tr>
      <w:tr>
        <w:trPr>
          <w:trHeight w:val="199"/>
        </w:trPr>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1,638,864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3,757,727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1,680,308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1,274,674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752,747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1,264,315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1,250,074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59,835</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11,678,544</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40" w:type="dxa"/>
            <w:vAlign w:val="bottom"/>
            <w:gridSpan w:val="9"/>
          </w:tcPr>
          <w:p>
            <w:pPr>
              <w:ind w:left="20"/>
              <w:spacing w:after="0"/>
              <w:rPr>
                <w:sz w:val="20"/>
                <w:szCs w:val="20"/>
                <w:color w:val="auto"/>
              </w:rPr>
            </w:pPr>
            <w:r>
              <w:rPr>
                <w:rFonts w:ascii="Arial" w:cs="Arial" w:eastAsia="Arial" w:hAnsi="Arial"/>
                <w:sz w:val="14"/>
                <w:szCs w:val="14"/>
                <w:b w:val="1"/>
                <w:bCs w:val="1"/>
                <w:color w:val="auto"/>
                <w:w w:val="94"/>
              </w:rPr>
              <w:t>Term Loans by Origination Year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Revolvers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converted to</w:t>
            </w: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6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Revolvers</w:t>
            </w:r>
          </w:p>
        </w:tc>
        <w:tc>
          <w:tcPr>
            <w:tcW w:w="9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Pass</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707,501</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368,615</w:t>
            </w:r>
          </w:p>
        </w:tc>
        <w:tc>
          <w:tcPr>
            <w:tcW w:w="2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231,316</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197,778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201,362</w:t>
            </w:r>
          </w:p>
        </w:tc>
        <w:tc>
          <w:tcPr>
            <w:tcW w:w="8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229,667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56,273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9,072</w:t>
            </w:r>
          </w:p>
        </w:tc>
        <w:tc>
          <w:tcPr>
            <w:tcW w:w="10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2,001,584</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815,799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376,911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361,539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277,769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206,068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198,080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12,128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2,276,836</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1,092,767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287,857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263,439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115,790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92,968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58,359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515,593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2,430,550</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314,154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217,643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226,308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53,708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30,812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888,835</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413,653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270,664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125,869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39,982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9,404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860,017</w:t>
            </w:r>
          </w:p>
        </w:tc>
        <w:tc>
          <w:tcPr>
            <w:tcW w:w="0" w:type="dxa"/>
            <w:vAlign w:val="bottom"/>
          </w:tcPr>
          <w:p>
            <w:pPr>
              <w:spacing w:after="0"/>
              <w:rPr>
                <w:sz w:val="1"/>
                <w:szCs w:val="1"/>
                <w:color w:val="auto"/>
              </w:rPr>
            </w:pPr>
          </w:p>
        </w:tc>
      </w:tr>
      <w:tr>
        <w:trPr>
          <w:trHeight w:val="186"/>
        </w:trPr>
        <w:tc>
          <w:tcPr>
            <w:tcW w:w="22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3,343,874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1,521,690</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1,208,471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685,027</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540,614</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508,536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620,686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8,457,822</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468,945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195,213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125,492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120,944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122,013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230,771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1,268,789</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675,878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693,459</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225,727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30,646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3,172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280,725</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Consumer</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25,528</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4,531</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3,595</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41,445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146,055</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4,093,543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1,773,077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1,352,195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815,046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669,394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753,530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1,338,027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52,038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10,846,850</w:t>
            </w:r>
          </w:p>
        </w:tc>
        <w:tc>
          <w:tcPr>
            <w:tcW w:w="0" w:type="dxa"/>
            <w:vAlign w:val="bottom"/>
          </w:tcPr>
          <w:p>
            <w:pPr>
              <w:spacing w:after="0"/>
              <w:rPr>
                <w:sz w:val="1"/>
                <w:szCs w:val="1"/>
                <w:color w:val="auto"/>
              </w:rPr>
            </w:pPr>
          </w:p>
        </w:tc>
      </w:tr>
      <w:tr>
        <w:trPr>
          <w:trHeight w:val="172"/>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Watch</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8,759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4,088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10,025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11,138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4,728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43,059</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42,831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39,954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13,238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24,164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168,676</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16,315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27,512</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23,292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57,998</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67,047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63,506</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47,167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47,185</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47,536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297,245</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67,047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63,506</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47,167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47,185</w:t>
            </w: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47,536</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16,559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6,564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297,245</w:t>
            </w:r>
          </w:p>
        </w:tc>
        <w:tc>
          <w:tcPr>
            <w:tcW w:w="0" w:type="dxa"/>
            <w:vAlign w:val="bottom"/>
          </w:tcPr>
          <w:p>
            <w:pPr>
              <w:spacing w:after="0"/>
              <w:rPr>
                <w:sz w:val="1"/>
                <w:szCs w:val="1"/>
                <w:color w:val="auto"/>
              </w:rPr>
            </w:pPr>
          </w:p>
        </w:tc>
      </w:tr>
      <w:tr>
        <w:trPr>
          <w:trHeight w:val="172"/>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Substandard</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6,586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10,473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7,596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3,717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6,753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8,473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45,800</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8,940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5,034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31,211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95,238</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1,684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1,292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40,498</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20,472</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3,813</w:t>
            </w:r>
          </w:p>
        </w:tc>
        <w:tc>
          <w:tcPr>
            <w:tcW w:w="0" w:type="dxa"/>
            <w:vAlign w:val="bottom"/>
          </w:tcPr>
          <w:p>
            <w:pPr>
              <w:spacing w:after="0"/>
              <w:rPr>
                <w:sz w:val="1"/>
                <w:szCs w:val="1"/>
                <w:color w:val="auto"/>
              </w:rPr>
            </w:pPr>
          </w:p>
        </w:tc>
      </w:tr>
      <w:tr>
        <w:trPr>
          <w:trHeight w:val="186"/>
        </w:trPr>
        <w:tc>
          <w:tcPr>
            <w:tcW w:w="22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56,353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27,076</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11,081</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41,283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205,821</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1,369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16,131</w:t>
            </w:r>
          </w:p>
        </w:tc>
        <w:tc>
          <w:tcPr>
            <w:tcW w:w="0" w:type="dxa"/>
            <w:vAlign w:val="bottom"/>
          </w:tcPr>
          <w:p>
            <w:pPr>
              <w:spacing w:after="0"/>
              <w:rPr>
                <w:sz w:val="1"/>
                <w:szCs w:val="1"/>
                <w:color w:val="auto"/>
              </w:rPr>
            </w:pPr>
          </w:p>
        </w:tc>
      </w:tr>
      <w:tr>
        <w:trPr>
          <w:trHeight w:val="192"/>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3,658</w:t>
            </w:r>
          </w:p>
        </w:tc>
        <w:tc>
          <w:tcPr>
            <w:tcW w:w="0" w:type="dxa"/>
            <w:vAlign w:val="bottom"/>
          </w:tcPr>
          <w:p>
            <w:pPr>
              <w:spacing w:after="0"/>
              <w:rPr>
                <w:sz w:val="1"/>
                <w:szCs w:val="1"/>
                <w:color w:val="auto"/>
              </w:rPr>
            </w:pPr>
          </w:p>
        </w:tc>
      </w:tr>
      <w:tr>
        <w:trPr>
          <w:trHeight w:val="186"/>
        </w:trPr>
        <w:tc>
          <w:tcPr>
            <w:tcW w:w="220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58,508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29,316</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34,357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12,514</w:t>
            </w: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42,164</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19,215</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23,963</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6,683</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226,720</w:t>
            </w:r>
          </w:p>
        </w:tc>
        <w:tc>
          <w:tcPr>
            <w:tcW w:w="0" w:type="dxa"/>
            <w:vAlign w:val="bottom"/>
          </w:tcPr>
          <w:p>
            <w:pPr>
              <w:spacing w:after="0"/>
              <w:rPr>
                <w:sz w:val="1"/>
                <w:szCs w:val="1"/>
                <w:color w:val="auto"/>
              </w:rPr>
            </w:pPr>
          </w:p>
        </w:tc>
      </w:tr>
      <w:tr>
        <w:trPr>
          <w:trHeight w:val="199"/>
        </w:trPr>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4,219,098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1,865,899</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1,433,719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874,745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759,094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789,304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1,368,554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60,402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11,370,815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Troubled Debt Restructurings and Other Modifications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2021 and December 31, 2020, United had TDRs totaling $59.3 million and $61.6 million, respectively. As of March 31, 2021 and December 31, 2020, United had remaining deferrals related to the COVID-19 pandemic of approximately $48.1 million and $70.7 million, respectively, which generally represented payment deferrals for up to 90 days. To the extent that these deferrals qualified under either the CARES Act or interagency guidance, they were not considered new TDRs.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Loans modified under the terms of a TDR during the three months ended March 31, 2021 and 2020 are presented in the following table. In addition, the table presents loans modified under the terms of a TDR that defaulted (became 90 days or more delinquent or otherwise in default of modified terms) during the periods presented and were initially restructured within one year prior to default </w:t>
      </w:r>
      <w:r>
        <w:rPr>
          <w:rFonts w:ascii="Arial" w:cs="Arial" w:eastAsia="Arial" w:hAnsi="Arial"/>
          <w:sz w:val="18"/>
          <w:szCs w:val="18"/>
          <w:i w:val="1"/>
          <w:iCs w:val="1"/>
          <w:color w:val="auto"/>
        </w:rPr>
        <w:t>(dollars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New TDRs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TDRs Modified Within the Previous</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80" w:type="dxa"/>
            <w:vAlign w:val="bottom"/>
            <w:gridSpan w:val="11"/>
            <w:vMerge w:val="restart"/>
          </w:tcPr>
          <w:p>
            <w:pPr>
              <w:jc w:val="right"/>
              <w:ind w:right="533"/>
              <w:spacing w:after="0"/>
              <w:rPr>
                <w:sz w:val="20"/>
                <w:szCs w:val="20"/>
                <w:color w:val="auto"/>
              </w:rPr>
            </w:pPr>
            <w:r>
              <w:rPr>
                <w:rFonts w:ascii="Arial" w:cs="Arial" w:eastAsia="Arial" w:hAnsi="Arial"/>
                <w:sz w:val="13"/>
                <w:szCs w:val="13"/>
                <w:b w:val="1"/>
                <w:bCs w:val="1"/>
                <w:color w:val="auto"/>
              </w:rPr>
              <w:t>Post-Modification Amortized Cost by Type of Modification</w:t>
            </w:r>
          </w:p>
        </w:tc>
        <w:tc>
          <w:tcPr>
            <w:tcW w:w="100" w:type="dxa"/>
            <w:vAlign w:val="bottom"/>
            <w:vMerge w:val="restart"/>
          </w:tcPr>
          <w:p>
            <w:pPr>
              <w:spacing w:after="0"/>
              <w:rPr>
                <w:sz w:val="11"/>
                <w:szCs w:val="11"/>
                <w:color w:val="auto"/>
              </w:rPr>
            </w:pPr>
          </w:p>
        </w:tc>
        <w:tc>
          <w:tcPr>
            <w:tcW w:w="1920" w:type="dxa"/>
            <w:vAlign w:val="bottom"/>
            <w:gridSpan w:val="3"/>
          </w:tcPr>
          <w:p>
            <w:pPr>
              <w:jc w:val="center"/>
              <w:ind w:left="253"/>
              <w:spacing w:after="0" w:line="135" w:lineRule="exact"/>
              <w:rPr>
                <w:sz w:val="20"/>
                <w:szCs w:val="20"/>
                <w:color w:val="auto"/>
              </w:rPr>
            </w:pPr>
            <w:r>
              <w:rPr>
                <w:rFonts w:ascii="Arial" w:cs="Arial" w:eastAsia="Arial" w:hAnsi="Arial"/>
                <w:sz w:val="13"/>
                <w:szCs w:val="13"/>
                <w:b w:val="1"/>
                <w:bCs w:val="1"/>
                <w:color w:val="auto"/>
                <w:w w:val="95"/>
              </w:rPr>
              <w:t>Twelve Months That Have</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Borders>
              <w:bottom w:val="single" w:sz="8" w:color="auto"/>
            </w:tcBorders>
            <w:gridSpan w:val="11"/>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920" w:type="dxa"/>
            <w:vAlign w:val="bottom"/>
            <w:tcBorders>
              <w:bottom w:val="single" w:sz="8" w:color="auto"/>
            </w:tcBorders>
            <w:gridSpan w:val="3"/>
          </w:tcPr>
          <w:p>
            <w:pPr>
              <w:jc w:val="center"/>
              <w:ind w:left="253"/>
              <w:spacing w:after="0"/>
              <w:rPr>
                <w:sz w:val="20"/>
                <w:szCs w:val="20"/>
                <w:color w:val="auto"/>
              </w:rPr>
            </w:pPr>
            <w:r>
              <w:rPr>
                <w:rFonts w:ascii="Arial" w:cs="Arial" w:eastAsia="Arial" w:hAnsi="Arial"/>
                <w:sz w:val="13"/>
                <w:szCs w:val="13"/>
                <w:b w:val="1"/>
                <w:bCs w:val="1"/>
                <w:color w:val="auto"/>
                <w:w w:val="91"/>
              </w:rPr>
              <w:t>Subsequently Defaulted</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133"/>
              <w:spacing w:after="0"/>
              <w:rPr>
                <w:sz w:val="20"/>
                <w:szCs w:val="20"/>
                <w:color w:val="auto"/>
              </w:rPr>
            </w:pPr>
            <w:r>
              <w:rPr>
                <w:rFonts w:ascii="Arial" w:cs="Arial" w:eastAsia="Arial" w:hAnsi="Arial"/>
                <w:sz w:val="13"/>
                <w:szCs w:val="13"/>
                <w:b w:val="1"/>
                <w:bCs w:val="1"/>
                <w:color w:val="auto"/>
                <w:w w:val="95"/>
              </w:rPr>
              <w:t>Number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53"/>
              <w:spacing w:after="0"/>
              <w:rPr>
                <w:sz w:val="20"/>
                <w:szCs w:val="20"/>
                <w:color w:val="auto"/>
              </w:rPr>
            </w:pPr>
            <w:r>
              <w:rPr>
                <w:rFonts w:ascii="Arial" w:cs="Arial" w:eastAsia="Arial" w:hAnsi="Arial"/>
                <w:sz w:val="13"/>
                <w:szCs w:val="13"/>
                <w:b w:val="1"/>
                <w:bCs w:val="1"/>
                <w:color w:val="auto"/>
              </w:rPr>
              <w:t>Rate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Structure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3"/>
                <w:szCs w:val="13"/>
                <w:b w:val="1"/>
                <w:bCs w:val="1"/>
                <w:color w:val="auto"/>
              </w:rPr>
              <w:t>Other</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Total</w:t>
            </w:r>
          </w:p>
        </w:tc>
        <w:tc>
          <w:tcPr>
            <w:tcW w:w="100" w:type="dxa"/>
            <w:vAlign w:val="bottom"/>
            <w:vMerge w:val="restart"/>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Number of</w:t>
            </w:r>
          </w:p>
        </w:tc>
        <w:tc>
          <w:tcPr>
            <w:tcW w:w="1060" w:type="dxa"/>
            <w:vAlign w:val="bottom"/>
            <w:gridSpan w:val="2"/>
            <w:vMerge w:val="restart"/>
          </w:tcPr>
          <w:p>
            <w:pPr>
              <w:jc w:val="right"/>
              <w:ind w:right="13"/>
              <w:spacing w:after="0"/>
              <w:rPr>
                <w:sz w:val="20"/>
                <w:szCs w:val="20"/>
                <w:color w:val="auto"/>
              </w:rPr>
            </w:pPr>
            <w:r>
              <w:rPr>
                <w:rFonts w:ascii="Arial" w:cs="Arial" w:eastAsia="Arial" w:hAnsi="Arial"/>
                <w:sz w:val="13"/>
                <w:szCs w:val="13"/>
                <w:b w:val="1"/>
                <w:bCs w:val="1"/>
                <w:color w:val="auto"/>
                <w:w w:val="99"/>
              </w:rPr>
              <w:t>Amortized Cost</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ind w:left="173"/>
              <w:spacing w:after="0"/>
              <w:rPr>
                <w:sz w:val="20"/>
                <w:szCs w:val="20"/>
                <w:color w:val="auto"/>
              </w:rPr>
            </w:pPr>
            <w:r>
              <w:rPr>
                <w:rFonts w:ascii="Arial" w:cs="Arial" w:eastAsia="Arial" w:hAnsi="Arial"/>
                <w:sz w:val="13"/>
                <w:szCs w:val="13"/>
                <w:b w:val="1"/>
                <w:bCs w:val="1"/>
                <w:color w:val="auto"/>
                <w:w w:val="95"/>
              </w:rPr>
              <w:t>Contracts</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Reduction</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Contracts</w:t>
            </w:r>
          </w:p>
        </w:tc>
        <w:tc>
          <w:tcPr>
            <w:tcW w:w="12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Three Months Ended March 31, 2021</w:t>
            </w:r>
          </w:p>
        </w:tc>
        <w:tc>
          <w:tcPr>
            <w:tcW w:w="96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840" w:type="dxa"/>
            <w:vAlign w:val="bottom"/>
            <w:shd w:val="clear" w:color="auto" w:fill="CCEEFF"/>
          </w:tcPr>
          <w:p>
            <w:pPr>
              <w:jc w:val="right"/>
              <w:ind w:right="693"/>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93"/>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Arial" w:cs="Arial" w:eastAsia="Arial" w:hAnsi="Arial"/>
                <w:sz w:val="13"/>
                <w:szCs w:val="13"/>
                <w:color w:val="auto"/>
              </w:rPr>
              <w:t>Commercial construction</w:t>
            </w: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28</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2,136</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20"/>
              <w:spacing w:after="0"/>
              <w:rPr>
                <w:sz w:val="20"/>
                <w:szCs w:val="20"/>
                <w:color w:val="auto"/>
              </w:rPr>
            </w:pPr>
            <w:r>
              <w:rPr>
                <w:rFonts w:ascii="Arial" w:cs="Arial" w:eastAsia="Arial" w:hAnsi="Arial"/>
                <w:sz w:val="13"/>
                <w:szCs w:val="13"/>
                <w:color w:val="auto"/>
              </w:rPr>
              <w:t>Total commercial</w:t>
            </w:r>
          </w:p>
        </w:tc>
        <w:tc>
          <w:tcPr>
            <w:tcW w:w="200" w:type="dxa"/>
            <w:vAlign w:val="bottom"/>
          </w:tcPr>
          <w:p>
            <w:pPr>
              <w:jc w:val="right"/>
              <w:spacing w:after="0"/>
              <w:rPr>
                <w:sz w:val="20"/>
                <w:szCs w:val="20"/>
                <w:color w:val="auto"/>
              </w:rPr>
            </w:pPr>
            <w:r>
              <w:rPr>
                <w:rFonts w:ascii="Arial" w:cs="Arial" w:eastAsia="Arial" w:hAnsi="Arial"/>
                <w:sz w:val="13"/>
                <w:szCs w:val="13"/>
                <w:color w:val="auto"/>
                <w:w w:val="82"/>
              </w:rPr>
              <w:t>33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3,867</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Arial" w:cs="Arial" w:eastAsia="Arial" w:hAnsi="Arial"/>
                <w:sz w:val="13"/>
                <w:szCs w:val="13"/>
                <w:color w:val="auto"/>
              </w:rPr>
              <w:t>HELOC</w:t>
            </w: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Consumer</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Total loans</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34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3"/>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93"/>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 March 31, 2020</w:t>
            </w:r>
          </w:p>
        </w:tc>
        <w:tc>
          <w:tcPr>
            <w:tcW w:w="960" w:type="dxa"/>
            <w:vAlign w:val="bottom"/>
            <w:gridSpan w:val="2"/>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00" w:type="dxa"/>
            <w:vAlign w:val="bottom"/>
            <w:gridSpan w:val="3"/>
          </w:tcPr>
          <w:p>
            <w:pPr>
              <w:ind w:left="20"/>
              <w:spacing w:after="0"/>
              <w:rPr>
                <w:sz w:val="20"/>
                <w:szCs w:val="20"/>
                <w:color w:val="auto"/>
              </w:rPr>
            </w:pPr>
            <w:r>
              <w:rPr>
                <w:rFonts w:ascii="Arial" w:cs="Arial" w:eastAsia="Arial" w:hAnsi="Arial"/>
                <w:sz w:val="13"/>
                <w:szCs w:val="13"/>
                <w:color w:val="auto"/>
              </w:rPr>
              <w:t>Owner occupied commercial real estate</w:t>
            </w: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40" w:type="dxa"/>
            <w:vAlign w:val="bottom"/>
          </w:tcPr>
          <w:p>
            <w:pPr>
              <w:jc w:val="right"/>
              <w:ind w:right="693"/>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990</w:t>
            </w:r>
          </w:p>
        </w:tc>
        <w:tc>
          <w:tcPr>
            <w:tcW w:w="100" w:type="dxa"/>
            <w:vAlign w:val="bottom"/>
          </w:tcPr>
          <w:p>
            <w:pPr>
              <w:spacing w:after="0"/>
              <w:rPr>
                <w:sz w:val="15"/>
                <w:szCs w:val="15"/>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990</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93"/>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Arial" w:cs="Arial" w:eastAsia="Arial" w:hAnsi="Arial"/>
                <w:sz w:val="13"/>
                <w:szCs w:val="13"/>
                <w:color w:val="auto"/>
              </w:rPr>
              <w:t>Commercial &amp; industrial</w:t>
            </w: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Commercial construction</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Equipment financing</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Total commercial</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Arial" w:cs="Arial" w:eastAsia="Arial" w:hAnsi="Arial"/>
                <w:sz w:val="13"/>
                <w:szCs w:val="13"/>
                <w:color w:val="auto"/>
              </w:rPr>
              <w:t>Residential mortgage</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HELOC</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Arial" w:cs="Arial" w:eastAsia="Arial" w:hAnsi="Arial"/>
                <w:sz w:val="13"/>
                <w:szCs w:val="13"/>
                <w:color w:val="auto"/>
              </w:rPr>
              <w:t>Residential construction</w:t>
            </w: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9"/>
        </w:trPr>
        <w:tc>
          <w:tcPr>
            <w:tcW w:w="4000" w:type="dxa"/>
            <w:vAlign w:val="bottom"/>
            <w:gridSpan w:val="3"/>
          </w:tcPr>
          <w:p>
            <w:pPr>
              <w:ind w:left="220"/>
              <w:spacing w:after="0"/>
              <w:rPr>
                <w:sz w:val="20"/>
                <w:szCs w:val="20"/>
                <w:color w:val="auto"/>
              </w:rPr>
            </w:pPr>
            <w:r>
              <w:rPr>
                <w:rFonts w:ascii="Arial" w:cs="Arial" w:eastAsia="Arial" w:hAnsi="Arial"/>
                <w:sz w:val="13"/>
                <w:szCs w:val="13"/>
                <w:color w:val="auto"/>
              </w:rPr>
              <w:t>Total loans</w:t>
            </w:r>
          </w:p>
        </w:tc>
        <w:tc>
          <w:tcPr>
            <w:tcW w:w="200" w:type="dxa"/>
            <w:vAlign w:val="bottom"/>
          </w:tcPr>
          <w:p>
            <w:pPr>
              <w:jc w:val="right"/>
              <w:spacing w:after="0"/>
              <w:rPr>
                <w:sz w:val="20"/>
                <w:szCs w:val="20"/>
                <w:color w:val="auto"/>
              </w:rPr>
            </w:pPr>
            <w:r>
              <w:rPr>
                <w:rFonts w:ascii="Arial" w:cs="Arial" w:eastAsia="Arial" w:hAnsi="Arial"/>
                <w:sz w:val="13"/>
                <w:szCs w:val="13"/>
                <w:color w:val="auto"/>
                <w:w w:val="82"/>
              </w:rPr>
              <w:t>18</w:t>
            </w:r>
          </w:p>
        </w:tc>
        <w:tc>
          <w:tcPr>
            <w:tcW w:w="120" w:type="dxa"/>
            <w:vAlign w:val="bottom"/>
          </w:tcPr>
          <w:p>
            <w:pPr>
              <w:spacing w:after="0"/>
              <w:rPr>
                <w:sz w:val="16"/>
                <w:szCs w:val="16"/>
                <w:color w:val="auto"/>
              </w:rPr>
            </w:pPr>
          </w:p>
        </w:tc>
        <w:tc>
          <w:tcPr>
            <w:tcW w:w="840" w:type="dxa"/>
            <w:vAlign w:val="bottom"/>
          </w:tcPr>
          <w:p>
            <w:pPr>
              <w:jc w:val="right"/>
              <w:ind w:right="693"/>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779</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1,166</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1,945</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740" w:type="dxa"/>
            <w:vAlign w:val="bottom"/>
          </w:tcPr>
          <w:p>
            <w:pPr>
              <w:jc w:val="right"/>
              <w:ind w:right="593"/>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balance and activity in the ACL by portfolio segment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340" w:type="dxa"/>
            <w:vAlign w:val="bottom"/>
            <w:tcBorders>
              <w:top w:val="single" w:sz="8" w:color="auto"/>
              <w:bottom w:val="single" w:sz="8" w:color="auto"/>
            </w:tcBorders>
            <w:gridSpan w:val="8"/>
          </w:tcPr>
          <w:p>
            <w:pPr>
              <w:ind w:left="520"/>
              <w:spacing w:after="0"/>
              <w:rPr>
                <w:sz w:val="20"/>
                <w:szCs w:val="20"/>
                <w:color w:val="auto"/>
              </w:rPr>
            </w:pPr>
            <w:r>
              <w:rPr>
                <w:rFonts w:ascii="Arial" w:cs="Arial" w:eastAsia="Arial" w:hAnsi="Arial"/>
                <w:sz w:val="13"/>
                <w:szCs w:val="13"/>
                <w:b w:val="1"/>
                <w:bCs w:val="1"/>
                <w:color w:val="auto"/>
                <w:w w:val="93"/>
              </w:rPr>
              <w:t>Three Months Ended March 31,</w:t>
            </w:r>
          </w:p>
        </w:tc>
        <w:tc>
          <w:tcPr>
            <w:tcW w:w="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Beginning</w:t>
            </w:r>
          </w:p>
        </w:tc>
        <w:tc>
          <w:tcPr>
            <w:tcW w:w="8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Charge-</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(Release)</w:t>
            </w:r>
          </w:p>
        </w:tc>
        <w:tc>
          <w:tcPr>
            <w:tcW w:w="1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5"/>
              </w:rPr>
              <w:t>Dec. 31,</w:t>
            </w:r>
          </w:p>
        </w:tc>
        <w:tc>
          <w:tcPr>
            <w:tcW w:w="8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Adoption of</w:t>
            </w:r>
          </w:p>
        </w:tc>
        <w:tc>
          <w:tcPr>
            <w:tcW w:w="80" w:type="dxa"/>
            <w:vAlign w:val="bottom"/>
          </w:tcPr>
          <w:p>
            <w:pPr>
              <w:spacing w:after="0"/>
              <w:rPr>
                <w:sz w:val="10"/>
                <w:szCs w:val="10"/>
                <w:color w:val="auto"/>
              </w:rPr>
            </w:pPr>
          </w:p>
        </w:tc>
        <w:tc>
          <w:tcPr>
            <w:tcW w:w="620" w:type="dxa"/>
            <w:vAlign w:val="bottom"/>
            <w:gridSpan w:val="2"/>
          </w:tcPr>
          <w:p>
            <w:pPr>
              <w:jc w:val="center"/>
              <w:ind w:right="160"/>
              <w:spacing w:after="0" w:line="121" w:lineRule="exact"/>
              <w:rPr>
                <w:sz w:val="20"/>
                <w:szCs w:val="20"/>
                <w:color w:val="auto"/>
              </w:rPr>
            </w:pPr>
            <w:r>
              <w:rPr>
                <w:rFonts w:ascii="Arial" w:cs="Arial" w:eastAsia="Arial" w:hAnsi="Arial"/>
                <w:sz w:val="13"/>
                <w:szCs w:val="13"/>
                <w:b w:val="1"/>
                <w:bCs w:val="1"/>
                <w:color w:val="auto"/>
                <w:w w:val="83"/>
              </w:rPr>
              <w:t>Jan. 1,</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9"/>
              </w:rPr>
              <w:t>Charge-</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(Release)</w:t>
            </w:r>
          </w:p>
        </w:tc>
        <w:tc>
          <w:tcPr>
            <w:tcW w:w="100" w:type="dxa"/>
            <w:vAlign w:val="bottom"/>
          </w:tcPr>
          <w:p>
            <w:pPr>
              <w:spacing w:after="0"/>
              <w:rPr>
                <w:sz w:val="10"/>
                <w:szCs w:val="10"/>
                <w:color w:val="auto"/>
              </w:rPr>
            </w:pPr>
          </w:p>
        </w:tc>
        <w:tc>
          <w:tcPr>
            <w:tcW w:w="6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0"/>
              </w:rPr>
              <w:t>Recoveries</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3"/>
              </w:rPr>
              <w:t>Recoveries</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4"/>
              </w:rPr>
              <w:t>Balance</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Offs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4"/>
              </w:rPr>
              <w:t>Provision</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8"/>
              </w:rPr>
              <w:t>Balance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Balance</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CECL</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4"/>
              </w:rPr>
              <w:t>Balance</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Offs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4"/>
              </w:rPr>
              <w:t>Provision</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8"/>
              </w:rPr>
              <w:t>Balance</w:t>
            </w:r>
          </w:p>
        </w:tc>
        <w:tc>
          <w:tcPr>
            <w:tcW w:w="0" w:type="dxa"/>
            <w:vAlign w:val="bottom"/>
          </w:tcPr>
          <w:p>
            <w:pPr>
              <w:spacing w:after="0"/>
              <w:rPr>
                <w:sz w:val="1"/>
                <w:szCs w:val="1"/>
                <w:color w:val="auto"/>
              </w:rPr>
            </w:pPr>
          </w:p>
        </w:tc>
      </w:tr>
      <w:tr>
        <w:trPr>
          <w:trHeight w:val="107"/>
        </w:trPr>
        <w:tc>
          <w:tcPr>
            <w:tcW w:w="1560" w:type="dxa"/>
            <w:vAlign w:val="bottom"/>
            <w:shd w:val="clear" w:color="auto" w:fill="CCEEFF"/>
          </w:tcPr>
          <w:p>
            <w:pPr>
              <w:ind w:left="20"/>
              <w:spacing w:after="0" w:line="107" w:lineRule="exact"/>
              <w:rPr>
                <w:sz w:val="20"/>
                <w:szCs w:val="20"/>
                <w:color w:val="auto"/>
              </w:rPr>
            </w:pPr>
            <w:r>
              <w:rPr>
                <w:rFonts w:ascii="Arial" w:cs="Arial" w:eastAsia="Arial" w:hAnsi="Arial"/>
                <w:sz w:val="12"/>
                <w:szCs w:val="12"/>
                <w:color w:val="auto"/>
              </w:rPr>
              <w:t>Owner occupied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20,673</w:t>
            </w:r>
          </w:p>
        </w:tc>
        <w:tc>
          <w:tcPr>
            <w:tcW w:w="12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(1,631)</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19,282</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11,404</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(1,616)</w:t>
            </w:r>
          </w:p>
        </w:tc>
        <w:tc>
          <w:tcPr>
            <w:tcW w:w="12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9,788</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11,000</w:t>
            </w: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60" w:type="dxa"/>
            <w:vAlign w:val="bottom"/>
          </w:tcPr>
          <w:p>
            <w:pPr>
              <w:ind w:left="20"/>
              <w:spacing w:after="0" w:line="122" w:lineRule="exact"/>
              <w:rPr>
                <w:sz w:val="20"/>
                <w:szCs w:val="20"/>
                <w:color w:val="auto"/>
              </w:rPr>
            </w:pPr>
            <w:r>
              <w:rPr>
                <w:rFonts w:ascii="Arial" w:cs="Arial" w:eastAsia="Arial" w:hAnsi="Arial"/>
                <w:sz w:val="13"/>
                <w:szCs w:val="13"/>
                <w:color w:val="auto"/>
              </w:rPr>
              <w:t>Income producing</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41,737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(1,007)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(5,835)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34,911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12,306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12,276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(411)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4,578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16,584</w:t>
            </w:r>
          </w:p>
        </w:tc>
        <w:tc>
          <w:tcPr>
            <w:tcW w:w="0" w:type="dxa"/>
            <w:vAlign w:val="bottom"/>
          </w:tcPr>
          <w:p>
            <w:pPr>
              <w:spacing w:after="0"/>
              <w:rPr>
                <w:sz w:val="1"/>
                <w:szCs w:val="1"/>
                <w:color w:val="auto"/>
              </w:rPr>
            </w:pPr>
          </w:p>
        </w:tc>
      </w:tr>
      <w:tr>
        <w:trPr>
          <w:trHeight w:val="168"/>
        </w:trPr>
        <w:tc>
          <w:tcPr>
            <w:tcW w:w="1560" w:type="dxa"/>
            <w:vAlign w:val="bottom"/>
          </w:tcPr>
          <w:p>
            <w:pPr>
              <w:ind w:left="20"/>
              <w:spacing w:after="0"/>
              <w:rPr>
                <w:sz w:val="20"/>
                <w:szCs w:val="20"/>
                <w:color w:val="auto"/>
              </w:rPr>
            </w:pPr>
            <w:r>
              <w:rPr>
                <w:rFonts w:ascii="Arial" w:cs="Arial" w:eastAsia="Arial" w:hAnsi="Arial"/>
                <w:sz w:val="13"/>
                <w:szCs w:val="13"/>
                <w:color w:val="auto"/>
              </w:rPr>
              <w:t>commercial real estate</w:t>
            </w: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22,019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10,831</w:t>
            </w:r>
          </w:p>
        </w:tc>
        <w:tc>
          <w:tcPr>
            <w:tcW w:w="0" w:type="dxa"/>
            <w:vAlign w:val="bottom"/>
          </w:tcPr>
          <w:p>
            <w:pPr>
              <w:spacing w:after="0"/>
              <w:rPr>
                <w:sz w:val="1"/>
                <w:szCs w:val="1"/>
                <w:color w:val="auto"/>
              </w:rPr>
            </w:pPr>
          </w:p>
        </w:tc>
      </w:tr>
      <w:tr>
        <w:trPr>
          <w:trHeight w:val="168"/>
        </w:trPr>
        <w:tc>
          <w:tcPr>
            <w:tcW w:w="1560" w:type="dxa"/>
            <w:vAlign w:val="bottom"/>
          </w:tcPr>
          <w:p>
            <w:pPr>
              <w:ind w:left="20"/>
              <w:spacing w:after="0"/>
              <w:rPr>
                <w:sz w:val="20"/>
                <w:szCs w:val="20"/>
                <w:color w:val="auto"/>
              </w:rPr>
            </w:pPr>
            <w:r>
              <w:rPr>
                <w:rFonts w:ascii="Arial" w:cs="Arial" w:eastAsia="Arial" w:hAnsi="Arial"/>
                <w:sz w:val="13"/>
                <w:szCs w:val="13"/>
                <w:color w:val="auto"/>
              </w:rPr>
              <w:t>Commercial construction</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10,952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9,556</w:t>
            </w:r>
          </w:p>
        </w:tc>
        <w:tc>
          <w:tcPr>
            <w:tcW w:w="0" w:type="dxa"/>
            <w:vAlign w:val="bottom"/>
          </w:tcPr>
          <w:p>
            <w:pPr>
              <w:spacing w:after="0"/>
              <w:rPr>
                <w:sz w:val="1"/>
                <w:szCs w:val="1"/>
                <w:color w:val="auto"/>
              </w:rPr>
            </w:pPr>
          </w:p>
        </w:tc>
      </w:tr>
      <w:tr>
        <w:trPr>
          <w:trHeight w:val="183"/>
        </w:trPr>
        <w:tc>
          <w:tcPr>
            <w:tcW w:w="1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14,738</w:t>
            </w:r>
          </w:p>
        </w:tc>
        <w:tc>
          <w:tcPr>
            <w:tcW w:w="0" w:type="dxa"/>
            <w:vAlign w:val="bottom"/>
          </w:tcPr>
          <w:p>
            <w:pPr>
              <w:spacing w:after="0"/>
              <w:rPr>
                <w:sz w:val="1"/>
                <w:szCs w:val="1"/>
                <w:color w:val="auto"/>
              </w:rPr>
            </w:pPr>
          </w:p>
        </w:tc>
      </w:tr>
      <w:tr>
        <w:trPr>
          <w:trHeight w:val="168"/>
        </w:trPr>
        <w:tc>
          <w:tcPr>
            <w:tcW w:w="1560" w:type="dxa"/>
            <w:vAlign w:val="bottom"/>
          </w:tcPr>
          <w:p>
            <w:pPr>
              <w:ind w:left="20"/>
              <w:spacing w:after="0"/>
              <w:rPr>
                <w:sz w:val="20"/>
                <w:szCs w:val="20"/>
                <w:color w:val="auto"/>
              </w:rPr>
            </w:pPr>
            <w:r>
              <w:rPr>
                <w:rFonts w:ascii="Arial" w:cs="Arial" w:eastAsia="Arial" w:hAnsi="Arial"/>
                <w:sz w:val="13"/>
                <w:szCs w:val="13"/>
                <w:color w:val="auto"/>
              </w:rPr>
              <w:t>Residential mortgage</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15,341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14,580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11,063</w:t>
            </w:r>
          </w:p>
        </w:tc>
        <w:tc>
          <w:tcPr>
            <w:tcW w:w="0" w:type="dxa"/>
            <w:vAlign w:val="bottom"/>
          </w:tcPr>
          <w:p>
            <w:pPr>
              <w:spacing w:after="0"/>
              <w:rPr>
                <w:sz w:val="1"/>
                <w:szCs w:val="1"/>
                <w:color w:val="auto"/>
              </w:rPr>
            </w:pPr>
          </w:p>
        </w:tc>
      </w:tr>
      <w:tr>
        <w:trPr>
          <w:trHeight w:val="183"/>
        </w:trPr>
        <w:tc>
          <w:tcPr>
            <w:tcW w:w="1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HELOC</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6,887</w:t>
            </w:r>
          </w:p>
        </w:tc>
        <w:tc>
          <w:tcPr>
            <w:tcW w:w="0" w:type="dxa"/>
            <w:vAlign w:val="bottom"/>
          </w:tcPr>
          <w:p>
            <w:pPr>
              <w:spacing w:after="0"/>
              <w:rPr>
                <w:sz w:val="1"/>
                <w:szCs w:val="1"/>
                <w:color w:val="auto"/>
              </w:rPr>
            </w:pPr>
          </w:p>
        </w:tc>
      </w:tr>
      <w:tr>
        <w:trPr>
          <w:trHeight w:val="168"/>
        </w:trPr>
        <w:tc>
          <w:tcPr>
            <w:tcW w:w="1560" w:type="dxa"/>
            <w:vAlign w:val="bottom"/>
          </w:tcPr>
          <w:p>
            <w:pPr>
              <w:ind w:left="20"/>
              <w:spacing w:after="0"/>
              <w:rPr>
                <w:sz w:val="20"/>
                <w:szCs w:val="20"/>
                <w:color w:val="auto"/>
              </w:rPr>
            </w:pPr>
            <w:r>
              <w:rPr>
                <w:rFonts w:ascii="Arial" w:cs="Arial" w:eastAsia="Arial" w:hAnsi="Arial"/>
                <w:sz w:val="13"/>
                <w:szCs w:val="13"/>
                <w:color w:val="auto"/>
              </w:rPr>
              <w:t>Residential construction</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816</w:t>
            </w:r>
          </w:p>
        </w:tc>
        <w:tc>
          <w:tcPr>
            <w:tcW w:w="0" w:type="dxa"/>
            <w:vAlign w:val="bottom"/>
          </w:tcPr>
          <w:p>
            <w:pPr>
              <w:spacing w:after="0"/>
              <w:rPr>
                <w:sz w:val="1"/>
                <w:szCs w:val="1"/>
                <w:color w:val="auto"/>
              </w:rPr>
            </w:pPr>
          </w:p>
        </w:tc>
      </w:tr>
      <w:tr>
        <w:trPr>
          <w:trHeight w:val="183"/>
        </w:trPr>
        <w:tc>
          <w:tcPr>
            <w:tcW w:w="1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Consumer</w:t>
            </w: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61"/>
        </w:trPr>
        <w:tc>
          <w:tcPr>
            <w:tcW w:w="1560" w:type="dxa"/>
            <w:vAlign w:val="bottom"/>
          </w:tcPr>
          <w:p>
            <w:pPr>
              <w:ind w:left="140"/>
              <w:spacing w:after="0"/>
              <w:rPr>
                <w:sz w:val="20"/>
                <w:szCs w:val="20"/>
                <w:color w:val="auto"/>
              </w:rPr>
            </w:pPr>
            <w:r>
              <w:rPr>
                <w:rFonts w:ascii="Arial" w:cs="Arial" w:eastAsia="Arial" w:hAnsi="Arial"/>
                <w:sz w:val="13"/>
                <w:szCs w:val="13"/>
                <w:color w:val="auto"/>
              </w:rPr>
              <w:t>ACL - loans</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137,010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(6,833)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(10,449)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126,866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62,089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6,880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68,969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(10,805)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21,050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81,905</w:t>
            </w:r>
          </w:p>
        </w:tc>
        <w:tc>
          <w:tcPr>
            <w:tcW w:w="0" w:type="dxa"/>
            <w:vAlign w:val="bottom"/>
          </w:tcPr>
          <w:p>
            <w:pPr>
              <w:spacing w:after="0"/>
              <w:rPr>
                <w:sz w:val="1"/>
                <w:szCs w:val="1"/>
                <w:color w:val="auto"/>
              </w:rPr>
            </w:pPr>
          </w:p>
        </w:tc>
      </w:tr>
      <w:tr>
        <w:trPr>
          <w:trHeight w:val="129"/>
        </w:trPr>
        <w:tc>
          <w:tcPr>
            <w:tcW w:w="15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ACL - unfunded</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10,558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8,726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3,458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6,470</w:t>
            </w: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commitments</w:t>
            </w: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60" w:type="dxa"/>
            <w:vAlign w:val="bottom"/>
          </w:tcPr>
          <w:p>
            <w:pPr>
              <w:ind w:left="220"/>
              <w:spacing w:after="0"/>
              <w:rPr>
                <w:sz w:val="20"/>
                <w:szCs w:val="20"/>
                <w:color w:val="auto"/>
              </w:rPr>
            </w:pPr>
            <w:r>
              <w:rPr>
                <w:rFonts w:ascii="Arial" w:cs="Arial" w:eastAsia="Arial" w:hAnsi="Arial"/>
                <w:sz w:val="13"/>
                <w:szCs w:val="13"/>
                <w:color w:val="auto"/>
              </w:rPr>
              <w:t>Total ACL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147,568</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(6,833)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7,138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(12,281)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135,592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65,547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8,751</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74,298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(10,805)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2,691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22,191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88,375</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and December 31, 2020, United used a one-year reasonable and supportable forecast period. Expected credit losses were estimated using a regression model for each segment based on historical data from peer banks combined with a third party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vendor’s economic forecast to predict the change in credit losses. These results were then combined with a starting value that was based on United’s recent default experience, which was adjusted for select portfolios based on expectations of future performance. At March 31, 2021, the third party vendor’s forecast, which was representative of a baseline scenario, improved significantly from December 31, 2020, including the unemployment rate which has a significant impact on our models and led to the negative provision for loan losses in the first quarter. United adjusted the economic forecast by eliminating the initial spike in unemployment to account for the impact of government stimulus programs, which mitigated some of the negative impact on forecasted losses as the unemployment rate was rising and had the opposite effect as the unemployment rate was improving. In addition, United applied qualitative factors to income producing commercial real estate, owner occupied commercial real estate and commercial construction portfolios to compensate for elevated criticized and classified loan levels.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periods beyond the reasonable and supportable forecast period of one year, United reverted to historical credit loss information on a straight line basis over two years. For all collateral types excluding residential mortgage, United reverted to through-the-cycle average default rates using peer data from 2000 to 2017. For loans secured by residential mortgages, the peer data was adjusted for changes in lending practices designed to prevent the magnitude of losses observed during the mortgage crisis.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PPP loans were considered low risk assets due to the related 100% guarantee by the SBA and were therefore excluded from the calculation.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Derivatives and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57150</wp:posOffset>
            </wp:positionV>
            <wp:extent cx="4543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3"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20320</wp:posOffset>
            </wp:positionV>
            <wp:extent cx="22459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3"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20320</wp:posOffset>
            </wp:positionV>
            <wp:extent cx="1474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49" w:lineRule="exact"/>
        <w:rPr>
          <w:sz w:val="20"/>
          <w:szCs w:val="20"/>
          <w:color w:val="auto"/>
        </w:rPr>
      </w:pPr>
    </w:p>
    <w:p>
      <w:pPr>
        <w:ind w:left="4340"/>
        <w:spacing w:after="0"/>
        <w:tabs>
          <w:tab w:leader="none" w:pos="5480" w:val="left"/>
          <w:tab w:leader="none" w:pos="6680" w:val="left"/>
        </w:tabs>
        <w:rPr>
          <w:sz w:val="20"/>
          <w:szCs w:val="20"/>
          <w:color w:val="auto"/>
        </w:rPr>
      </w:pPr>
      <w:r>
        <w:rPr>
          <w:rFonts w:ascii="Arial" w:cs="Arial" w:eastAsia="Arial" w:hAnsi="Arial"/>
          <w:sz w:val="16"/>
          <w:szCs w:val="16"/>
          <w:b w:val="1"/>
          <w:bCs w:val="1"/>
          <w:color w:val="auto"/>
        </w:rPr>
        <w:t>Notional</w:t>
      </w:r>
      <w:r>
        <w:rPr>
          <w:sz w:val="20"/>
          <w:szCs w:val="20"/>
          <w:color w:val="auto"/>
        </w:rPr>
        <w:tab/>
      </w:r>
      <w:r>
        <w:rPr>
          <w:rFonts w:ascii="Arial" w:cs="Arial" w:eastAsia="Arial" w:hAnsi="Arial"/>
          <w:sz w:val="16"/>
          <w:szCs w:val="16"/>
          <w:b w:val="1"/>
          <w:bCs w:val="1"/>
          <w:color w:val="auto"/>
        </w:rPr>
        <w:t>Derivative</w:t>
      </w:r>
      <w:r>
        <w:rPr>
          <w:sz w:val="20"/>
          <w:szCs w:val="20"/>
          <w:color w:val="auto"/>
        </w:rPr>
        <w:tab/>
      </w:r>
      <w:r>
        <w:rPr>
          <w:rFonts w:ascii="Arial" w:cs="Arial" w:eastAsia="Arial" w:hAnsi="Arial"/>
          <w:sz w:val="15"/>
          <w:szCs w:val="15"/>
          <w:b w:val="1"/>
          <w:bCs w:val="1"/>
          <w:color w:val="auto"/>
        </w:rPr>
        <w:t>Derivative</w:t>
      </w:r>
    </w:p>
    <w:p>
      <w:pPr>
        <w:ind w:left="4360"/>
        <w:spacing w:after="0"/>
        <w:tabs>
          <w:tab w:leader="none" w:pos="5640" w:val="left"/>
          <w:tab w:leader="none" w:pos="6760" w:val="left"/>
        </w:tabs>
        <w:rPr>
          <w:sz w:val="20"/>
          <w:szCs w:val="20"/>
          <w:color w:val="auto"/>
        </w:rPr>
      </w:pP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Asset</w:t>
      </w:r>
      <w:r>
        <w:rPr>
          <w:sz w:val="20"/>
          <w:szCs w:val="20"/>
          <w:color w:val="auto"/>
        </w:rPr>
        <w:tab/>
      </w:r>
      <w:r>
        <w:rPr>
          <w:rFonts w:ascii="Arial" w:cs="Arial" w:eastAsia="Arial" w:hAnsi="Arial"/>
          <w:sz w:val="15"/>
          <w:szCs w:val="15"/>
          <w:b w:val="1"/>
          <w:bCs w:val="1"/>
          <w:color w:val="auto"/>
        </w:rPr>
        <w:t>Liability</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20320</wp:posOffset>
            </wp:positionV>
            <wp:extent cx="22288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20320</wp:posOffset>
            </wp:positionV>
            <wp:extent cx="1474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49" w:lineRule="exact"/>
        <w:rPr>
          <w:sz w:val="20"/>
          <w:szCs w:val="20"/>
          <w:color w:val="auto"/>
        </w:rPr>
      </w:pPr>
    </w:p>
    <w:p>
      <w:pPr>
        <w:spacing w:after="0"/>
        <w:tabs>
          <w:tab w:leader="none" w:pos="1120" w:val="left"/>
          <w:tab w:leader="none" w:pos="2320" w:val="left"/>
        </w:tabs>
        <w:rPr>
          <w:sz w:val="20"/>
          <w:szCs w:val="20"/>
          <w:color w:val="auto"/>
        </w:rPr>
      </w:pPr>
      <w:r>
        <w:rPr>
          <w:rFonts w:ascii="Arial" w:cs="Arial" w:eastAsia="Arial" w:hAnsi="Arial"/>
          <w:sz w:val="16"/>
          <w:szCs w:val="16"/>
          <w:b w:val="1"/>
          <w:bCs w:val="1"/>
          <w:color w:val="auto"/>
        </w:rPr>
        <w:t>Notional</w:t>
      </w:r>
      <w:r>
        <w:rPr>
          <w:sz w:val="20"/>
          <w:szCs w:val="20"/>
          <w:color w:val="auto"/>
        </w:rPr>
        <w:tab/>
      </w:r>
      <w:r>
        <w:rPr>
          <w:rFonts w:ascii="Arial" w:cs="Arial" w:eastAsia="Arial" w:hAnsi="Arial"/>
          <w:sz w:val="16"/>
          <w:szCs w:val="16"/>
          <w:b w:val="1"/>
          <w:bCs w:val="1"/>
          <w:color w:val="auto"/>
        </w:rPr>
        <w:t>Derivative</w:t>
      </w:r>
      <w:r>
        <w:rPr>
          <w:sz w:val="20"/>
          <w:szCs w:val="20"/>
          <w:color w:val="auto"/>
        </w:rPr>
        <w:tab/>
      </w:r>
      <w:r>
        <w:rPr>
          <w:rFonts w:ascii="Arial" w:cs="Arial" w:eastAsia="Arial" w:hAnsi="Arial"/>
          <w:sz w:val="15"/>
          <w:szCs w:val="15"/>
          <w:b w:val="1"/>
          <w:bCs w:val="1"/>
          <w:color w:val="auto"/>
        </w:rPr>
        <w:t>Derivative</w:t>
      </w:r>
    </w:p>
    <w:p>
      <w:pPr>
        <w:ind w:left="20"/>
        <w:spacing w:after="0"/>
        <w:tabs>
          <w:tab w:leader="none" w:pos="1280" w:val="left"/>
          <w:tab w:leader="none" w:pos="2380" w:val="left"/>
        </w:tabs>
        <w:rPr>
          <w:sz w:val="20"/>
          <w:szCs w:val="20"/>
          <w:color w:val="auto"/>
        </w:rPr>
      </w:pP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Asset</w:t>
      </w:r>
      <w:r>
        <w:rPr>
          <w:sz w:val="20"/>
          <w:szCs w:val="20"/>
          <w:color w:val="auto"/>
        </w:rPr>
        <w:tab/>
      </w:r>
      <w:r>
        <w:rPr>
          <w:rFonts w:ascii="Arial" w:cs="Arial" w:eastAsia="Arial" w:hAnsi="Arial"/>
          <w:sz w:val="15"/>
          <w:szCs w:val="15"/>
          <w:b w:val="1"/>
          <w:bCs w:val="1"/>
          <w:color w:val="auto"/>
        </w:rPr>
        <w:t>Liability</w:t>
      </w:r>
    </w:p>
    <w:p>
      <w:pPr>
        <w:spacing w:after="0" w:line="8" w:lineRule="exact"/>
        <w:rPr>
          <w:sz w:val="20"/>
          <w:szCs w:val="20"/>
          <w:color w:val="auto"/>
        </w:rPr>
      </w:pPr>
    </w:p>
    <w:p>
      <w:pPr>
        <w:sectPr>
          <w:pgSz w:w="11900" w:h="16838" w:orient="portrait"/>
          <w:cols w:equalWidth="0" w:num="2">
            <w:col w:w="7420" w:space="560"/>
            <w:col w:w="3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Cash flow hedge of subordinated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7,780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3,378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flow hedge of trust preferred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Fair value hedge of brokered time deposits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Customer derivative positions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1,349,716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43,777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1,329,271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72,508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Dealer offsets to customer derivative positions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1,329,271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24,614</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Risk participations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62,592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48,843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Mortgage banking - loan commitment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Mortgage banking - forward sales commitment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421,547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325,145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1,964</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Bifurcated embedded derivatives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Dealer offsets to bifurcated embedded derivatives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51,935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51,935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209"/>
        </w:trPr>
        <w:tc>
          <w:tcPr>
            <w:tcW w:w="40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3,522,100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56,117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33,455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3,389,643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83,288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199"/>
        </w:trPr>
        <w:tc>
          <w:tcPr>
            <w:tcW w:w="4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3,652,100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63,897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3,529,643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derivative instruments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Less: Amounts subject to master netting agreements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collateral received/pledged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(27,092)</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Net amount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54,561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83,352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w:t>
            </w:r>
          </w:p>
        </w:tc>
      </w:tr>
      <w:tr>
        <w:trPr>
          <w:trHeight w:val="20"/>
        </w:trPr>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United enters into cash flow hedges to mitigate exposure to the variability of future cash flows or other forecasted transactions. As of March 31, 2021 and December 31, 2020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$587,000 of losses from AOCI into earnings related to these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of Interest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is exposed to changes in the fair value of certain of its fixed-rate obligations due to changes in interest rates. United uses interest rate derivatives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and December 31, 2020, United had interest rate swaps that were designated as fair value hedges of fixed-rate brokered time deposits. The swaps involved the receipt of fixed-rate amounts from a counterparty in exchange for United making variable rate payments over the life of the agreements.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cases, the estate of deceased brokered certificate of deposit holders may put the certificate of deposit back to United at par upon the death of the holder. When these events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hedging relationships, all of which are interest rate contracts, on the consolidated statement of income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Interest expense</w:t>
            </w:r>
          </w:p>
        </w:tc>
        <w:tc>
          <w:tcPr>
            <w:tcW w:w="1000" w:type="dxa"/>
            <w:vAlign w:val="bottom"/>
            <w:tcBorders>
              <w:bottom w:val="single" w:sz="8" w:color="auto"/>
            </w:tcBorders>
          </w:tcPr>
          <w:p>
            <w:pPr>
              <w:spacing w:after="0"/>
              <w:rPr>
                <w:sz w:val="18"/>
                <w:szCs w:val="18"/>
                <w:color w:val="auto"/>
              </w:rPr>
            </w:pPr>
          </w:p>
        </w:tc>
      </w:tr>
      <w:tr>
        <w:trPr>
          <w:trHeight w:val="207"/>
        </w:trPr>
        <w:tc>
          <w:tcPr>
            <w:tcW w:w="80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19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expense presented in the consolidated statements of income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(17,941)</w:t>
            </w:r>
          </w:p>
        </w:tc>
      </w:tr>
      <w:tr>
        <w:trPr>
          <w:trHeight w:val="216"/>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recognized on fair value hedges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Net expense recognized on cash flow hedges </w:t>
            </w:r>
            <w:r>
              <w:rPr>
                <w:rFonts w:ascii="Arial" w:cs="Arial" w:eastAsia="Arial" w:hAnsi="Arial"/>
                <w:sz w:val="21"/>
                <w:szCs w:val="21"/>
                <w:color w:val="auto"/>
                <w:vertAlign w:val="superscript"/>
              </w:rPr>
              <w:t>(1)</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59" w:lineRule="exact"/>
        <w:rPr>
          <w:sz w:val="20"/>
          <w:szCs w:val="20"/>
          <w:color w:val="auto"/>
        </w:rPr>
      </w:pPr>
    </w:p>
    <w:p>
      <w:pPr>
        <w:ind w:left="200" w:hanging="163"/>
        <w:spacing w:after="0"/>
        <w:tabs>
          <w:tab w:leader="none" w:pos="20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Includes $116,000 of premium amortization expense excluded from the assessment of hedge effectiveness for the three months ended March 31, 2021.</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carrying amount of hedged fixed-rate brokered time deposits and cumulative fair value hedging adjustments included in the carrying amount of the hedged liability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5"/>
          </w:tcPr>
          <w:p>
            <w:pPr>
              <w:ind w:left="1500"/>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Pr>
          <w:p>
            <w:pPr>
              <w:spacing w:after="0"/>
              <w:rPr>
                <w:sz w:val="18"/>
                <w:szCs w:val="18"/>
                <w:color w:val="auto"/>
              </w:rPr>
            </w:pPr>
          </w:p>
        </w:tc>
        <w:tc>
          <w:tcPr>
            <w:tcW w:w="4180" w:type="dxa"/>
            <w:vAlign w:val="bottom"/>
            <w:gridSpan w:val="4"/>
          </w:tcPr>
          <w:p>
            <w:pPr>
              <w:ind w:left="138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58"/>
        </w:trPr>
        <w:tc>
          <w:tcPr>
            <w:tcW w:w="246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Balance Sheet Location</w:t>
            </w:r>
          </w:p>
        </w:tc>
        <w:tc>
          <w:tcPr>
            <w:tcW w:w="100" w:type="dxa"/>
            <w:vAlign w:val="bottom"/>
            <w:vMerge w:val="restart"/>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79"/>
              <w:spacing w:after="0" w:line="158" w:lineRule="exact"/>
              <w:rPr>
                <w:sz w:val="20"/>
                <w:szCs w:val="20"/>
                <w:color w:val="auto"/>
              </w:rPr>
            </w:pPr>
            <w:r>
              <w:rPr>
                <w:rFonts w:ascii="Arial" w:cs="Arial" w:eastAsia="Arial" w:hAnsi="Arial"/>
                <w:sz w:val="16"/>
                <w:szCs w:val="16"/>
                <w:b w:val="1"/>
                <w:bCs w:val="1"/>
                <w:color w:val="auto"/>
                <w:w w:val="88"/>
              </w:rPr>
              <w:t>Hedge Accounting Basis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89"/>
              </w:rPr>
              <w:t>Hedge Accounting Basis</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Adjustment</w:t>
            </w: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ind w:left="1400"/>
              <w:spacing w:after="0"/>
              <w:rPr>
                <w:sz w:val="20"/>
                <w:szCs w:val="20"/>
                <w:color w:val="auto"/>
              </w:rPr>
            </w:pPr>
            <w:r>
              <w:rPr>
                <w:rFonts w:ascii="Arial" w:cs="Arial" w:eastAsia="Arial" w:hAnsi="Arial"/>
                <w:sz w:val="16"/>
                <w:szCs w:val="16"/>
                <w:color w:val="auto"/>
                <w:w w:val="93"/>
              </w:rPr>
              <w:t>(20,216)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with changes in 90-day LIBOR and therefore provide an economic hedge.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other related fee income in the consolidated statements of income.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0"/>
              </w:rPr>
              <w:t>Amount of Gain (Loss) Recognized in Income</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18"/>
                <w:szCs w:val="18"/>
                <w:color w:val="auto"/>
              </w:rPr>
            </w:pPr>
          </w:p>
        </w:tc>
        <w:tc>
          <w:tcPr>
            <w:tcW w:w="22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Location of Gain (Loss)</w:t>
            </w: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6"/>
                <w:szCs w:val="16"/>
                <w:b w:val="1"/>
                <w:bCs w:val="1"/>
                <w:color w:val="auto"/>
                <w:w w:val="91"/>
              </w:rPr>
              <w:t>on Derivatives</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700" w:type="dxa"/>
            <w:vAlign w:val="bottom"/>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240" w:type="dxa"/>
            <w:vAlign w:val="bottom"/>
            <w:gridSpan w:val="4"/>
            <w:vMerge w:val="restart"/>
          </w:tcPr>
          <w:p>
            <w:pPr>
              <w:jc w:val="center"/>
              <w:ind w:right="19"/>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118"/>
        </w:trPr>
        <w:tc>
          <w:tcPr>
            <w:tcW w:w="5700" w:type="dxa"/>
            <w:vAlign w:val="bottom"/>
          </w:tcPr>
          <w:p>
            <w:pPr>
              <w:spacing w:after="0"/>
              <w:rPr>
                <w:sz w:val="10"/>
                <w:szCs w:val="10"/>
                <w:color w:val="auto"/>
              </w:rPr>
            </w:pPr>
          </w:p>
        </w:tc>
        <w:tc>
          <w:tcPr>
            <w:tcW w:w="220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Recognized in Income on</w:t>
            </w:r>
          </w:p>
        </w:tc>
        <w:tc>
          <w:tcPr>
            <w:tcW w:w="1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5700" w:type="dxa"/>
            <w:vAlign w:val="bottom"/>
          </w:tcPr>
          <w:p>
            <w:pPr>
              <w:spacing w:after="0"/>
              <w:rPr>
                <w:sz w:val="2"/>
                <w:szCs w:val="2"/>
                <w:color w:val="auto"/>
              </w:rPr>
            </w:pPr>
          </w:p>
        </w:tc>
        <w:tc>
          <w:tcPr>
            <w:tcW w:w="2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Arial" w:cs="Arial" w:eastAsia="Arial" w:hAnsi="Arial"/>
                <w:sz w:val="16"/>
                <w:szCs w:val="16"/>
                <w:color w:val="auto"/>
              </w:rPr>
              <w:t>Customer derivatives and dealer offsets</w:t>
            </w:r>
          </w:p>
        </w:tc>
        <w:tc>
          <w:tcPr>
            <w:tcW w:w="2200" w:type="dxa"/>
            <w:vAlign w:val="bottom"/>
            <w:gridSpan w:val="2"/>
          </w:tcPr>
          <w:p>
            <w:pPr>
              <w:spacing w:after="0"/>
              <w:rPr>
                <w:sz w:val="20"/>
                <w:szCs w:val="20"/>
                <w:color w:val="auto"/>
              </w:rPr>
            </w:pPr>
            <w:r>
              <w:rPr>
                <w:rFonts w:ascii="Arial" w:cs="Arial" w:eastAsia="Arial" w:hAnsi="Arial"/>
                <w:sz w:val="16"/>
                <w:szCs w:val="16"/>
                <w:color w:val="auto"/>
              </w:rPr>
              <w:t>Other noninterest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Bifurcated embedded derivatives and dealer offsets</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noninterest income</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Mortgage banking derivatives</w:t>
            </w:r>
          </w:p>
        </w:tc>
        <w:tc>
          <w:tcPr>
            <w:tcW w:w="2200" w:type="dxa"/>
            <w:vAlign w:val="bottom"/>
            <w:gridSpan w:val="2"/>
          </w:tcPr>
          <w:p>
            <w:pPr>
              <w:spacing w:after="0"/>
              <w:rPr>
                <w:sz w:val="20"/>
                <w:szCs w:val="20"/>
                <w:color w:val="auto"/>
              </w:rPr>
            </w:pPr>
            <w:r>
              <w:rPr>
                <w:rFonts w:ascii="Arial" w:cs="Arial" w:eastAsia="Arial" w:hAnsi="Arial"/>
                <w:sz w:val="16"/>
                <w:szCs w:val="16"/>
                <w:color w:val="auto"/>
              </w:rPr>
              <w:t>Mortgage loan revenue</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3,836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 participations</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noninterest income</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Assets and Liabilities Measured at Fair Value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or liability (other than quoted prices), such as interest rates, foreign exchange rates, and yield curves that are observable at commonly quoted intervals.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 which are typically based on an entity’s own assumptions, as there is little, if any, related market activity.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mortgage loan commitments, are categorized as Level 3 instruments as the fair value of these instruments is based on unobservable inputs for commitments that United does not expect to fund.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Residential and SBA/USDA Loans</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88"/>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127,569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127,569</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173,522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173,522</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294,394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294,394</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1,662,635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1,662,635</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Commercial MBS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735,058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735,058</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68,860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70,610</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680,492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680,492</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1,977</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164,979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164,979</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10,133</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6,226</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20,728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20,728</w:t>
            </w:r>
          </w:p>
        </w:tc>
      </w:tr>
      <w:tr>
        <w:trPr>
          <w:trHeight w:val="18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55,589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63,897</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138,623</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3,836,585</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37,012</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4,012,220</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8"/>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10,156</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28,849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33,455</w:t>
            </w:r>
          </w:p>
        </w:tc>
      </w:tr>
      <w:tr>
        <w:trPr>
          <w:trHeight w:val="211"/>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43,611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89"/>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128,072</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152,972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152,972</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274,472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274,472</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1,485,585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1,485,585</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Commercial MBS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549,131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549,131</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70,017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71,767</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562,722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562,722</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1,687</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105,433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105,433</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9,584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9,584</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6,462</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16,216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16,216</w:t>
            </w:r>
          </w:p>
        </w:tc>
      </w:tr>
      <w:tr>
        <w:trPr>
          <w:trHeight w:val="18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75,887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10,779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86,666</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138,430</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3,277,132</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35,207</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3,450,769</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8"/>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9,590</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26,595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29,003</w:t>
            </w:r>
          </w:p>
        </w:tc>
      </w:tr>
      <w:tr>
        <w:trPr>
          <w:trHeight w:val="211"/>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38,593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SBA/USDA</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Residential</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9"/>
              </w:rPr>
              <w:t>AFS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SBA/USDA</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Residential</w:t>
            </w:r>
          </w:p>
        </w:tc>
        <w:tc>
          <w:tcPr>
            <w:tcW w:w="120" w:type="dxa"/>
            <w:vAlign w:val="bottom"/>
          </w:tcPr>
          <w:p>
            <w:pPr>
              <w:spacing w:after="0"/>
              <w:rPr>
                <w:sz w:val="11"/>
                <w:szCs w:val="11"/>
                <w:color w:val="auto"/>
              </w:rPr>
            </w:pPr>
          </w:p>
        </w:tc>
        <w:tc>
          <w:tcPr>
            <w:tcW w:w="76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9"/>
              </w:rPr>
              <w:t>AFS</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Derivative</w:t>
            </w: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mortgage</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Derivative</w:t>
            </w: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mortgage</w:t>
            </w: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loan servicing</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servicing</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Debt</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loan servicing</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servicing</w:t>
            </w:r>
          </w:p>
        </w:tc>
        <w:tc>
          <w:tcPr>
            <w:tcW w:w="120" w:type="dxa"/>
            <w:vAlign w:val="bottom"/>
          </w:tcPr>
          <w:p>
            <w:pPr>
              <w:spacing w:after="0"/>
              <w:rPr>
                <w:sz w:val="11"/>
                <w:szCs w:val="11"/>
                <w:color w:val="auto"/>
              </w:rPr>
            </w:pPr>
          </w:p>
        </w:tc>
        <w:tc>
          <w:tcPr>
            <w:tcW w:w="76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89"/>
              </w:rPr>
              <w:t>Debt</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Assets</w:t>
            </w: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Securities</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Assets</w:t>
            </w: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15"/>
                <w:szCs w:val="15"/>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auto"/>
                <w:w w:val="90"/>
              </w:rPr>
              <w:t>Securities</w:t>
            </w:r>
          </w:p>
        </w:tc>
        <w:tc>
          <w:tcPr>
            <w:tcW w:w="0" w:type="dxa"/>
            <w:vAlign w:val="bottom"/>
          </w:tcPr>
          <w:p>
            <w:pPr>
              <w:spacing w:after="0"/>
              <w:rPr>
                <w:sz w:val="1"/>
                <w:szCs w:val="1"/>
                <w:color w:val="auto"/>
              </w:rPr>
            </w:pPr>
          </w:p>
        </w:tc>
      </w:tr>
      <w:tr>
        <w:trPr>
          <w:trHeight w:val="169"/>
        </w:trPr>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560" w:type="dxa"/>
            <w:vAlign w:val="bottom"/>
            <w:shd w:val="clear" w:color="auto" w:fill="CCEEFF"/>
          </w:tcPr>
          <w:p>
            <w:pPr>
              <w:ind w:left="140"/>
              <w:spacing w:after="0" w:line="145" w:lineRule="exact"/>
              <w:rPr>
                <w:sz w:val="20"/>
                <w:szCs w:val="20"/>
                <w:color w:val="auto"/>
              </w:rPr>
            </w:pPr>
            <w:r>
              <w:rPr>
                <w:rFonts w:ascii="Arial" w:cs="Arial" w:eastAsia="Arial" w:hAnsi="Arial"/>
                <w:sz w:val="13"/>
                <w:szCs w:val="13"/>
                <w:color w:val="auto"/>
              </w:rPr>
              <w:t>Balance at beginning of</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10,779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2,408</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6,462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16,216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7,238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8,559</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6,794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13,565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86"/>
        </w:trPr>
        <w:tc>
          <w:tcPr>
            <w:tcW w:w="1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period</w:t>
            </w: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60" w:type="dxa"/>
            <w:vAlign w:val="bottom"/>
          </w:tcPr>
          <w:p>
            <w:pPr>
              <w:ind w:left="140"/>
              <w:spacing w:after="0"/>
              <w:rPr>
                <w:sz w:val="20"/>
                <w:szCs w:val="20"/>
                <w:color w:val="auto"/>
              </w:rPr>
            </w:pPr>
            <w:r>
              <w:rPr>
                <w:rFonts w:ascii="Arial" w:cs="Arial" w:eastAsia="Arial" w:hAnsi="Arial"/>
                <w:sz w:val="13"/>
                <w:szCs w:val="13"/>
                <w:color w:val="auto"/>
              </w:rPr>
              <w:t>Additions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settlements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8"/>
        </w:trPr>
        <w:tc>
          <w:tcPr>
            <w:tcW w:w="1560" w:type="dxa"/>
            <w:vAlign w:val="bottom"/>
          </w:tcPr>
          <w:p>
            <w:pPr>
              <w:ind w:left="140"/>
              <w:spacing w:after="0" w:line="138" w:lineRule="exact"/>
              <w:rPr>
                <w:sz w:val="20"/>
                <w:szCs w:val="20"/>
                <w:color w:val="auto"/>
              </w:rPr>
            </w:pPr>
            <w:r>
              <w:rPr>
                <w:rFonts w:ascii="Arial" w:cs="Arial" w:eastAsia="Arial" w:hAnsi="Arial"/>
                <w:sz w:val="13"/>
                <w:szCs w:val="13"/>
                <w:color w:val="auto"/>
              </w:rPr>
              <w:t>Amounts included in</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9"/>
        </w:trPr>
        <w:tc>
          <w:tcPr>
            <w:tcW w:w="1560" w:type="dxa"/>
            <w:vAlign w:val="bottom"/>
          </w:tcPr>
          <w:p>
            <w:pPr>
              <w:ind w:left="140"/>
              <w:spacing w:after="0"/>
              <w:rPr>
                <w:sz w:val="20"/>
                <w:szCs w:val="20"/>
                <w:color w:val="auto"/>
              </w:rPr>
            </w:pPr>
            <w:r>
              <w:rPr>
                <w:rFonts w:ascii="Arial" w:cs="Arial" w:eastAsia="Arial" w:hAnsi="Arial"/>
                <w:sz w:val="13"/>
                <w:szCs w:val="13"/>
                <w:color w:val="auto"/>
              </w:rPr>
              <w:t>OCI</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60" w:type="dxa"/>
            <w:vAlign w:val="bottom"/>
            <w:shd w:val="clear" w:color="auto" w:fill="CCEEFF"/>
          </w:tcPr>
          <w:p>
            <w:pPr>
              <w:ind w:left="140"/>
              <w:spacing w:after="0" w:line="145" w:lineRule="exact"/>
              <w:rPr>
                <w:sz w:val="20"/>
                <w:szCs w:val="20"/>
                <w:color w:val="auto"/>
              </w:rPr>
            </w:pPr>
            <w:r>
              <w:rPr>
                <w:rFonts w:ascii="Arial" w:cs="Arial" w:eastAsia="Arial" w:hAnsi="Arial"/>
                <w:sz w:val="13"/>
                <w:szCs w:val="13"/>
                <w:color w:val="auto"/>
              </w:rPr>
              <w:t>Amounts included in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earnings - fair value</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(2,646)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2,198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2,440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(4,128)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8,308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4,606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6,226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20,728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1,750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7,361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2,717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6,290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11,059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quantitative information about significant Level 3 inputs for fair value on a recurring basis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 Assets and Liabilities</w:t>
            </w:r>
          </w:p>
        </w:tc>
        <w:tc>
          <w:tcPr>
            <w:tcW w:w="1320" w:type="dxa"/>
            <w:vAlign w:val="bottom"/>
            <w:gridSpan w:val="2"/>
          </w:tcPr>
          <w:p>
            <w:pPr>
              <w:ind w:left="280"/>
              <w:spacing w:after="0"/>
              <w:rPr>
                <w:sz w:val="20"/>
                <w:szCs w:val="20"/>
                <w:color w:val="auto"/>
              </w:rPr>
            </w:pPr>
            <w:r>
              <w:rPr>
                <w:rFonts w:ascii="Arial" w:cs="Arial" w:eastAsia="Arial" w:hAnsi="Arial"/>
                <w:sz w:val="16"/>
                <w:szCs w:val="16"/>
                <w:b w:val="1"/>
                <w:bCs w:val="1"/>
                <w:color w:val="auto"/>
              </w:rPr>
              <w:t>Valuation</w:t>
            </w: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Significant Unobservable</w:t>
            </w:r>
          </w:p>
        </w:tc>
        <w:tc>
          <w:tcPr>
            <w:tcW w:w="2740" w:type="dxa"/>
            <w:vAlign w:val="bottom"/>
            <w:gridSpan w:val="4"/>
            <w:vMerge w:val="restart"/>
          </w:tcPr>
          <w:p>
            <w:pPr>
              <w:ind w:left="780"/>
              <w:spacing w:after="0"/>
              <w:rPr>
                <w:sz w:val="20"/>
                <w:szCs w:val="20"/>
                <w:color w:val="auto"/>
              </w:rPr>
            </w:pPr>
            <w:r>
              <w:rPr>
                <w:rFonts w:ascii="Arial" w:cs="Arial" w:eastAsia="Arial" w:hAnsi="Arial"/>
                <w:sz w:val="16"/>
                <w:szCs w:val="16"/>
                <w:b w:val="1"/>
                <w:bCs w:val="1"/>
                <w:color w:val="auto"/>
              </w:rPr>
              <w:t>March 31, 2021</w:t>
            </w:r>
          </w:p>
        </w:tc>
        <w:tc>
          <w:tcPr>
            <w:tcW w:w="2640" w:type="dxa"/>
            <w:vAlign w:val="bottom"/>
            <w:gridSpan w:val="3"/>
            <w:vMerge w:val="restart"/>
          </w:tcPr>
          <w:p>
            <w:pPr>
              <w:jc w:val="right"/>
              <w:ind w:right="579"/>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13"/>
        </w:trPr>
        <w:tc>
          <w:tcPr>
            <w:tcW w:w="2420" w:type="dxa"/>
            <w:vAlign w:val="bottom"/>
            <w:gridSpan w:val="2"/>
            <w:vMerge w:val="continue"/>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b w:val="1"/>
                <w:bCs w:val="1"/>
                <w:color w:val="auto"/>
              </w:rPr>
              <w:t>Technique</w:t>
            </w:r>
          </w:p>
        </w:tc>
        <w:tc>
          <w:tcPr>
            <w:tcW w:w="2120" w:type="dxa"/>
            <w:vAlign w:val="bottom"/>
            <w:gridSpan w:val="2"/>
          </w:tcPr>
          <w:p>
            <w:pPr>
              <w:ind w:left="780"/>
              <w:spacing w:after="0"/>
              <w:rPr>
                <w:sz w:val="20"/>
                <w:szCs w:val="20"/>
                <w:color w:val="auto"/>
              </w:rPr>
            </w:pPr>
            <w:r>
              <w:rPr>
                <w:rFonts w:ascii="Arial" w:cs="Arial" w:eastAsia="Arial" w:hAnsi="Arial"/>
                <w:sz w:val="16"/>
                <w:szCs w:val="16"/>
                <w:b w:val="1"/>
                <w:bCs w:val="1"/>
                <w:color w:val="auto"/>
              </w:rPr>
              <w:t>Inputs</w:t>
            </w:r>
          </w:p>
        </w:tc>
        <w:tc>
          <w:tcPr>
            <w:tcW w:w="2740" w:type="dxa"/>
            <w:vAlign w:val="bottom"/>
            <w:gridSpan w:val="4"/>
            <w:vMerge w:val="continue"/>
          </w:tcPr>
          <w:p>
            <w:pPr>
              <w:spacing w:after="0"/>
              <w:rPr>
                <w:sz w:val="18"/>
                <w:szCs w:val="18"/>
                <w:color w:val="auto"/>
              </w:rPr>
            </w:pPr>
          </w:p>
        </w:tc>
        <w:tc>
          <w:tcPr>
            <w:tcW w:w="26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6"/>
                <w:szCs w:val="16"/>
                <w:b w:val="1"/>
                <w:bCs w:val="1"/>
                <w:color w:val="auto"/>
              </w:rPr>
              <w:t>Range</w:t>
            </w:r>
          </w:p>
        </w:tc>
        <w:tc>
          <w:tcPr>
            <w:tcW w:w="100" w:type="dxa"/>
            <w:vAlign w:val="bottom"/>
            <w:tcBorders>
              <w:top w:val="single" w:sz="8" w:color="auto"/>
            </w:tcBorders>
            <w:vMerge w:val="restart"/>
          </w:tcPr>
          <w:p>
            <w:pPr>
              <w:spacing w:after="0"/>
              <w:rPr>
                <w:sz w:val="13"/>
                <w:szCs w:val="13"/>
                <w:color w:val="auto"/>
              </w:rPr>
            </w:pPr>
          </w:p>
        </w:tc>
        <w:tc>
          <w:tcPr>
            <w:tcW w:w="1120" w:type="dxa"/>
            <w:vAlign w:val="bottom"/>
            <w:tcBorders>
              <w:top w:val="single" w:sz="8" w:color="auto"/>
            </w:tcBorders>
          </w:tcPr>
          <w:p>
            <w:pPr>
              <w:jc w:val="right"/>
              <w:ind w:right="139"/>
              <w:spacing w:after="0" w:line="158" w:lineRule="exact"/>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3"/>
                <w:szCs w:val="13"/>
                <w:color w:val="auto"/>
              </w:rPr>
            </w:pPr>
          </w:p>
        </w:tc>
        <w:tc>
          <w:tcPr>
            <w:tcW w:w="142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6"/>
                <w:szCs w:val="16"/>
                <w:b w:val="1"/>
                <w:bCs w:val="1"/>
                <w:color w:val="auto"/>
              </w:rPr>
              <w:t>Range</w:t>
            </w:r>
          </w:p>
        </w:tc>
        <w:tc>
          <w:tcPr>
            <w:tcW w:w="100" w:type="dxa"/>
            <w:vAlign w:val="bottom"/>
            <w:tcBorders>
              <w:top w:val="single" w:sz="8" w:color="auto"/>
            </w:tcBorders>
            <w:vMerge w:val="restart"/>
          </w:tcPr>
          <w:p>
            <w:pPr>
              <w:spacing w:after="0"/>
              <w:rPr>
                <w:sz w:val="13"/>
                <w:szCs w:val="13"/>
                <w:color w:val="auto"/>
              </w:rPr>
            </w:pPr>
          </w:p>
        </w:tc>
        <w:tc>
          <w:tcPr>
            <w:tcW w:w="1120" w:type="dxa"/>
            <w:vAlign w:val="bottom"/>
            <w:tcBorders>
              <w:top w:val="single" w:sz="8" w:color="auto"/>
            </w:tcBorders>
          </w:tcPr>
          <w:p>
            <w:pPr>
              <w:jc w:val="right"/>
              <w:ind w:right="159"/>
              <w:spacing w:after="0" w:line="158"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Average</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6"/>
                <w:szCs w:val="16"/>
                <w:color w:val="auto"/>
              </w:rPr>
              <w:t>SBA/USDA loan servicing rights</w:t>
            </w:r>
          </w:p>
        </w:tc>
        <w:tc>
          <w:tcPr>
            <w:tcW w:w="132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Discounted cash</w:t>
            </w:r>
          </w:p>
        </w:tc>
        <w:tc>
          <w:tcPr>
            <w:tcW w:w="21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6"/>
                <w:szCs w:val="16"/>
                <w:color w:val="auto"/>
              </w:rPr>
              <w:t>Discount rate</w:t>
            </w:r>
          </w:p>
        </w:tc>
        <w:tc>
          <w:tcPr>
            <w:tcW w:w="1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 - 48.1%</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 - 44.1%</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flow</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Prepayment rate</w:t>
            </w:r>
          </w:p>
        </w:tc>
        <w:tc>
          <w:tcPr>
            <w:tcW w:w="1400" w:type="dxa"/>
            <w:vAlign w:val="bottom"/>
          </w:tcPr>
          <w:p>
            <w:pPr>
              <w:jc w:val="right"/>
              <w:spacing w:after="0"/>
              <w:rPr>
                <w:sz w:val="20"/>
                <w:szCs w:val="20"/>
                <w:color w:val="auto"/>
              </w:rPr>
            </w:pPr>
            <w:r>
              <w:rPr>
                <w:rFonts w:ascii="Arial" w:cs="Arial" w:eastAsia="Arial" w:hAnsi="Arial"/>
                <w:sz w:val="16"/>
                <w:szCs w:val="16"/>
                <w:color w:val="auto"/>
              </w:rPr>
              <w:t>0.5 - 33.7</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2.7 - 33.6</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Residential mortgage servicing</w:t>
            </w:r>
          </w:p>
        </w:tc>
        <w:tc>
          <w:tcPr>
            <w:tcW w:w="13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Discounted cash</w:t>
            </w:r>
          </w:p>
        </w:tc>
        <w:tc>
          <w:tcPr>
            <w:tcW w:w="21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10.0 - 11.0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10.0 - 11.0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rights</w:t>
            </w:r>
          </w:p>
        </w:tc>
        <w:tc>
          <w:tcPr>
            <w:tcW w:w="1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flow</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Prepayment rate</w:t>
            </w:r>
          </w:p>
        </w:tc>
        <w:tc>
          <w:tcPr>
            <w:tcW w:w="1400" w:type="dxa"/>
            <w:vAlign w:val="bottom"/>
          </w:tcPr>
          <w:p>
            <w:pPr>
              <w:jc w:val="right"/>
              <w:spacing w:after="0"/>
              <w:rPr>
                <w:sz w:val="20"/>
                <w:szCs w:val="20"/>
                <w:color w:val="auto"/>
              </w:rPr>
            </w:pPr>
            <w:r>
              <w:rPr>
                <w:rFonts w:ascii="Arial" w:cs="Arial" w:eastAsia="Arial" w:hAnsi="Arial"/>
                <w:sz w:val="16"/>
                <w:szCs w:val="16"/>
                <w:color w:val="auto"/>
              </w:rPr>
              <w:t>7.5 - 17.8</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8.7 - 19.5</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Corporate bonds</w:t>
            </w:r>
          </w:p>
        </w:tc>
        <w:tc>
          <w:tcPr>
            <w:tcW w:w="13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Indicative bid</w:t>
            </w:r>
          </w:p>
        </w:tc>
        <w:tc>
          <w:tcPr>
            <w:tcW w:w="21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Multiple factors, including</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provided by a</w:t>
            </w: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but not limited to, current</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broker</w:t>
            </w: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operations, financial</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condition, cash flows, and</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similar financing transactions</w:t>
            </w:r>
          </w:p>
        </w:tc>
        <w:tc>
          <w:tcPr>
            <w:tcW w:w="1500" w:type="dxa"/>
            <w:vAlign w:val="bottom"/>
            <w:gridSpan w:val="2"/>
            <w:vMerge w:val="restart"/>
            <w:shd w:val="clear" w:color="auto" w:fill="CCEEFF"/>
          </w:tcPr>
          <w:p>
            <w:pPr>
              <w:ind w:left="1100"/>
              <w:spacing w:after="0"/>
              <w:rPr>
                <w:sz w:val="20"/>
                <w:szCs w:val="20"/>
                <w:color w:val="auto"/>
              </w:rPr>
            </w:pPr>
            <w:r>
              <w:rPr>
                <w:rFonts w:ascii="Arial" w:cs="Arial" w:eastAsia="Arial" w:hAnsi="Arial"/>
                <w:sz w:val="16"/>
                <w:szCs w:val="16"/>
                <w:color w:val="auto"/>
              </w:rPr>
              <w:t>N/A</w:t>
            </w:r>
          </w:p>
        </w:tc>
        <w:tc>
          <w:tcPr>
            <w:tcW w:w="124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N/A</w:t>
            </w:r>
          </w:p>
        </w:tc>
        <w:tc>
          <w:tcPr>
            <w:tcW w:w="1520" w:type="dxa"/>
            <w:vAlign w:val="bottom"/>
            <w:gridSpan w:val="2"/>
            <w:vMerge w:val="restart"/>
            <w:shd w:val="clear" w:color="auto" w:fill="CCEEFF"/>
          </w:tcPr>
          <w:p>
            <w:pPr>
              <w:ind w:left="1120"/>
              <w:spacing w:after="0"/>
              <w:rPr>
                <w:sz w:val="20"/>
                <w:szCs w:val="20"/>
                <w:color w:val="auto"/>
              </w:rPr>
            </w:pPr>
            <w:r>
              <w:rPr>
                <w:rFonts w:ascii="Arial" w:cs="Arial" w:eastAsia="Arial" w:hAnsi="Arial"/>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executed in the market</w:t>
            </w:r>
          </w:p>
        </w:tc>
        <w:tc>
          <w:tcPr>
            <w:tcW w:w="15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Derivative assets - mortgage</w:t>
            </w:r>
          </w:p>
        </w:tc>
        <w:tc>
          <w:tcPr>
            <w:tcW w:w="1320" w:type="dxa"/>
            <w:vAlign w:val="bottom"/>
            <w:gridSpan w:val="2"/>
          </w:tcPr>
          <w:p>
            <w:pPr>
              <w:spacing w:after="0"/>
              <w:rPr>
                <w:sz w:val="20"/>
                <w:szCs w:val="20"/>
                <w:color w:val="auto"/>
              </w:rPr>
            </w:pPr>
            <w:r>
              <w:rPr>
                <w:rFonts w:ascii="Arial" w:cs="Arial" w:eastAsia="Arial" w:hAnsi="Arial"/>
                <w:sz w:val="16"/>
                <w:szCs w:val="16"/>
                <w:color w:val="auto"/>
              </w:rPr>
              <w:t>Internal model</w:t>
            </w: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Pull through rate</w:t>
            </w:r>
          </w:p>
        </w:tc>
        <w:tc>
          <w:tcPr>
            <w:tcW w:w="1400" w:type="dxa"/>
            <w:vAlign w:val="bottom"/>
          </w:tcPr>
          <w:p>
            <w:pPr>
              <w:jc w:val="right"/>
              <w:spacing w:after="0"/>
              <w:rPr>
                <w:sz w:val="20"/>
                <w:szCs w:val="20"/>
                <w:color w:val="auto"/>
              </w:rPr>
            </w:pPr>
            <w:r>
              <w:rPr>
                <w:rFonts w:ascii="Arial" w:cs="Arial" w:eastAsia="Arial" w:hAnsi="Arial"/>
                <w:sz w:val="16"/>
                <w:szCs w:val="16"/>
                <w:color w:val="auto"/>
              </w:rPr>
              <w:t>46.1 - 98.9</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65.6 - 100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Derivative assets and liabilities -</w:t>
            </w:r>
          </w:p>
        </w:tc>
        <w:tc>
          <w:tcPr>
            <w:tcW w:w="13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Dealer priced</w:t>
            </w:r>
          </w:p>
        </w:tc>
        <w:tc>
          <w:tcPr>
            <w:tcW w:w="21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Dealer priced</w:t>
            </w:r>
          </w:p>
        </w:tc>
        <w:tc>
          <w:tcPr>
            <w:tcW w:w="1500" w:type="dxa"/>
            <w:vAlign w:val="bottom"/>
            <w:gridSpan w:val="2"/>
            <w:vMerge w:val="restart"/>
            <w:shd w:val="clear" w:color="auto" w:fill="CCEEFF"/>
          </w:tcPr>
          <w:p>
            <w:pPr>
              <w:ind w:left="1100"/>
              <w:spacing w:after="0"/>
              <w:rPr>
                <w:sz w:val="20"/>
                <w:szCs w:val="20"/>
                <w:color w:val="auto"/>
              </w:rPr>
            </w:pPr>
            <w:r>
              <w:rPr>
                <w:rFonts w:ascii="Arial" w:cs="Arial" w:eastAsia="Arial" w:hAnsi="Arial"/>
                <w:sz w:val="16"/>
                <w:szCs w:val="16"/>
                <w:color w:val="auto"/>
              </w:rPr>
              <w:t>N/A</w:t>
            </w:r>
          </w:p>
        </w:tc>
        <w:tc>
          <w:tcPr>
            <w:tcW w:w="124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N/A</w:t>
            </w:r>
          </w:p>
        </w:tc>
        <w:tc>
          <w:tcPr>
            <w:tcW w:w="1520" w:type="dxa"/>
            <w:vAlign w:val="bottom"/>
            <w:gridSpan w:val="2"/>
            <w:vMerge w:val="restart"/>
            <w:shd w:val="clear" w:color="auto" w:fill="CCEEFF"/>
          </w:tcPr>
          <w:p>
            <w:pPr>
              <w:ind w:left="1120"/>
              <w:spacing w:after="0"/>
              <w:rPr>
                <w:sz w:val="20"/>
                <w:szCs w:val="20"/>
                <w:color w:val="auto"/>
              </w:rPr>
            </w:pPr>
            <w:r>
              <w:rPr>
                <w:rFonts w:ascii="Arial" w:cs="Arial" w:eastAsia="Arial" w:hAnsi="Arial"/>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United records mortgage loans held for sale at fair value under the fair value option. Interest income on these loans is calculated based on the note rate of the loan and is recorded in interest revenue. The following tables present the fair value and outstanding principal balance of these loans, as well as the gain or loss recognized resulting from the change in fair value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Mortgage Loans Held for Sale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CCEEFF"/>
            </w:tcBorders>
          </w:tcPr>
          <w:p>
            <w:pPr>
              <w:spacing w:after="0"/>
              <w:rPr>
                <w:sz w:val="18"/>
                <w:szCs w:val="18"/>
                <w:color w:val="auto"/>
              </w:rPr>
            </w:pPr>
          </w:p>
        </w:tc>
        <w:tc>
          <w:tcPr>
            <w:tcW w:w="148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March 31, 2021</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w w:val="91"/>
              </w:rPr>
              <w:t>December 31, 2020</w:t>
            </w:r>
          </w:p>
        </w:tc>
        <w:tc>
          <w:tcPr>
            <w:tcW w:w="17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Outstanding principal balance</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161,534</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99,746</w:t>
            </w:r>
          </w:p>
        </w:tc>
        <w:tc>
          <w:tcPr>
            <w:tcW w:w="1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auto"/>
              </w:rPr>
              <w:t>Fair value</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Arial" w:cs="Arial" w:eastAsia="Arial" w:hAnsi="Arial"/>
                <w:sz w:val="16"/>
                <w:szCs w:val="16"/>
                <w:color w:val="auto"/>
                <w:w w:val="93"/>
              </w:rPr>
              <w:t>164,979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105,433</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20" w:type="dxa"/>
            <w:vAlign w:val="bottom"/>
            <w:tcBorders>
              <w:bottom w:val="single" w:sz="8" w:color="auto"/>
            </w:tcBorders>
            <w:gridSpan w:val="11"/>
          </w:tcPr>
          <w:p>
            <w:pPr>
              <w:jc w:val="right"/>
              <w:spacing w:after="0"/>
              <w:rPr>
                <w:sz w:val="20"/>
                <w:szCs w:val="20"/>
                <w:color w:val="auto"/>
              </w:rPr>
            </w:pPr>
            <w:r>
              <w:rPr>
                <w:rFonts w:ascii="Arial" w:cs="Arial" w:eastAsia="Arial" w:hAnsi="Arial"/>
                <w:sz w:val="16"/>
                <w:szCs w:val="16"/>
                <w:b w:val="1"/>
                <w:bCs w:val="1"/>
                <w:color w:val="auto"/>
              </w:rPr>
              <w:t>Gain (Loss) Recognized on Mortgage Loans Held for Sale</w:t>
            </w:r>
          </w:p>
        </w:tc>
        <w:tc>
          <w:tcPr>
            <w:tcW w:w="12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60" w:type="dxa"/>
            <w:vAlign w:val="bottom"/>
            <w:gridSpan w:val="2"/>
            <w:vMerge w:val="restart"/>
          </w:tcPr>
          <w:p>
            <w:pPr>
              <w:jc w:val="right"/>
              <w:ind w:right="860"/>
              <w:spacing w:after="0"/>
              <w:rPr>
                <w:sz w:val="20"/>
                <w:szCs w:val="20"/>
                <w:color w:val="auto"/>
              </w:rPr>
            </w:pPr>
            <w:r>
              <w:rPr>
                <w:rFonts w:ascii="Arial" w:cs="Arial" w:eastAsia="Arial" w:hAnsi="Arial"/>
                <w:sz w:val="16"/>
                <w:szCs w:val="16"/>
                <w:b w:val="1"/>
                <w:bCs w:val="1"/>
                <w:color w:val="auto"/>
              </w:rPr>
              <w:t>Location</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gridSpan w:val="7"/>
          </w:tcPr>
          <w:p>
            <w:pPr>
              <w:jc w:val="center"/>
              <w:ind w:right="239"/>
              <w:spacing w:after="0" w:line="158" w:lineRule="exact"/>
              <w:rPr>
                <w:sz w:val="20"/>
                <w:szCs w:val="20"/>
                <w:color w:val="auto"/>
              </w:rPr>
            </w:pPr>
            <w:r>
              <w:rPr>
                <w:rFonts w:ascii="Arial" w:cs="Arial" w:eastAsia="Arial" w:hAnsi="Arial"/>
                <w:sz w:val="16"/>
                <w:szCs w:val="16"/>
                <w:b w:val="1"/>
                <w:bCs w:val="1"/>
                <w:color w:val="auto"/>
                <w:w w:val="92"/>
              </w:rPr>
              <w:t>Three Months Ended</w:t>
            </w:r>
          </w:p>
        </w:tc>
        <w:tc>
          <w:tcPr>
            <w:tcW w:w="2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00" w:type="dxa"/>
            <w:vAlign w:val="bottom"/>
            <w:gridSpan w:val="8"/>
          </w:tcPr>
          <w:p>
            <w:pPr>
              <w:jc w:val="center"/>
              <w:ind w:right="3360"/>
              <w:spacing w:after="0"/>
              <w:rPr>
                <w:sz w:val="20"/>
                <w:szCs w:val="20"/>
                <w:color w:val="auto"/>
              </w:rPr>
            </w:pPr>
            <w:r>
              <w:rPr>
                <w:rFonts w:ascii="Arial" w:cs="Arial" w:eastAsia="Arial" w:hAnsi="Arial"/>
                <w:sz w:val="16"/>
                <w:szCs w:val="16"/>
                <w:b w:val="1"/>
                <w:bCs w:val="1"/>
                <w:color w:val="auto"/>
                <w:w w:val="94"/>
              </w:rPr>
              <w:t>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1"/>
              </w:rPr>
              <w:t>Mortgage loan gains and other related fees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(2,242)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fair value were mostly offset by hedging activities. An immaterial portion of these amounts was attributable to changes in instrument-specific credit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March 31, 2021 and December 31, 2020,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13"/>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6"/>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Loans</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5,853</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5,853</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r>
      <w:tr>
        <w:trPr>
          <w:trHeight w:val="212"/>
        </w:trPr>
        <w:tc>
          <w:tcPr>
            <w:tcW w:w="17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29,404</w:t>
            </w:r>
          </w:p>
        </w:tc>
        <w:tc>
          <w:tcPr>
            <w:tcW w:w="172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that are reported above as being measured at fair value on a nonrecurring basis are generally impaired loans that have either been partially charged off or have specific reserves assigned to them. Nonaccrual loans that are collateral dependent are generally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written down to net realizable value, which reflects fair value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Fair Value Level</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8"/>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178"/>
        </w:trPr>
        <w:tc>
          <w:tcPr>
            <w:tcW w:w="38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85"/>
        </w:trPr>
        <w:tc>
          <w:tcPr>
            <w:tcW w:w="3840" w:type="dxa"/>
            <w:vAlign w:val="bottom"/>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HTM debt securities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587,696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586,828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586,828</w:t>
            </w: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Loans and leases, net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11,551,678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11,574,199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11,574,199</w:t>
            </w:r>
          </w:p>
        </w:tc>
      </w:tr>
      <w:tr>
        <w:trPr>
          <w:trHeight w:val="219"/>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15,993,220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15,993,408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15,993,408</w:t>
            </w: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311,591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322,569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322,569</w:t>
            </w:r>
          </w:p>
        </w:tc>
      </w:tr>
      <w:tr>
        <w:trPr>
          <w:trHeight w:val="219"/>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88"/>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r>
      <w:tr>
        <w:trPr>
          <w:trHeight w:val="184"/>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HTM debt securities</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420,361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437,193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437,193</w:t>
            </w: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and leases, net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11,233,805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11,209,717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11,209,717</w:t>
            </w: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9"/>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Deposits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15,232,358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15,232,274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15,232,274</w:t>
            </w: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326,956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has an equity compensation plan that allows for grants of various share-based compensation. The general terms of the plan include a vesting period (usually four years) with an exercisable period not to exceed ten years. Certain restricted stock unit awards provide for accelerated vesting if there is a change in control (as defined in the plan document). As of March 31, 2021, 893,536 additional awards could be granted under the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 activity for the three months ended March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Weighted-</w:t>
            </w:r>
          </w:p>
        </w:tc>
        <w:tc>
          <w:tcPr>
            <w:tcW w:w="20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560" w:type="dxa"/>
            <w:vAlign w:val="bottom"/>
            <w:vMerge w:val="restart"/>
          </w:tcPr>
          <w:p>
            <w:pPr>
              <w:ind w:left="2260"/>
              <w:spacing w:after="0"/>
              <w:rPr>
                <w:sz w:val="20"/>
                <w:szCs w:val="20"/>
                <w:color w:val="auto"/>
              </w:rPr>
            </w:pPr>
            <w:r>
              <w:rPr>
                <w:rFonts w:ascii="Arial" w:cs="Arial" w:eastAsia="Arial" w:hAnsi="Arial"/>
                <w:sz w:val="16"/>
                <w:szCs w:val="16"/>
                <w:b w:val="1"/>
                <w:bCs w:val="1"/>
                <w:color w:val="auto"/>
              </w:rPr>
              <w:t>Restricted Stock Unit Awards</w:t>
            </w:r>
          </w:p>
        </w:tc>
        <w:tc>
          <w:tcPr>
            <w:tcW w:w="100" w:type="dxa"/>
            <w:vAlign w:val="bottom"/>
            <w:vMerge w:val="restart"/>
          </w:tcPr>
          <w:p>
            <w:pPr>
              <w:spacing w:after="0"/>
              <w:rPr>
                <w:sz w:val="14"/>
                <w:szCs w:val="14"/>
                <w:color w:val="auto"/>
              </w:rPr>
            </w:pPr>
          </w:p>
        </w:tc>
        <w:tc>
          <w:tcPr>
            <w:tcW w:w="14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Average Grant-</w:t>
            </w:r>
          </w:p>
        </w:tc>
        <w:tc>
          <w:tcPr>
            <w:tcW w:w="200" w:type="dxa"/>
            <w:vAlign w:val="bottom"/>
          </w:tcPr>
          <w:p>
            <w:pPr>
              <w:spacing w:after="0"/>
              <w:rPr>
                <w:sz w:val="14"/>
                <w:szCs w:val="14"/>
                <w:color w:val="auto"/>
              </w:rPr>
            </w:pPr>
          </w:p>
        </w:tc>
        <w:tc>
          <w:tcPr>
            <w:tcW w:w="12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Value ($000)</w:t>
            </w:r>
          </w:p>
        </w:tc>
        <w:tc>
          <w:tcPr>
            <w:tcW w:w="0" w:type="dxa"/>
            <w:vAlign w:val="bottom"/>
          </w:tcPr>
          <w:p>
            <w:pPr>
              <w:spacing w:after="0"/>
              <w:rPr>
                <w:sz w:val="1"/>
                <w:szCs w:val="1"/>
                <w:color w:val="auto"/>
              </w:rPr>
            </w:pPr>
          </w:p>
        </w:tc>
      </w:tr>
      <w:tr>
        <w:trPr>
          <w:trHeight w:val="21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893,431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6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45,471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26.15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March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833,075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28,425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market value, which was estimated using the Monte Carlo Simulation valuation model. United recognizes the impact of forfeitures as they occur. The value of restricted stock unit and performance stock unit awards is amortized into expense over the service period.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2021 and 2020, expense of $1.41 million and $2.40 million, respectively, was recognized related to restricted stock unit and performance stock unit awards granted to United employees, which was included in salaries and employee benefits expense. In addition, for the three months ended March 31, 2021 and 2020, $100,000 and $93,000, respectively, was recognized in other expense for restricted stock unit awards granted to members of United’s Board of Directors.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deferred income tax benefit related to stock-based compensation expense of $385,000 and $637,000 was included in the determination of income tax expense for the three months ended March 31, 2021 and 2020, respectively. As of March 31, 2021, there was $13.0 million of unrecognized expense related to non-vested restricted stock unit and performance stock unit awards granted under the plan. That cost is expected to be recognized over a weighted-average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Reclassifications Out of AOCI</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AOCI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 Amounts shown in parentheses reduce earnings.</w:t>
      </w:r>
    </w:p>
    <w:p>
      <w:pPr>
        <w:spacing w:after="0" w:line="6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4160" w:type="dxa"/>
            <w:vAlign w:val="bottom"/>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839"/>
              <w:spacing w:after="0"/>
              <w:rPr>
                <w:sz w:val="20"/>
                <w:szCs w:val="20"/>
                <w:color w:val="auto"/>
              </w:rPr>
            </w:pPr>
            <w:r>
              <w:rPr>
                <w:rFonts w:ascii="Arial" w:cs="Arial" w:eastAsia="Arial" w:hAnsi="Arial"/>
                <w:sz w:val="16"/>
                <w:szCs w:val="16"/>
                <w:b w:val="1"/>
                <w:bCs w:val="1"/>
                <w:color w:val="auto"/>
                <w:w w:val="97"/>
              </w:rPr>
              <w:t>March 31,</w:t>
            </w:r>
          </w:p>
        </w:tc>
        <w:tc>
          <w:tcPr>
            <w:tcW w:w="416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Affected Line Item in the Statement Where Net Income is</w:t>
            </w:r>
          </w:p>
        </w:tc>
      </w:tr>
      <w:tr>
        <w:trPr>
          <w:trHeight w:val="204"/>
        </w:trPr>
        <w:tc>
          <w:tcPr>
            <w:tcW w:w="3320" w:type="dxa"/>
            <w:vAlign w:val="bottom"/>
          </w:tcPr>
          <w:p>
            <w:pPr>
              <w:spacing w:after="0"/>
              <w:rPr>
                <w:sz w:val="20"/>
                <w:szCs w:val="20"/>
                <w:color w:val="auto"/>
              </w:rPr>
            </w:pPr>
            <w:r>
              <w:rPr>
                <w:rFonts w:ascii="Arial" w:cs="Arial" w:eastAsia="Arial" w:hAnsi="Arial"/>
                <w:sz w:val="16"/>
                <w:szCs w:val="16"/>
                <w:b w:val="1"/>
                <w:bCs w:val="1"/>
                <w:color w:val="auto"/>
              </w:rPr>
              <w:t>Details about AOCI Components</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8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4160" w:type="dxa"/>
            <w:vAlign w:val="bottom"/>
          </w:tcPr>
          <w:p>
            <w:pPr>
              <w:jc w:val="center"/>
              <w:ind w:left="119"/>
              <w:spacing w:after="0"/>
              <w:rPr>
                <w:sz w:val="20"/>
                <w:szCs w:val="20"/>
                <w:color w:val="auto"/>
              </w:rPr>
            </w:pPr>
            <w:r>
              <w:rPr>
                <w:rFonts w:ascii="Arial" w:cs="Arial" w:eastAsia="Arial" w:hAnsi="Arial"/>
                <w:sz w:val="16"/>
                <w:szCs w:val="16"/>
                <w:b w:val="1"/>
                <w:bCs w:val="1"/>
                <w:color w:val="auto"/>
                <w:w w:val="87"/>
              </w:rPr>
              <w:t>Presented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1517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losses included in net income on AFS securities transferred to HTM:</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4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4260" w:type="dxa"/>
            <w:vAlign w:val="bottom"/>
          </w:tcPr>
          <w:p>
            <w:pPr>
              <w:ind w:left="120"/>
              <w:spacing w:after="0"/>
              <w:rPr>
                <w:sz w:val="20"/>
                <w:szCs w:val="20"/>
                <w:color w:val="auto"/>
              </w:rPr>
            </w:pPr>
            <w:r>
              <w:rPr>
                <w:rFonts w:ascii="Arial" w:cs="Arial" w:eastAsia="Arial" w:hAnsi="Arial"/>
                <w:sz w:val="16"/>
                <w:szCs w:val="16"/>
                <w:color w:val="auto"/>
              </w:rPr>
              <w:t>Investment securities interest revenue</w:t>
            </w:r>
          </w:p>
        </w:tc>
      </w:tr>
      <w:tr>
        <w:trPr>
          <w:trHeight w:val="216"/>
        </w:trPr>
        <w:tc>
          <w:tcPr>
            <w:tcW w:w="4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benefit</w:t>
            </w:r>
          </w:p>
        </w:tc>
      </w:tr>
      <w:tr>
        <w:trPr>
          <w:trHeight w:val="212"/>
        </w:trPr>
        <w:tc>
          <w:tcPr>
            <w:tcW w:w="424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4260" w:type="dxa"/>
            <w:vAlign w:val="bottom"/>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r>
      <w:tr>
        <w:trPr>
          <w:trHeight w:val="213"/>
        </w:trPr>
        <w:tc>
          <w:tcPr>
            <w:tcW w:w="6380" w:type="dxa"/>
            <w:vAlign w:val="bottom"/>
            <w:gridSpan w:val="5"/>
          </w:tcPr>
          <w:p>
            <w:pPr>
              <w:ind w:left="20"/>
              <w:spacing w:after="0"/>
              <w:rPr>
                <w:sz w:val="20"/>
                <w:szCs w:val="20"/>
                <w:color w:val="auto"/>
              </w:rPr>
            </w:pPr>
            <w:r>
              <w:rPr>
                <w:rFonts w:ascii="Arial" w:cs="Arial" w:eastAsia="Arial" w:hAnsi="Arial"/>
                <w:sz w:val="16"/>
                <w:szCs w:val="16"/>
                <w:color w:val="auto"/>
                <w:w w:val="94"/>
              </w:rPr>
              <w:t>Reclassifications related to derivative financial instruments accounted for as cash flow hedges:</w:t>
            </w:r>
          </w:p>
        </w:tc>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 interest expense</w:t>
            </w:r>
          </w:p>
        </w:tc>
      </w:tr>
      <w:tr>
        <w:trPr>
          <w:trHeight w:val="213"/>
        </w:trPr>
        <w:tc>
          <w:tcPr>
            <w:tcW w:w="42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 tax benefit</w:t>
            </w:r>
          </w:p>
        </w:tc>
      </w:tr>
      <w:tr>
        <w:trPr>
          <w:trHeight w:val="237"/>
        </w:trPr>
        <w:tc>
          <w:tcPr>
            <w:tcW w:w="4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r>
      <w:tr>
        <w:trPr>
          <w:trHeight w:val="163"/>
        </w:trPr>
        <w:tc>
          <w:tcPr>
            <w:tcW w:w="4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Reclassifications related to defined benefit pension plan activity:</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Prior service cost</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(133)</w:t>
            </w:r>
          </w:p>
        </w:tc>
        <w:tc>
          <w:tcPr>
            <w:tcW w:w="4260" w:type="dxa"/>
            <w:vAlign w:val="bottom"/>
          </w:tcPr>
          <w:p>
            <w:pPr>
              <w:ind w:left="120"/>
              <w:spacing w:after="0"/>
              <w:rPr>
                <w:sz w:val="20"/>
                <w:szCs w:val="20"/>
                <w:color w:val="auto"/>
              </w:rPr>
            </w:pPr>
            <w:r>
              <w:rPr>
                <w:rFonts w:ascii="Arial" w:cs="Arial" w:eastAsia="Arial" w:hAnsi="Arial"/>
                <w:sz w:val="16"/>
                <w:szCs w:val="16"/>
                <w:color w:val="auto"/>
              </w:rPr>
              <w:t>Salaries and employee benefits expense</w:t>
            </w: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Actuarial losses</w:t>
            </w: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expense</w:t>
            </w:r>
          </w:p>
        </w:tc>
      </w:tr>
      <w:tr>
        <w:trPr>
          <w:trHeight w:val="207"/>
        </w:trPr>
        <w:tc>
          <w:tcPr>
            <w:tcW w:w="4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(214)</w:t>
            </w:r>
          </w:p>
        </w:tc>
        <w:tc>
          <w:tcPr>
            <w:tcW w:w="4260" w:type="dxa"/>
            <w:vAlign w:val="bottom"/>
          </w:tcPr>
          <w:p>
            <w:pPr>
              <w:ind w:left="120"/>
              <w:spacing w:after="0"/>
              <w:rPr>
                <w:sz w:val="20"/>
                <w:szCs w:val="20"/>
                <w:color w:val="auto"/>
              </w:rPr>
            </w:pPr>
            <w:r>
              <w:rPr>
                <w:rFonts w:ascii="Arial" w:cs="Arial" w:eastAsia="Arial" w:hAnsi="Arial"/>
                <w:sz w:val="16"/>
                <w:szCs w:val="16"/>
                <w:color w:val="auto"/>
              </w:rPr>
              <w:t>Total before tax</w:t>
            </w:r>
          </w:p>
        </w:tc>
      </w:tr>
      <w:tr>
        <w:trPr>
          <w:trHeight w:val="216"/>
        </w:trPr>
        <w:tc>
          <w:tcPr>
            <w:tcW w:w="4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benefit</w:t>
            </w:r>
          </w:p>
        </w:tc>
      </w:tr>
      <w:tr>
        <w:trPr>
          <w:trHeight w:val="213"/>
        </w:trPr>
        <w:tc>
          <w:tcPr>
            <w:tcW w:w="424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4260" w:type="dxa"/>
            <w:vAlign w:val="bottom"/>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6"/>
                <w:szCs w:val="16"/>
                <w:color w:val="auto"/>
              </w:rPr>
              <w:t>Total reclassifications for the period</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4260" w:type="dxa"/>
            <w:vAlign w:val="bottom"/>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4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52"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color w:val="auto"/>
        </w:rPr>
        <w:t>Three Months Ended</w:t>
      </w:r>
    </w:p>
    <w:p>
      <w:pPr>
        <w:jc w:val="center"/>
        <w:ind w:left="538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440" w:type="dxa"/>
            <w:vAlign w:val="bottom"/>
            <w:tcBorders>
              <w:bottom w:val="single" w:sz="8" w:color="CCEEFF"/>
            </w:tcBorders>
          </w:tcPr>
          <w:p>
            <w:pPr>
              <w:spacing w:after="0"/>
              <w:rPr>
                <w:sz w:val="18"/>
                <w:szCs w:val="18"/>
                <w:color w:val="auto"/>
              </w:rPr>
            </w:pPr>
          </w:p>
        </w:tc>
      </w:tr>
      <w:tr>
        <w:trPr>
          <w:trHeight w:val="212"/>
        </w:trPr>
        <w:tc>
          <w:tcPr>
            <w:tcW w:w="68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income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73,706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31,884</w:t>
            </w:r>
          </w:p>
        </w:tc>
        <w:tc>
          <w:tcPr>
            <w:tcW w:w="1440" w:type="dxa"/>
            <w:vAlign w:val="bottom"/>
            <w:shd w:val="clear" w:color="auto" w:fill="CCEEFF"/>
          </w:tcPr>
          <w:p>
            <w:pPr>
              <w:spacing w:after="0"/>
              <w:rPr>
                <w:sz w:val="18"/>
                <w:szCs w:val="18"/>
                <w:color w:val="auto"/>
              </w:rPr>
            </w:pPr>
          </w:p>
        </w:tc>
      </w:tr>
      <w:tr>
        <w:trPr>
          <w:trHeight w:val="213"/>
        </w:trPr>
        <w:tc>
          <w:tcPr>
            <w:tcW w:w="6860" w:type="dxa"/>
            <w:vAlign w:val="bottom"/>
          </w:tcPr>
          <w:p>
            <w:pPr>
              <w:ind w:left="1440"/>
              <w:spacing w:after="0"/>
              <w:rPr>
                <w:sz w:val="20"/>
                <w:szCs w:val="20"/>
                <w:color w:val="auto"/>
              </w:rPr>
            </w:pPr>
            <w:r>
              <w:rPr>
                <w:rFonts w:ascii="Arial" w:cs="Arial" w:eastAsia="Arial" w:hAnsi="Arial"/>
                <w:sz w:val="16"/>
                <w:szCs w:val="16"/>
                <w:color w:val="auto"/>
              </w:rPr>
              <w:t>Dividends on preferred stock</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(1,719)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2"/>
          </w:tcPr>
          <w:p>
            <w:pPr>
              <w:jc w:val="right"/>
              <w:ind w:right="1520"/>
              <w:spacing w:after="0"/>
              <w:rPr>
                <w:sz w:val="20"/>
                <w:szCs w:val="20"/>
                <w:color w:val="auto"/>
              </w:rPr>
            </w:pPr>
            <w:r>
              <w:rPr>
                <w:rFonts w:ascii="Arial" w:cs="Arial" w:eastAsia="Arial" w:hAnsi="Arial"/>
                <w:sz w:val="16"/>
                <w:szCs w:val="16"/>
                <w:color w:val="auto"/>
              </w:rPr>
              <w:t>—</w:t>
            </w:r>
          </w:p>
        </w:tc>
      </w:tr>
      <w:tr>
        <w:trPr>
          <w:trHeight w:val="216"/>
        </w:trPr>
        <w:tc>
          <w:tcPr>
            <w:tcW w:w="68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Undistributed earnings allocated to participating securities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440" w:type="dxa"/>
            <w:vAlign w:val="bottom"/>
            <w:shd w:val="clear" w:color="auto" w:fill="CCEEFF"/>
          </w:tcPr>
          <w:p>
            <w:pPr>
              <w:spacing w:after="0"/>
              <w:rPr>
                <w:sz w:val="18"/>
                <w:szCs w:val="18"/>
                <w:color w:val="auto"/>
              </w:rPr>
            </w:pPr>
          </w:p>
        </w:tc>
      </w:tr>
      <w:tr>
        <w:trPr>
          <w:trHeight w:val="212"/>
        </w:trPr>
        <w:tc>
          <w:tcPr>
            <w:tcW w:w="6860" w:type="dxa"/>
            <w:vAlign w:val="bottom"/>
          </w:tcPr>
          <w:p>
            <w:pPr>
              <w:ind w:left="1440"/>
              <w:spacing w:after="0"/>
              <w:rPr>
                <w:sz w:val="20"/>
                <w:szCs w:val="20"/>
                <w:color w:val="auto"/>
              </w:rPr>
            </w:pPr>
            <w:r>
              <w:rPr>
                <w:rFonts w:ascii="Arial" w:cs="Arial" w:eastAsia="Arial" w:hAnsi="Arial"/>
                <w:sz w:val="16"/>
                <w:szCs w:val="16"/>
                <w:color w:val="auto"/>
              </w:rPr>
              <w:t>Net income available to common shareholders</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71,525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31,641</w:t>
            </w:r>
          </w:p>
        </w:tc>
        <w:tc>
          <w:tcPr>
            <w:tcW w:w="1440" w:type="dxa"/>
            <w:vAlign w:val="bottom"/>
          </w:tcPr>
          <w:p>
            <w:pPr>
              <w:spacing w:after="0"/>
              <w:rPr>
                <w:sz w:val="18"/>
                <w:szCs w:val="18"/>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3"/>
        </w:trPr>
        <w:tc>
          <w:tcPr>
            <w:tcW w:w="6860" w:type="dxa"/>
            <w:vAlign w:val="bottom"/>
          </w:tcPr>
          <w:p>
            <w:pPr>
              <w:ind w:left="1440"/>
              <w:spacing w:after="0"/>
              <w:rPr>
                <w:sz w:val="20"/>
                <w:szCs w:val="20"/>
                <w:color w:val="auto"/>
              </w:rPr>
            </w:pPr>
            <w:r>
              <w:rPr>
                <w:rFonts w:ascii="Arial" w:cs="Arial" w:eastAsia="Arial" w:hAnsi="Arial"/>
                <w:sz w:val="16"/>
                <w:szCs w:val="16"/>
                <w:b w:val="1"/>
                <w:bCs w:val="1"/>
                <w:color w:val="auto"/>
              </w:rPr>
              <w:t>Weighted average shares outstanding:</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860" w:type="dxa"/>
            <w:vAlign w:val="bottom"/>
            <w:shd w:val="clear" w:color="auto" w:fill="CCEEFF"/>
          </w:tcPr>
          <w:p>
            <w:pPr>
              <w:ind w:left="1560"/>
              <w:spacing w:after="0"/>
              <w:rPr>
                <w:sz w:val="20"/>
                <w:szCs w:val="20"/>
                <w:color w:val="auto"/>
              </w:rPr>
            </w:pPr>
            <w:r>
              <w:rPr>
                <w:rFonts w:ascii="Arial" w:cs="Arial" w:eastAsia="Arial" w:hAnsi="Arial"/>
                <w:sz w:val="16"/>
                <w:szCs w:val="16"/>
                <w:color w:val="auto"/>
              </w:rPr>
              <w:t>Basic</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87,322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79,340</w:t>
            </w:r>
          </w:p>
        </w:tc>
        <w:tc>
          <w:tcPr>
            <w:tcW w:w="1440" w:type="dxa"/>
            <w:vAlign w:val="bottom"/>
            <w:shd w:val="clear" w:color="auto" w:fill="CCEEFF"/>
          </w:tcPr>
          <w:p>
            <w:pPr>
              <w:spacing w:after="0"/>
              <w:rPr>
                <w:sz w:val="19"/>
                <w:szCs w:val="19"/>
                <w:color w:val="auto"/>
              </w:rPr>
            </w:pPr>
          </w:p>
        </w:tc>
      </w:tr>
      <w:tr>
        <w:trPr>
          <w:trHeight w:val="213"/>
        </w:trPr>
        <w:tc>
          <w:tcPr>
            <w:tcW w:w="6860" w:type="dxa"/>
            <w:vAlign w:val="bottom"/>
          </w:tcPr>
          <w:p>
            <w:pPr>
              <w:ind w:left="1560"/>
              <w:spacing w:after="0"/>
              <w:rPr>
                <w:sz w:val="20"/>
                <w:szCs w:val="20"/>
                <w:color w:val="auto"/>
              </w:rPr>
            </w:pPr>
            <w:r>
              <w:rPr>
                <w:rFonts w:ascii="Arial" w:cs="Arial" w:eastAsia="Arial" w:hAnsi="Arial"/>
                <w:sz w:val="16"/>
                <w:szCs w:val="16"/>
                <w:color w:val="auto"/>
              </w:rPr>
              <w:t>Effect of dilutive securities: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86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Restricted stock units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440" w:type="dxa"/>
            <w:vAlign w:val="bottom"/>
            <w:shd w:val="clear" w:color="auto" w:fill="CCEEFF"/>
          </w:tcPr>
          <w:p>
            <w:pPr>
              <w:spacing w:after="0"/>
              <w:rPr>
                <w:sz w:val="18"/>
                <w:szCs w:val="18"/>
                <w:color w:val="auto"/>
              </w:rPr>
            </w:pPr>
          </w:p>
        </w:tc>
      </w:tr>
      <w:tr>
        <w:trPr>
          <w:trHeight w:val="213"/>
        </w:trPr>
        <w:tc>
          <w:tcPr>
            <w:tcW w:w="6860" w:type="dxa"/>
            <w:vAlign w:val="bottom"/>
          </w:tcPr>
          <w:p>
            <w:pPr>
              <w:ind w:left="1560"/>
              <w:spacing w:after="0"/>
              <w:rPr>
                <w:sz w:val="20"/>
                <w:szCs w:val="20"/>
                <w:color w:val="auto"/>
              </w:rPr>
            </w:pPr>
            <w:r>
              <w:rPr>
                <w:rFonts w:ascii="Arial" w:cs="Arial" w:eastAsia="Arial" w:hAnsi="Arial"/>
                <w:sz w:val="16"/>
                <w:szCs w:val="16"/>
                <w:color w:val="auto"/>
              </w:rPr>
              <w:t>Diluted</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87,466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79,446</w:t>
            </w:r>
          </w:p>
        </w:tc>
        <w:tc>
          <w:tcPr>
            <w:tcW w:w="1440" w:type="dxa"/>
            <w:vAlign w:val="bottom"/>
          </w:tcPr>
          <w:p>
            <w:pPr>
              <w:spacing w:after="0"/>
              <w:rPr>
                <w:sz w:val="18"/>
                <w:szCs w:val="18"/>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3"/>
        </w:trPr>
        <w:tc>
          <w:tcPr>
            <w:tcW w:w="6860" w:type="dxa"/>
            <w:vAlign w:val="bottom"/>
          </w:tcPr>
          <w:p>
            <w:pPr>
              <w:ind w:left="1440"/>
              <w:spacing w:after="0"/>
              <w:rPr>
                <w:sz w:val="20"/>
                <w:szCs w:val="20"/>
                <w:color w:val="auto"/>
              </w:rPr>
            </w:pPr>
            <w:r>
              <w:rPr>
                <w:rFonts w:ascii="Arial" w:cs="Arial" w:eastAsia="Arial" w:hAnsi="Arial"/>
                <w:sz w:val="16"/>
                <w:szCs w:val="16"/>
                <w:b w:val="1"/>
                <w:bCs w:val="1"/>
                <w:color w:val="auto"/>
              </w:rPr>
              <w:t>Net income per common share:</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4"/>
        </w:trPr>
        <w:tc>
          <w:tcPr>
            <w:tcW w:w="6860" w:type="dxa"/>
            <w:vAlign w:val="bottom"/>
            <w:tcBorders>
              <w:bottom w:val="single" w:sz="8" w:color="CCEEFF"/>
            </w:tcBorders>
            <w:shd w:val="clear" w:color="auto" w:fill="CCEEFF"/>
          </w:tcPr>
          <w:p>
            <w:pPr>
              <w:ind w:left="1560"/>
              <w:spacing w:after="0"/>
              <w:rPr>
                <w:sz w:val="20"/>
                <w:szCs w:val="20"/>
                <w:color w:val="auto"/>
              </w:rPr>
            </w:pPr>
            <w:r>
              <w:rPr>
                <w:rFonts w:ascii="Arial" w:cs="Arial" w:eastAsia="Arial" w:hAnsi="Arial"/>
                <w:sz w:val="16"/>
                <w:szCs w:val="16"/>
                <w:color w:val="auto"/>
              </w:rPr>
              <w:t>Basic</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190"/>
        </w:trPr>
        <w:tc>
          <w:tcPr>
            <w:tcW w:w="6860" w:type="dxa"/>
            <w:vAlign w:val="bottom"/>
          </w:tcPr>
          <w:p>
            <w:pPr>
              <w:ind w:left="1560"/>
              <w:spacing w:after="0"/>
              <w:rPr>
                <w:sz w:val="20"/>
                <w:szCs w:val="20"/>
                <w:color w:val="auto"/>
              </w:rPr>
            </w:pPr>
            <w:r>
              <w:rPr>
                <w:rFonts w:ascii="Arial" w:cs="Arial" w:eastAsia="Arial" w:hAnsi="Arial"/>
                <w:sz w:val="16"/>
                <w:szCs w:val="16"/>
                <w:color w:val="auto"/>
              </w:rPr>
              <w:t>Diluted</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0.82</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440" w:type="dxa"/>
            <w:vAlign w:val="bottom"/>
          </w:tcPr>
          <w:p>
            <w:pPr>
              <w:spacing w:after="0"/>
              <w:rPr>
                <w:sz w:val="16"/>
                <w:szCs w:val="16"/>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United had no potentially dilutive instruments outstanding that were not included in the above analysis. At March 31, 2020, United excluded 1,000 potentially dilutive shares of common stock issuable upon exercise of stock options with a weighted average exercise price of $30.45 from the computation of diluted earnings per share because of their antidilutive effect.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Regulatory Matters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March 31, 2021, United and the Bank were categorized as well-capitalized under the regulatory framework for prompt corrective action in effect at such time. To be categorized as well-capitalized at March 31, 2021, United and the Bank must have exceeded the well-capitalized guideline ratios in effect at such time, as set forth in the table below, and have met certain other requirements. Management believes that United and the Bank exceeded all well-capitalized requirements at March 31, 2021, and there have been no conditions or events since quarter-end that would change the status of well-capitalized.</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Regulatory capital ratios at March 31, 2021 and December 31, 2020,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United Community Banks, Inc.</w:t>
            </w:r>
          </w:p>
        </w:tc>
        <w:tc>
          <w:tcPr>
            <w:tcW w:w="220" w:type="dxa"/>
            <w:vAlign w:val="bottom"/>
          </w:tcPr>
          <w:p>
            <w:pPr>
              <w:spacing w:after="0"/>
              <w:rPr>
                <w:sz w:val="16"/>
                <w:szCs w:val="16"/>
                <w:color w:val="auto"/>
              </w:rPr>
            </w:pPr>
          </w:p>
        </w:tc>
        <w:tc>
          <w:tcPr>
            <w:tcW w:w="270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(Consolidated)</w:t>
            </w:r>
          </w:p>
        </w:tc>
        <w:tc>
          <w:tcPr>
            <w:tcW w:w="220" w:type="dxa"/>
            <w:vAlign w:val="bottom"/>
          </w:tcPr>
          <w:p>
            <w:pPr>
              <w:spacing w:after="0"/>
              <w:rPr>
                <w:sz w:val="18"/>
                <w:szCs w:val="18"/>
                <w:color w:val="auto"/>
              </w:rPr>
            </w:pPr>
          </w:p>
        </w:tc>
        <w:tc>
          <w:tcPr>
            <w:tcW w:w="27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42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21"/>
                <w:szCs w:val="21"/>
                <w:b w:val="1"/>
                <w:bCs w:val="1"/>
                <w:color w:val="auto"/>
                <w:vertAlign w:val="superscript"/>
              </w:rPr>
              <w:t>(1)</w:t>
            </w:r>
          </w:p>
        </w:tc>
        <w:tc>
          <w:tcPr>
            <w:tcW w:w="13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4"/>
              </w:rPr>
              <w:t>Well-</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March 31,</w:t>
            </w: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March 31,</w:t>
            </w: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79"/>
              <w:spacing w:after="0" w:line="158" w:lineRule="exact"/>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Capitalized</w:t>
            </w:r>
          </w:p>
        </w:tc>
        <w:tc>
          <w:tcPr>
            <w:tcW w:w="220" w:type="dxa"/>
            <w:vAlign w:val="bottom"/>
          </w:tcPr>
          <w:p>
            <w:pPr>
              <w:spacing w:after="0"/>
              <w:rPr>
                <w:sz w:val="18"/>
                <w:szCs w:val="18"/>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300" w:type="dxa"/>
            <w:vAlign w:val="bottom"/>
          </w:tcPr>
          <w:p>
            <w:pPr>
              <w:ind w:left="900"/>
              <w:spacing w:after="0"/>
              <w:rPr>
                <w:sz w:val="20"/>
                <w:szCs w:val="20"/>
                <w:color w:val="auto"/>
              </w:rPr>
            </w:pPr>
            <w:r>
              <w:rPr>
                <w:rFonts w:ascii="Arial" w:cs="Arial" w:eastAsia="Arial" w:hAnsi="Arial"/>
                <w:sz w:val="16"/>
                <w:szCs w:val="16"/>
                <w:color w:val="auto"/>
                <w:w w:val="92"/>
              </w:rPr>
              <w:t>4.5 %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13.31 %</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capital</w:t>
            </w:r>
          </w:p>
        </w:tc>
        <w:tc>
          <w:tcPr>
            <w:tcW w:w="13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236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300" w:type="dxa"/>
            <w:vAlign w:val="bottom"/>
          </w:tcPr>
          <w:p>
            <w:pPr>
              <w:ind w:left="90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15.15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3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CET1 capital</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1,555,850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1,506,750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1,605,736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1,625,292</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Tier 1 capital</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1,652,272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1,603,172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1,605,736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1,625,292</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capital</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1,880,373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1,854,368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1,713,837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1,743,045</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Risk-weighted assets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12,603,232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12,240,440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12,545,967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12,207,940</w:t>
            </w:r>
          </w:p>
        </w:tc>
        <w:tc>
          <w:tcPr>
            <w:tcW w:w="0" w:type="dxa"/>
            <w:vAlign w:val="bottom"/>
          </w:tcPr>
          <w:p>
            <w:pPr>
              <w:spacing w:after="0"/>
              <w:rPr>
                <w:sz w:val="1"/>
                <w:szCs w:val="1"/>
                <w:color w:val="auto"/>
              </w:rPr>
            </w:pPr>
          </w:p>
        </w:tc>
      </w:tr>
      <w:tr>
        <w:trPr>
          <w:trHeight w:val="169"/>
        </w:trPr>
        <w:tc>
          <w:tcPr>
            <w:tcW w:w="23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Average total assets for the</w:t>
            </w: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17,605,291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17,276,853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17,582,607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17,246,878</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leverage ratio</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As of March 31, 2021 and December 31, 2020 the additional capital conservation buffer in effect was 2.50%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2020</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Commitments to extend credit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3,156,771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3,052,657</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Letters of credit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31,748</w:t>
            </w: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holds minor investments in certain limited partnerships for Community Reinvestment Act purposes. As of March 31, 2021, United had committed to fund an additional $8.43 million related to future capital calls that are not reflected in the consolidated balance sheet.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second quarter of 2021, through the date of this Report, United repurchased 150,000 shares for $5.10 million in accordance with its common stock repurchase plan.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United has provided a redemption notice to the holders of the 2022 senior debentures of $50.0 million. Repayment is scheduled to occur during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is a discussion of our financial condition at March 31, 2021 and December 31, 2020 and our results of operations for the three months ended March 31, 2021 and 2020.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2020 10-K, and the other reports we have filed with the SEC after we filed the 2020 10-K.</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otherwise requires, the terms “we,” “our,” “us” refer to United on a consolidated basis. References to the Holding Company refer to United Community Banks, Inc. on an unconsolidated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a wide array of commercial and consumer banking services and investment advisory services through a 161 branch network throughout Georgia, South Carolina, North Carolina, Tennessee and Florida. We have grown organically as well as through strategic acquisitions. At March 31, 2021, we had consolidated total assets of $18.6 billion and 2,396 full-time equivalent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Mergers and Acquisitions</w:t>
      </w:r>
    </w:p>
    <w:p>
      <w:pPr>
        <w:spacing w:after="0" w:line="14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July 1, 2020, we acquired Three Shores including its wholly-owned banking subsidiary, Seaside, headquartered in Orlando, Florida. Seaside was a premier commercial lender with a strong wealth management platform and operated a 14-branch network located in key Florida metropolitan markets. We acquired $2.13 billion of assets and assumed $1.99 billion of liabilities in the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2020 and continuing into 2021, the effects of the COVID-19 pandemic, including preventative and protective government issued mandates, materially restricted the level of economic activity in our markets. These government mandates included restrictions on travel and business operations, stay-at-home advisories and requirements and temporary closures of businesses deemed to be non-essential. In turn, unemployment dramatically increased in the United States and, while it has receded from its highest levels, it continues to negatively impact many businesses, and thereby threatens the repayment ability of some of our borrowers. The distribution of COVID-19 vaccinations and reduction in COVID-19 cases since the peak during the fourth quarter of 2020 and beginning of 2021 has resulted in a projected improved outlook of the pandemic. We nevertheless continue to monitor the impact of the COVID-19 pandemic on our business and to offer assistance to our customers affected by its economic impacts, through payment deferrals, waiving certain fees, suspending property foreclosures and participating in the CARES Act and PPP.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reported net income and diluted earnings per common share of $73.7 million and $0.82, respectively, for the first quarter of 2021. This compared to net income and diluted earnings per common share of $31.9 million and $0.40, respectively, for the same period in 2020.</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reported net income - operating (non-GAAP) of $74.9 million for the first quarter of 2021, compared to $32.5 million for the same period in 2020. For the first quarters of 2021 and 2020, net income - operating (non-GAAP) excludes merger-related and other charges, which net of tax, totaled $1.21 million and $626,000, respectively.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revenue increased to $132 million for the first quarter of 2021, compared to $119 million for the first quarter of 2020, due to several factors including loan growth, mostly from the acquisition of Three Shores and addition of PPP loans, accelerated recognition of net deferred fees on forgiven and repaid PPP loans and a more favorable deposit mix, which included a reduction in higher cost time deposits and an increase in noninterest-bearing deposits. The net interest margin decreased to 3.22% for the three months ended March 31, 2021 from 4.07% for the same period in 2020 primarily due to the effect of falling interest rates on our asset sensitive balance sheet.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negative provision for credit losses of $12.3 million for the first quarter of 2021, compared to $22.2 million of provision expense for the first quarter of 2020. The negative provision in 2021 resulted from a downward adjustment to the ACL, reflecting a combination of the Bank’s own credit trends and an improved economic forecast compared to the first quarter of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The provision for credit losses during the first quarter of 2020 reflected the economic forecast at the onset of the COVID-19 pandemic and increased charge-offs. We recognized net recoveries for the first quarter of 2021 of $305,000 compared to $8.11 million of net charge-offs for the same period in 2020. During the first quarter of 2021, net recoveries were primarily a result of the recovery of one loan charged off prior to 2021. During the first quarter of 2020, we also had one loan that elevated the level of charge-offs recorded for the period.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Noninterest income of $44.7 million for the first quarter of 2021 was up $18.9 million, or 73%, from the first quarter of 2020. The primary driver of the increase was a $14.3 million increase in mortgage loan gains and related fees, resulting from strong demand for mortgage originations and refinances in the low interest rate environment, as well as a positive fair value adjustment to our mortgage servicing right asset.</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the first quarter of 2021, noninterest expenses of $95.2 million increased $13.7 million, or 17%, compared to the same period of 2020. The increase was primarily attributable to a $9.23 million increase in salaries and employee benefits, which was driven by several factors, including higher mortgage commissions as a result of increased mortgage production and the inclusion of Three Shores employees for the first quarter of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accounting and reporting policies are in accordance with GAAP and conform to general practices within the banking industry. Our more critical accounting and reporting policies include accounting for the ACL and fair value measurements, both of which involve the use of estimates and require significant judgments to be made by management. Different assumptions in the application of these policies could result in material changes in our consolidated financial position or consolidated results of operations. Our critical accounting policies are discussed in MD&amp;A in our 2020 10-K. There have been no significant changes to our critical accounting policies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Reconciliation and Explanation</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“dividend payout ratio – operating” and “efficiency ratio – operating.” Management has developed internal policies and procedures to accurately capture and account for merger-related and other charges and those charges are reviewed with the Audit Committee of our Board each quarter. Management uses these non-GAAP measures because it believes they provide useful supplemental information for evaluating our operations and performance over periods of time, as well as in managing and evaluating our business and in discussions about our operations and performance. Management believes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3"/>
          <w:szCs w:val="13"/>
          <w:b w:val="1"/>
          <w:bCs w:val="1"/>
          <w:color w:val="auto"/>
        </w:rPr>
        <w:t>UNITED COMMUNITY BANKS, INC.</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Table 1 - Financial Highlights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19685</wp:posOffset>
            </wp:positionV>
            <wp:extent cx="4200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rPr>
              <w:t>2020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77"/>
              <w:spacing w:after="0"/>
              <w:rPr>
                <w:sz w:val="20"/>
                <w:szCs w:val="20"/>
                <w:color w:val="auto"/>
              </w:rPr>
            </w:pPr>
            <w:r>
              <w:rPr>
                <w:rFonts w:ascii="Arial" w:cs="Arial" w:eastAsia="Arial" w:hAnsi="Arial"/>
                <w:sz w:val="13"/>
                <w:szCs w:val="13"/>
                <w:b w:val="1"/>
                <w:bCs w:val="1"/>
                <w:color w:val="auto"/>
                <w:w w:val="93"/>
              </w:rPr>
              <w:t>First Quarter</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620" w:type="dxa"/>
            <w:vAlign w:val="bottom"/>
            <w:gridSpan w:val="2"/>
            <w:vMerge w:val="restart"/>
          </w:tcPr>
          <w:p>
            <w:pPr>
              <w:ind w:left="20"/>
              <w:spacing w:after="0"/>
              <w:rPr>
                <w:sz w:val="20"/>
                <w:szCs w:val="20"/>
                <w:color w:val="auto"/>
              </w:rPr>
            </w:pPr>
            <w:r>
              <w:rPr>
                <w:rFonts w:ascii="Arial" w:cs="Arial" w:eastAsia="Arial" w:hAnsi="Arial"/>
                <w:sz w:val="13"/>
                <w:szCs w:val="13"/>
                <w:b w:val="1"/>
                <w:bCs w:val="1"/>
                <w:i w:val="1"/>
                <w:iCs w:val="1"/>
                <w:color w:val="auto"/>
              </w:rPr>
              <w:t>(in thousands, except per share data)</w:t>
            </w:r>
          </w:p>
        </w:tc>
        <w:tc>
          <w:tcPr>
            <w:tcW w:w="12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First Quarter</w:t>
            </w:r>
          </w:p>
        </w:tc>
        <w:tc>
          <w:tcPr>
            <w:tcW w:w="80" w:type="dxa"/>
            <w:vAlign w:val="bottom"/>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Fourth Quarter</w:t>
            </w:r>
          </w:p>
        </w:tc>
        <w:tc>
          <w:tcPr>
            <w:tcW w:w="10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Third Quarter</w:t>
            </w:r>
          </w:p>
        </w:tc>
        <w:tc>
          <w:tcPr>
            <w:tcW w:w="11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Second Quarter</w:t>
            </w:r>
          </w:p>
        </w:tc>
        <w:tc>
          <w:tcPr>
            <w:tcW w:w="120" w:type="dxa"/>
            <w:vAlign w:val="bottom"/>
          </w:tcPr>
          <w:p>
            <w:pPr>
              <w:spacing w:after="0"/>
              <w:rPr>
                <w:sz w:val="10"/>
                <w:szCs w:val="10"/>
                <w:color w:val="auto"/>
              </w:rPr>
            </w:pPr>
          </w:p>
        </w:tc>
        <w:tc>
          <w:tcPr>
            <w:tcW w:w="9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3"/>
              </w:rPr>
              <w:t>First Quarter</w:t>
            </w:r>
          </w:p>
        </w:tc>
        <w:tc>
          <w:tcPr>
            <w:tcW w:w="980" w:type="dxa"/>
            <w:vAlign w:val="bottom"/>
            <w:gridSpan w:val="2"/>
          </w:tcPr>
          <w:p>
            <w:pPr>
              <w:jc w:val="center"/>
              <w:ind w:left="177"/>
              <w:spacing w:after="0" w:line="122" w:lineRule="exact"/>
              <w:rPr>
                <w:sz w:val="20"/>
                <w:szCs w:val="20"/>
                <w:color w:val="auto"/>
              </w:rPr>
            </w:pPr>
            <w:r>
              <w:rPr>
                <w:rFonts w:ascii="Arial" w:cs="Arial" w:eastAsia="Arial" w:hAnsi="Arial"/>
                <w:sz w:val="13"/>
                <w:szCs w:val="13"/>
                <w:b w:val="1"/>
                <w:bCs w:val="1"/>
                <w:color w:val="auto"/>
                <w:w w:val="89"/>
              </w:rPr>
              <w:t>2021 - 2020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left="77"/>
              <w:spacing w:after="0"/>
              <w:rPr>
                <w:sz w:val="20"/>
                <w:szCs w:val="20"/>
                <w:color w:val="auto"/>
              </w:rPr>
            </w:pPr>
            <w:r>
              <w:rPr>
                <w:rFonts w:ascii="Arial" w:cs="Arial" w:eastAsia="Arial" w:hAnsi="Arial"/>
                <w:sz w:val="13"/>
                <w:szCs w:val="13"/>
                <w:b w:val="1"/>
                <w:bCs w:val="1"/>
                <w:color w:val="auto"/>
                <w:w w:val="88"/>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INCOME SUMMARY</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141,542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156,071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141,773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123,605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136,547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Interest expense</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9,478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10,676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13,319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14,301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17,941</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interest revenue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132,064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145,395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128,454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109,304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118,606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68"/>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(Release of) provision for credit losses</w:t>
            </w:r>
          </w:p>
        </w:tc>
        <w:tc>
          <w:tcPr>
            <w:tcW w:w="12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(12,281)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2,907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21,793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33,543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22,191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Noninterest income</w:t>
            </w: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44,705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41,375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48,682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40,238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25,814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62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 revenue</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189,050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183,863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155,343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115,999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122,229</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55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Expenses</w:t>
            </w: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95,194</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106,490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95,981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83,980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81,538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Income before income tax expense</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93,856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77,373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59,362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32,019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40,691</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20,150</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17,871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11,755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6,923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8,807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620" w:type="dxa"/>
            <w:vAlign w:val="bottom"/>
            <w:gridSpan w:val="2"/>
          </w:tcPr>
          <w:p>
            <w:pPr>
              <w:ind w:left="140"/>
              <w:spacing w:after="0"/>
              <w:rPr>
                <w:sz w:val="20"/>
                <w:szCs w:val="20"/>
                <w:color w:val="auto"/>
              </w:rPr>
            </w:pPr>
            <w:r>
              <w:rPr>
                <w:rFonts w:ascii="Arial" w:cs="Arial" w:eastAsia="Arial" w:hAnsi="Arial"/>
                <w:sz w:val="13"/>
                <w:szCs w:val="13"/>
                <w:b w:val="1"/>
                <w:bCs w:val="1"/>
                <w:color w:val="auto"/>
              </w:rPr>
              <w:t>Net income</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73,706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59,502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47,607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25,096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31,884</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Merger-related and other charges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Income tax benefit of merger-related and other charges</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(552)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(519)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(182)</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620" w:type="dxa"/>
            <w:vAlign w:val="bottom"/>
            <w:tcBorders>
              <w:bottom w:val="single" w:sz="8" w:color="CCEEFF"/>
            </w:tcBorders>
            <w:gridSpan w:val="2"/>
            <w:shd w:val="clear" w:color="auto" w:fill="CCEEFF"/>
          </w:tcPr>
          <w:p>
            <w:pPr>
              <w:ind w:left="140"/>
              <w:spacing w:after="0" w:line="175" w:lineRule="exact"/>
              <w:rPr>
                <w:sz w:val="20"/>
                <w:szCs w:val="20"/>
                <w:color w:val="auto"/>
              </w:rPr>
            </w:pPr>
            <w:r>
              <w:rPr>
                <w:rFonts w:ascii="Arial" w:cs="Arial" w:eastAsia="Arial" w:hAnsi="Arial"/>
                <w:sz w:val="13"/>
                <w:szCs w:val="13"/>
                <w:b w:val="1"/>
                <w:bCs w:val="1"/>
                <w:color w:val="auto"/>
              </w:rPr>
              <w:t xml:space="preserve">Net income - operating </w:t>
            </w:r>
            <w:r>
              <w:rPr>
                <w:rFonts w:ascii="Arial" w:cs="Arial" w:eastAsia="Arial" w:hAnsi="Arial"/>
                <w:sz w:val="16"/>
                <w:szCs w:val="16"/>
                <w:b w:val="1"/>
                <w:bCs w:val="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74,914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61,402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50,449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25,406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32,510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PERFORMANCE MEASURES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Per common share: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Diluted net income - GAAP</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0.82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gridSpan w:val="2"/>
          </w:tcPr>
          <w:p>
            <w:pPr>
              <w:ind w:left="220"/>
              <w:spacing w:after="0" w:line="175" w:lineRule="exact"/>
              <w:rPr>
                <w:sz w:val="20"/>
                <w:szCs w:val="20"/>
                <w:color w:val="auto"/>
              </w:rPr>
            </w:pPr>
            <w:r>
              <w:rPr>
                <w:rFonts w:ascii="Arial" w:cs="Arial" w:eastAsia="Arial" w:hAnsi="Arial"/>
                <w:sz w:val="13"/>
                <w:szCs w:val="13"/>
                <w:color w:val="auto"/>
              </w:rPr>
              <w:t xml:space="preserve">Diluted net income - operating </w:t>
            </w:r>
            <w:r>
              <w:rPr>
                <w:rFonts w:ascii="Arial" w:cs="Arial" w:eastAsia="Arial" w:hAnsi="Arial"/>
                <w:sz w:val="16"/>
                <w:szCs w:val="16"/>
                <w:color w:val="auto"/>
                <w:vertAlign w:val="superscript"/>
              </w:rPr>
              <w:t>(1)</w:t>
            </w: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0.68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0.32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0.41</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Cash dividends declared</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220"/>
              <w:spacing w:after="0"/>
              <w:rPr>
                <w:sz w:val="20"/>
                <w:szCs w:val="20"/>
                <w:color w:val="auto"/>
              </w:rPr>
            </w:pPr>
            <w:r>
              <w:rPr>
                <w:rFonts w:ascii="Arial" w:cs="Arial" w:eastAsia="Arial" w:hAnsi="Arial"/>
                <w:sz w:val="13"/>
                <w:szCs w:val="13"/>
                <w:color w:val="auto"/>
              </w:rPr>
              <w:t>Book value</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22.15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21.90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21.45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20.80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 xml:space="preserve">Tangible book value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17.83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Key performance ratios: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 xml:space="preserve">Return on common equity - GAAP </w:t>
            </w:r>
            <w:r>
              <w:rPr>
                <w:rFonts w:ascii="Arial" w:cs="Arial" w:eastAsia="Arial" w:hAnsi="Arial"/>
                <w:sz w:val="16"/>
                <w:szCs w:val="16"/>
                <w:color w:val="auto"/>
                <w:vertAlign w:val="superscript"/>
              </w:rPr>
              <w:t>(2)(4)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gridSpan w:val="2"/>
          </w:tcPr>
          <w:p>
            <w:pPr>
              <w:ind w:left="220"/>
              <w:spacing w:after="0" w:line="175" w:lineRule="exact"/>
              <w:rPr>
                <w:sz w:val="20"/>
                <w:szCs w:val="20"/>
                <w:color w:val="auto"/>
              </w:rPr>
            </w:pPr>
            <w:r>
              <w:rPr>
                <w:rFonts w:ascii="Arial" w:cs="Arial" w:eastAsia="Arial" w:hAnsi="Arial"/>
                <w:sz w:val="13"/>
                <w:szCs w:val="13"/>
                <w:color w:val="auto"/>
              </w:rPr>
              <w:t xml:space="preserve">Return on common equity - operating </w:t>
            </w:r>
            <w:r>
              <w:rPr>
                <w:rFonts w:ascii="Arial" w:cs="Arial" w:eastAsia="Arial" w:hAnsi="Arial"/>
                <w:sz w:val="16"/>
                <w:szCs w:val="16"/>
                <w:color w:val="auto"/>
                <w:vertAlign w:val="superscript"/>
              </w:rPr>
              <w:t>(1)(2)(4)</w:t>
            </w: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15.63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12.77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10.69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6.25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8.01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gridSpan w:val="2"/>
            <w:shd w:val="clear" w:color="auto" w:fill="CCEEFF"/>
          </w:tcPr>
          <w:p>
            <w:pPr>
              <w:ind w:left="220"/>
              <w:spacing w:after="0" w:line="175" w:lineRule="exact"/>
              <w:rPr>
                <w:sz w:val="20"/>
                <w:szCs w:val="20"/>
                <w:color w:val="auto"/>
              </w:rPr>
            </w:pPr>
            <w:r>
              <w:rPr>
                <w:rFonts w:ascii="Arial" w:cs="Arial" w:eastAsia="Arial" w:hAnsi="Arial"/>
                <w:sz w:val="13"/>
                <w:szCs w:val="13"/>
                <w:color w:val="auto"/>
              </w:rPr>
              <w:t xml:space="preserve">Return on tangible common equity - operating </w:t>
            </w:r>
            <w:r>
              <w:rPr>
                <w:rFonts w:ascii="Arial" w:cs="Arial" w:eastAsia="Arial" w:hAnsi="Arial"/>
                <w:sz w:val="16"/>
                <w:szCs w:val="16"/>
                <w:color w:val="auto"/>
                <w:vertAlign w:val="superscript"/>
              </w:rPr>
              <w:t>(1)(2)(3)(4)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10.57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gridSpan w:val="2"/>
          </w:tcPr>
          <w:p>
            <w:pPr>
              <w:ind w:left="220"/>
              <w:spacing w:after="0" w:line="175" w:lineRule="exact"/>
              <w:rPr>
                <w:sz w:val="20"/>
                <w:szCs w:val="20"/>
                <w:color w:val="auto"/>
              </w:rPr>
            </w:pPr>
            <w:r>
              <w:rPr>
                <w:rFonts w:ascii="Arial" w:cs="Arial" w:eastAsia="Arial" w:hAnsi="Arial"/>
                <w:sz w:val="13"/>
                <w:szCs w:val="13"/>
                <w:color w:val="auto"/>
              </w:rPr>
              <w:t xml:space="preserve">Return on assets - GAAP </w:t>
            </w:r>
            <w:r>
              <w:rPr>
                <w:rFonts w:ascii="Arial" w:cs="Arial" w:eastAsia="Arial" w:hAnsi="Arial"/>
                <w:sz w:val="16"/>
                <w:szCs w:val="16"/>
                <w:color w:val="auto"/>
                <w:vertAlign w:val="superscript"/>
              </w:rPr>
              <w:t>(4)</w:t>
            </w: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0.71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0.99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220"/>
              <w:spacing w:after="0" w:line="175" w:lineRule="exact"/>
              <w:rPr>
                <w:sz w:val="20"/>
                <w:szCs w:val="20"/>
                <w:color w:val="auto"/>
              </w:rPr>
            </w:pPr>
            <w:r>
              <w:rPr>
                <w:rFonts w:ascii="Arial" w:cs="Arial" w:eastAsia="Arial" w:hAnsi="Arial"/>
                <w:sz w:val="13"/>
                <w:szCs w:val="13"/>
                <w:color w:val="auto"/>
              </w:rPr>
              <w:t xml:space="preserve">Return on assets - operating </w:t>
            </w:r>
            <w:r>
              <w:rPr>
                <w:rFonts w:ascii="Arial" w:cs="Arial" w:eastAsia="Arial" w:hAnsi="Arial"/>
                <w:sz w:val="16"/>
                <w:szCs w:val="16"/>
                <w:color w:val="auto"/>
                <w:vertAlign w:val="superscript"/>
              </w:rPr>
              <w:t>(1)(4)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220"/>
              <w:spacing w:after="0"/>
              <w:rPr>
                <w:sz w:val="20"/>
                <w:szCs w:val="20"/>
                <w:color w:val="auto"/>
              </w:rPr>
            </w:pPr>
            <w:r>
              <w:rPr>
                <w:rFonts w:ascii="Arial" w:cs="Arial" w:eastAsia="Arial" w:hAnsi="Arial"/>
                <w:sz w:val="13"/>
                <w:szCs w:val="13"/>
                <w:color w:val="auto"/>
              </w:rPr>
              <w:t>Dividend payout ratio - GAAP</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23.17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27.27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34.62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56.25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45.00</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 xml:space="preserve">Dividend payout ratio - operating </w:t>
            </w:r>
            <w:r>
              <w:rPr>
                <w:rFonts w:ascii="Arial" w:cs="Arial" w:eastAsia="Arial" w:hAnsi="Arial"/>
                <w:sz w:val="16"/>
                <w:szCs w:val="16"/>
                <w:color w:val="auto"/>
                <w:vertAlign w:val="superscript"/>
              </w:rPr>
              <w:t>(1)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22.89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26.47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32.73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43.90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gridSpan w:val="2"/>
          </w:tcPr>
          <w:p>
            <w:pPr>
              <w:ind w:left="220"/>
              <w:spacing w:after="0" w:line="175" w:lineRule="exact"/>
              <w:rPr>
                <w:sz w:val="20"/>
                <w:szCs w:val="20"/>
                <w:color w:val="auto"/>
              </w:rPr>
            </w:pPr>
            <w:r>
              <w:rPr>
                <w:rFonts w:ascii="Arial" w:cs="Arial" w:eastAsia="Arial" w:hAnsi="Arial"/>
                <w:sz w:val="13"/>
                <w:szCs w:val="13"/>
                <w:color w:val="auto"/>
              </w:rPr>
              <w:t xml:space="preserve">Net interest margin (FTE) </w:t>
            </w:r>
            <w:r>
              <w:rPr>
                <w:rFonts w:ascii="Arial" w:cs="Arial" w:eastAsia="Arial" w:hAnsi="Arial"/>
                <w:sz w:val="16"/>
                <w:szCs w:val="16"/>
                <w:color w:val="auto"/>
                <w:vertAlign w:val="superscript"/>
              </w:rPr>
              <w:t>(4)</w:t>
            </w: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3.55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Efficiency ratio - GAAP</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53.55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54.14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56.15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gridSpan w:val="2"/>
          </w:tcPr>
          <w:p>
            <w:pPr>
              <w:ind w:left="220"/>
              <w:spacing w:after="0" w:line="175" w:lineRule="exact"/>
              <w:rPr>
                <w:sz w:val="20"/>
                <w:szCs w:val="20"/>
                <w:color w:val="auto"/>
              </w:rPr>
            </w:pPr>
            <w:r>
              <w:rPr>
                <w:rFonts w:ascii="Arial" w:cs="Arial" w:eastAsia="Arial" w:hAnsi="Arial"/>
                <w:sz w:val="13"/>
                <w:szCs w:val="13"/>
                <w:color w:val="auto"/>
              </w:rPr>
              <w:t xml:space="preserve">Efficiency ratio - operating </w:t>
            </w:r>
            <w:r>
              <w:rPr>
                <w:rFonts w:ascii="Arial" w:cs="Arial" w:eastAsia="Arial" w:hAnsi="Arial"/>
                <w:sz w:val="16"/>
                <w:szCs w:val="16"/>
                <w:color w:val="auto"/>
                <w:vertAlign w:val="superscript"/>
              </w:rPr>
              <w:t>(1)</w:t>
            </w: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52.68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55.42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52.24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55.59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55.59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Equity to total assets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12.54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gridSpan w:val="2"/>
          </w:tcPr>
          <w:p>
            <w:pPr>
              <w:ind w:left="220"/>
              <w:spacing w:after="0" w:line="175" w:lineRule="exact"/>
              <w:rPr>
                <w:sz w:val="20"/>
                <w:szCs w:val="20"/>
                <w:color w:val="auto"/>
              </w:rPr>
            </w:pPr>
            <w:r>
              <w:rPr>
                <w:rFonts w:ascii="Arial" w:cs="Arial" w:eastAsia="Arial" w:hAnsi="Arial"/>
                <w:sz w:val="13"/>
                <w:szCs w:val="13"/>
                <w:color w:val="auto"/>
              </w:rPr>
              <w:t xml:space="preserve">Tangible common equity to tangible assets </w:t>
            </w:r>
            <w:r>
              <w:rPr>
                <w:rFonts w:ascii="Arial" w:cs="Arial" w:eastAsia="Arial" w:hAnsi="Arial"/>
                <w:sz w:val="16"/>
                <w:szCs w:val="16"/>
                <w:color w:val="auto"/>
                <w:vertAlign w:val="superscript"/>
              </w:rPr>
              <w:t>(3)</w:t>
            </w: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8.81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8.89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9.12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10.22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gridSpan w:val="2"/>
          </w:tcPr>
          <w:p>
            <w:pPr>
              <w:ind w:left="20"/>
              <w:spacing w:after="0"/>
              <w:rPr>
                <w:sz w:val="20"/>
                <w:szCs w:val="20"/>
                <w:color w:val="auto"/>
              </w:rPr>
            </w:pPr>
            <w:r>
              <w:rPr>
                <w:rFonts w:ascii="Arial" w:cs="Arial" w:eastAsia="Arial" w:hAnsi="Arial"/>
                <w:sz w:val="13"/>
                <w:szCs w:val="13"/>
                <w:b w:val="1"/>
                <w:bCs w:val="1"/>
                <w:color w:val="auto"/>
              </w:rPr>
              <w:t>ASSET QUALITY</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Nonperforming loans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55,900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61,599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49,084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48,021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36,208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Foreclosed properties</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596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647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953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477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475</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NPAs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56,496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62,246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50,037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48,498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36,683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ACL - loans</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126,866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137,010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134,256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103,669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81,905</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55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charge-offs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6,149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8,114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ACL - loans to loans</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1.09 %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1.02 %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0.92 %</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xml:space="preserve">Net charge-offs to average loans </w:t>
            </w:r>
            <w:r>
              <w:rPr>
                <w:rFonts w:ascii="Arial" w:cs="Arial" w:eastAsia="Arial" w:hAnsi="Arial"/>
                <w:sz w:val="16"/>
                <w:szCs w:val="16"/>
                <w:color w:val="auto"/>
                <w:vertAlign w:val="superscript"/>
              </w:rPr>
              <w:t>(4)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NPAs to loans and foreclosed properties</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0.55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0.48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0.41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NPAs to total assets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 xml:space="preserve">AVERAGE BALANCES </w:t>
            </w:r>
            <w:r>
              <w:rPr>
                <w:rFonts w:ascii="Arial" w:cs="Arial" w:eastAsia="Arial" w:hAnsi="Arial"/>
                <w:sz w:val="13"/>
                <w:szCs w:val="13"/>
                <w:i w:val="1"/>
                <w:iCs w:val="1"/>
                <w:color w:val="auto"/>
              </w:rPr>
              <w:t>($ in millions)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Loans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11,433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11,595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11,644</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9,773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8,829</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Investment securities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3,991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Earning assets</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16,782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16,394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15,715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12,958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11,798</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18,023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17,698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17,013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12,944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Deposits</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15,366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15,057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14,460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12,071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10,915</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Shareholders’ equity</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1,653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Common shares - basic (thousands)</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87,322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87,258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87,129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78,920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79,340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shares - diluted (thousands)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87,466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87,333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87,205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78,924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79,446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 xml:space="preserve">AT PERIOD END </w:t>
            </w:r>
            <w:r>
              <w:rPr>
                <w:rFonts w:ascii="Arial" w:cs="Arial" w:eastAsia="Arial" w:hAnsi="Arial"/>
                <w:sz w:val="13"/>
                <w:szCs w:val="13"/>
                <w:i w:val="1"/>
                <w:iCs w:val="1"/>
                <w:color w:val="auto"/>
              </w:rPr>
              <w:t>($ in millions)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Loans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11,679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11,371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11,799</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10,133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8,935</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Investment securities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4,332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3,645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18,557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17,794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17,153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15,005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13,086</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Deposits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15,993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15,232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14,603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12,702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11,035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140"/>
              <w:spacing w:after="0"/>
              <w:rPr>
                <w:sz w:val="20"/>
                <w:szCs w:val="20"/>
                <w:color w:val="auto"/>
              </w:rPr>
            </w:pPr>
            <w:r>
              <w:rPr>
                <w:rFonts w:ascii="Arial" w:cs="Arial" w:eastAsia="Arial" w:hAnsi="Arial"/>
                <w:sz w:val="13"/>
                <w:szCs w:val="13"/>
                <w:color w:val="auto"/>
              </w:rPr>
              <w:t>Shareholders’ equity</w:t>
            </w: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2,031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2,008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1,967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1,772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1,641</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shares outstanding (thousands)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86,777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86,675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86,611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78,335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78,284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firstLine="8"/>
        <w:spacing w:after="0" w:line="265" w:lineRule="auto"/>
        <w:tabs>
          <w:tab w:leader="none" w:pos="138" w:val="left"/>
        </w:tabs>
        <w:numPr>
          <w:ilvl w:val="0"/>
          <w:numId w:val="7"/>
        </w:numPr>
        <w:rPr>
          <w:rFonts w:ascii="Arial" w:cs="Arial" w:eastAsia="Arial" w:hAnsi="Arial"/>
          <w:sz w:val="15"/>
          <w:szCs w:val="15"/>
          <w:color w:val="auto"/>
          <w:vertAlign w:val="superscript"/>
        </w:rPr>
      </w:pPr>
      <w:r>
        <w:rPr>
          <w:rFonts w:ascii="Arial" w:cs="Arial" w:eastAsia="Arial" w:hAnsi="Arial"/>
          <w:sz w:val="12"/>
          <w:szCs w:val="12"/>
          <w:color w:val="auto"/>
        </w:rPr>
        <w:t xml:space="preserve">Excludes merger-related and other charges. </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Net income less preferred stock dividends, divided by average realized common equity, which excludes AOCI. </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Excludes effect of acquisition related intangibles and associated amortization. </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Annualized.</w:t>
      </w:r>
    </w:p>
    <w:p>
      <w:pPr>
        <w:sectPr>
          <w:pgSz w:w="11900" w:h="16838" w:orient="portrait"/>
          <w:cols w:equalWidth="0" w:num="1">
            <w:col w:w="11240"/>
          </w:cols>
          <w:pgMar w:left="320" w:top="823" w:right="33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86"/>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UNITED COMMUNITY BANKS, INC.</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Table 1 (Continued) - Non-GAAP Performance Measures Reconciliation</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Financial Information</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6"/>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Fourth Quarter</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Third Quarter</w:t>
            </w:r>
          </w:p>
        </w:tc>
        <w:tc>
          <w:tcPr>
            <w:tcW w:w="12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7"/>
              </w:rPr>
              <w:t>Second Quarter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First Quarter</w:t>
            </w:r>
          </w:p>
        </w:tc>
      </w:tr>
      <w:tr>
        <w:trPr>
          <w:trHeight w:val="326"/>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 reconciliation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5"/>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Expenses (GAAP)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95,194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106,490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95,981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83,980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81,538</w:t>
            </w:r>
          </w:p>
        </w:tc>
      </w:tr>
      <w:tr>
        <w:trPr>
          <w:trHeight w:val="186"/>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Merger-related and other charges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(1,543)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(2,452)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(3,361)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(808)</w:t>
            </w:r>
          </w:p>
        </w:tc>
      </w:tr>
      <w:tr>
        <w:trPr>
          <w:trHeight w:val="211"/>
        </w:trPr>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Expenses - operating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93,651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104,038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92,620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83,583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80,730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reconciliation</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Net income (GAAP)</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73,706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59,502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47,607</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25,096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31,884</w:t>
            </w:r>
          </w:p>
        </w:tc>
      </w:tr>
      <w:tr>
        <w:trPr>
          <w:trHeight w:val="192"/>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3,361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808</w:t>
            </w:r>
          </w:p>
        </w:tc>
      </w:tr>
      <w:tr>
        <w:trPr>
          <w:trHeight w:val="186"/>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benefit of merger-related and other charges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(182)</w:t>
            </w:r>
          </w:p>
        </w:tc>
      </w:tr>
      <w:tr>
        <w:trPr>
          <w:trHeight w:val="211"/>
        </w:trPr>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income - operating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74,914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61,402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50,449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25,406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32,510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Diluted income per common share (GAAP)</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0.82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0.40</w:t>
            </w:r>
          </w:p>
        </w:tc>
      </w:tr>
      <w:tr>
        <w:trPr>
          <w:trHeight w:val="18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r>
      <w:tr>
        <w:trPr>
          <w:trHeight w:val="186"/>
        </w:trPr>
        <w:tc>
          <w:tcPr>
            <w:tcW w:w="5240" w:type="dxa"/>
            <w:vAlign w:val="bottom"/>
            <w:gridSpan w:val="2"/>
          </w:tcPr>
          <w:p>
            <w:pPr>
              <w:ind w:left="140"/>
              <w:spacing w:after="0"/>
              <w:rPr>
                <w:sz w:val="20"/>
                <w:szCs w:val="20"/>
                <w:color w:val="auto"/>
              </w:rPr>
            </w:pPr>
            <w:r>
              <w:rPr>
                <w:rFonts w:ascii="Arial" w:cs="Arial" w:eastAsia="Arial" w:hAnsi="Arial"/>
                <w:sz w:val="14"/>
                <w:szCs w:val="14"/>
                <w:color w:val="auto"/>
              </w:rPr>
              <w:t>Diluted income per common share - operating</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0.41</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5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Book value per common share reconciliation</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Book value per common share (GAAP)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21.45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20.80</w:t>
            </w:r>
          </w:p>
        </w:tc>
      </w:tr>
      <w:tr>
        <w:trPr>
          <w:trHeight w:val="186"/>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(4.28)</w:t>
            </w:r>
          </w:p>
        </w:tc>
      </w:tr>
      <w:tr>
        <w:trPr>
          <w:trHeight w:val="211"/>
        </w:trPr>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Tangible book value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17.83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17.56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17.09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16.95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16.52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Return on common equity (GAAP)</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15.37 %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12.36 %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10.06 %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7.85 %</w:t>
            </w:r>
          </w:p>
        </w:tc>
      </w:tr>
      <w:tr>
        <w:trPr>
          <w:trHeight w:val="192"/>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0.41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0.16</w:t>
            </w:r>
          </w:p>
        </w:tc>
      </w:tr>
      <w:tr>
        <w:trPr>
          <w:trHeight w:val="179"/>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Return on common equity - operating</w:t>
            </w:r>
          </w:p>
        </w:tc>
        <w:tc>
          <w:tcPr>
            <w:tcW w:w="10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15.63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12.77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10.69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8.01</w:t>
            </w:r>
          </w:p>
        </w:tc>
      </w:tr>
      <w:tr>
        <w:trPr>
          <w:trHeight w:val="18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2.56</w:t>
            </w:r>
          </w:p>
        </w:tc>
      </w:tr>
      <w:tr>
        <w:trPr>
          <w:trHeight w:val="186"/>
        </w:trPr>
        <w:tc>
          <w:tcPr>
            <w:tcW w:w="5240" w:type="dxa"/>
            <w:vAlign w:val="bottom"/>
            <w:gridSpan w:val="2"/>
          </w:tcPr>
          <w:p>
            <w:pPr>
              <w:ind w:left="140"/>
              <w:spacing w:after="0"/>
              <w:rPr>
                <w:sz w:val="20"/>
                <w:szCs w:val="20"/>
                <w:color w:val="auto"/>
              </w:rPr>
            </w:pPr>
            <w:r>
              <w:rPr>
                <w:rFonts w:ascii="Arial" w:cs="Arial" w:eastAsia="Arial" w:hAnsi="Arial"/>
                <w:sz w:val="14"/>
                <w:szCs w:val="14"/>
                <w:color w:val="auto"/>
              </w:rPr>
              <w:t>Return on tangible common equity - operating</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19.68 %</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16.23 %</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13.52 %</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8.09 %</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0"/>
        </w:trPr>
        <w:tc>
          <w:tcPr>
            <w:tcW w:w="5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Return on assets reconciliation</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Return on assets (GAAP)</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0.71 %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0.99 %</w:t>
            </w:r>
          </w:p>
        </w:tc>
      </w:tr>
      <w:tr>
        <w:trPr>
          <w:trHeight w:val="186"/>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0.02</w:t>
            </w:r>
          </w:p>
        </w:tc>
      </w:tr>
      <w:tr>
        <w:trPr>
          <w:trHeight w:val="211"/>
        </w:trPr>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Return on assets - operating</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1">
            <w:col w:w="11240"/>
          </w:cols>
          <w:pgMar w:left="320" w:top="819" w:right="339" w:bottom="1440" w:gutter="0" w:footer="0" w:header="0"/>
        </w:sectPr>
      </w:pPr>
    </w:p>
    <w:p>
      <w:pPr>
        <w:ind w:left="20"/>
        <w:spacing w:after="0"/>
        <w:rPr>
          <w:sz w:val="20"/>
          <w:szCs w:val="20"/>
          <w:color w:val="auto"/>
        </w:rPr>
      </w:pPr>
      <w:r>
        <w:rPr>
          <w:rFonts w:ascii="Arial" w:cs="Arial" w:eastAsia="Arial" w:hAnsi="Arial"/>
          <w:sz w:val="14"/>
          <w:szCs w:val="14"/>
          <w:b w:val="1"/>
          <w:bCs w:val="1"/>
          <w:color w:val="auto"/>
        </w:rPr>
        <w:t>Dividend payout ratio reconciliation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 payout ratio (GAAP)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Merger-related and other charges, net of tax</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Dividend payout ratio - operating</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00" w:type="dxa"/>
            <w:vAlign w:val="bottom"/>
          </w:tcPr>
          <w:p>
            <w:pPr>
              <w:ind w:left="600"/>
              <w:spacing w:after="0"/>
              <w:rPr>
                <w:sz w:val="20"/>
                <w:szCs w:val="20"/>
                <w:color w:val="auto"/>
              </w:rPr>
            </w:pPr>
            <w:r>
              <w:rPr>
                <w:rFonts w:ascii="Arial" w:cs="Arial" w:eastAsia="Arial" w:hAnsi="Arial"/>
                <w:sz w:val="14"/>
                <w:szCs w:val="14"/>
                <w:color w:val="auto"/>
                <w:w w:val="93"/>
              </w:rPr>
              <w:t>23.17 %</w:t>
            </w:r>
          </w:p>
        </w:tc>
        <w:tc>
          <w:tcPr>
            <w:tcW w:w="100" w:type="dxa"/>
            <w:vAlign w:val="bottom"/>
          </w:tcPr>
          <w:p>
            <w:pPr>
              <w:spacing w:after="0"/>
              <w:rPr>
                <w:sz w:val="15"/>
                <w:szCs w:val="15"/>
                <w:color w:val="auto"/>
              </w:rPr>
            </w:pPr>
          </w:p>
        </w:tc>
        <w:tc>
          <w:tcPr>
            <w:tcW w:w="1120" w:type="dxa"/>
            <w:vAlign w:val="bottom"/>
          </w:tcPr>
          <w:p>
            <w:pPr>
              <w:ind w:left="620"/>
              <w:spacing w:after="0"/>
              <w:rPr>
                <w:sz w:val="20"/>
                <w:szCs w:val="20"/>
                <w:color w:val="auto"/>
              </w:rPr>
            </w:pPr>
            <w:r>
              <w:rPr>
                <w:rFonts w:ascii="Arial" w:cs="Arial" w:eastAsia="Arial" w:hAnsi="Arial"/>
                <w:sz w:val="14"/>
                <w:szCs w:val="14"/>
                <w:color w:val="auto"/>
                <w:w w:val="93"/>
              </w:rPr>
              <w:t>27.27 %</w:t>
            </w:r>
          </w:p>
        </w:tc>
        <w:tc>
          <w:tcPr>
            <w:tcW w:w="120" w:type="dxa"/>
            <w:vAlign w:val="bottom"/>
          </w:tcPr>
          <w:p>
            <w:pPr>
              <w:spacing w:after="0"/>
              <w:rPr>
                <w:sz w:val="15"/>
                <w:szCs w:val="15"/>
                <w:color w:val="auto"/>
              </w:rPr>
            </w:pPr>
          </w:p>
        </w:tc>
        <w:tc>
          <w:tcPr>
            <w:tcW w:w="1100" w:type="dxa"/>
            <w:vAlign w:val="bottom"/>
          </w:tcPr>
          <w:p>
            <w:pPr>
              <w:ind w:left="600"/>
              <w:spacing w:after="0"/>
              <w:rPr>
                <w:sz w:val="20"/>
                <w:szCs w:val="20"/>
                <w:color w:val="auto"/>
              </w:rPr>
            </w:pPr>
            <w:r>
              <w:rPr>
                <w:rFonts w:ascii="Arial" w:cs="Arial" w:eastAsia="Arial" w:hAnsi="Arial"/>
                <w:sz w:val="14"/>
                <w:szCs w:val="14"/>
                <w:color w:val="auto"/>
                <w:w w:val="93"/>
              </w:rPr>
              <w:t>34.62 %</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56.25 %</w:t>
            </w:r>
          </w:p>
        </w:tc>
        <w:tc>
          <w:tcPr>
            <w:tcW w:w="100" w:type="dxa"/>
            <w:vAlign w:val="bottom"/>
          </w:tcPr>
          <w:p>
            <w:pPr>
              <w:spacing w:after="0"/>
              <w:rPr>
                <w:sz w:val="15"/>
                <w:szCs w:val="15"/>
                <w:color w:val="auto"/>
              </w:rPr>
            </w:pPr>
          </w:p>
        </w:tc>
        <w:tc>
          <w:tcPr>
            <w:tcW w:w="1120" w:type="dxa"/>
            <w:vAlign w:val="bottom"/>
          </w:tcPr>
          <w:p>
            <w:pPr>
              <w:ind w:left="620"/>
              <w:spacing w:after="0"/>
              <w:rPr>
                <w:sz w:val="20"/>
                <w:szCs w:val="20"/>
                <w:color w:val="auto"/>
              </w:rPr>
            </w:pPr>
            <w:r>
              <w:rPr>
                <w:rFonts w:ascii="Arial" w:cs="Arial" w:eastAsia="Arial" w:hAnsi="Arial"/>
                <w:sz w:val="14"/>
                <w:szCs w:val="14"/>
                <w:color w:val="auto"/>
                <w:w w:val="93"/>
              </w:rPr>
              <w:t>45.00 %</w:t>
            </w:r>
          </w:p>
        </w:tc>
      </w:tr>
      <w:tr>
        <w:trPr>
          <w:trHeight w:val="195"/>
        </w:trPr>
        <w:tc>
          <w:tcPr>
            <w:tcW w:w="1100" w:type="dxa"/>
            <w:vAlign w:val="bottom"/>
          </w:tcPr>
          <w:p>
            <w:pPr>
              <w:ind w:left="600"/>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6"/>
                <w:szCs w:val="16"/>
                <w:color w:val="auto"/>
              </w:rPr>
            </w:pPr>
          </w:p>
        </w:tc>
        <w:tc>
          <w:tcPr>
            <w:tcW w:w="1120" w:type="dxa"/>
            <w:vAlign w:val="bottom"/>
          </w:tcPr>
          <w:p>
            <w:pPr>
              <w:ind w:left="640"/>
              <w:spacing w:after="0"/>
              <w:rPr>
                <w:sz w:val="20"/>
                <w:szCs w:val="20"/>
                <w:color w:val="auto"/>
              </w:rPr>
            </w:pPr>
            <w:r>
              <w:rPr>
                <w:rFonts w:ascii="Arial" w:cs="Arial" w:eastAsia="Arial" w:hAnsi="Arial"/>
                <w:sz w:val="14"/>
                <w:szCs w:val="14"/>
                <w:color w:val="auto"/>
              </w:rPr>
              <w:t>(0.80)</w:t>
            </w:r>
          </w:p>
        </w:tc>
        <w:tc>
          <w:tcPr>
            <w:tcW w:w="120" w:type="dxa"/>
            <w:vAlign w:val="bottom"/>
          </w:tcPr>
          <w:p>
            <w:pPr>
              <w:spacing w:after="0"/>
              <w:rPr>
                <w:sz w:val="16"/>
                <w:szCs w:val="16"/>
                <w:color w:val="auto"/>
              </w:rPr>
            </w:pPr>
          </w:p>
        </w:tc>
        <w:tc>
          <w:tcPr>
            <w:tcW w:w="1100" w:type="dxa"/>
            <w:vAlign w:val="bottom"/>
          </w:tcPr>
          <w:p>
            <w:pPr>
              <w:ind w:left="600"/>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20" w:type="dxa"/>
            <w:vAlign w:val="bottom"/>
          </w:tcPr>
          <w:p>
            <w:pPr>
              <w:ind w:left="620"/>
              <w:spacing w:after="0"/>
              <w:rPr>
                <w:sz w:val="20"/>
                <w:szCs w:val="20"/>
                <w:color w:val="auto"/>
              </w:rPr>
            </w:pPr>
            <w:r>
              <w:rPr>
                <w:rFonts w:ascii="Arial" w:cs="Arial" w:eastAsia="Arial" w:hAnsi="Arial"/>
                <w:sz w:val="14"/>
                <w:szCs w:val="14"/>
                <w:color w:val="auto"/>
              </w:rPr>
              <w:t>(1.10)</w:t>
            </w:r>
          </w:p>
        </w:tc>
      </w:tr>
      <w:tr>
        <w:trPr>
          <w:trHeight w:val="185"/>
        </w:trPr>
        <w:tc>
          <w:tcPr>
            <w:tcW w:w="11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w w:val="93"/>
              </w:rPr>
              <w:t>22.89 %</w:t>
            </w:r>
          </w:p>
        </w:tc>
        <w:tc>
          <w:tcPr>
            <w:tcW w:w="100" w:type="dxa"/>
            <w:vAlign w:val="bottom"/>
          </w:tcPr>
          <w:p>
            <w:pPr>
              <w:spacing w:after="0"/>
              <w:rPr>
                <w:sz w:val="16"/>
                <w:szCs w:val="16"/>
                <w:color w:val="auto"/>
              </w:rPr>
            </w:pPr>
          </w:p>
        </w:tc>
        <w:tc>
          <w:tcPr>
            <w:tcW w:w="11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w w:val="93"/>
              </w:rPr>
              <w:t>26.47 %</w:t>
            </w:r>
          </w:p>
        </w:tc>
        <w:tc>
          <w:tcPr>
            <w:tcW w:w="120" w:type="dxa"/>
            <w:vAlign w:val="bottom"/>
          </w:tcPr>
          <w:p>
            <w:pPr>
              <w:spacing w:after="0"/>
              <w:rPr>
                <w:sz w:val="16"/>
                <w:szCs w:val="16"/>
                <w:color w:val="auto"/>
              </w:rPr>
            </w:pPr>
          </w:p>
        </w:tc>
        <w:tc>
          <w:tcPr>
            <w:tcW w:w="11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w w:val="93"/>
              </w:rPr>
              <w:t>32.73 %</w:t>
            </w:r>
          </w:p>
        </w:tc>
        <w:tc>
          <w:tcPr>
            <w:tcW w:w="1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56.25 %</w:t>
            </w:r>
          </w:p>
        </w:tc>
        <w:tc>
          <w:tcPr>
            <w:tcW w:w="100" w:type="dxa"/>
            <w:vAlign w:val="bottom"/>
          </w:tcPr>
          <w:p>
            <w:pPr>
              <w:spacing w:after="0"/>
              <w:rPr>
                <w:sz w:val="16"/>
                <w:szCs w:val="16"/>
                <w:color w:val="auto"/>
              </w:rPr>
            </w:pPr>
          </w:p>
        </w:tc>
        <w:tc>
          <w:tcPr>
            <w:tcW w:w="11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w w:val="93"/>
              </w:rPr>
              <w:t>43.90 %</w:t>
            </w:r>
          </w:p>
        </w:tc>
      </w:tr>
      <w:tr>
        <w:trPr>
          <w:trHeight w:val="24"/>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-521970</wp:posOffset>
            </wp:positionV>
            <wp:extent cx="713232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-281940</wp:posOffset>
            </wp:positionV>
            <wp:extent cx="713232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-16510</wp:posOffset>
            </wp:positionV>
            <wp:extent cx="71323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4520" w:space="720"/>
            <w:col w:w="6000"/>
          </w:cols>
          <w:pgMar w:left="320" w:top="819" w:right="33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Efficiency ratio reconciliation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Efficiency ratio (GAAP)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Merger-related and other charges</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Efficiency ratio - operating</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00" w:type="dxa"/>
            <w:vAlign w:val="bottom"/>
          </w:tcPr>
          <w:p>
            <w:pPr>
              <w:ind w:left="600"/>
              <w:spacing w:after="0"/>
              <w:rPr>
                <w:sz w:val="20"/>
                <w:szCs w:val="20"/>
                <w:color w:val="auto"/>
              </w:rPr>
            </w:pPr>
            <w:r>
              <w:rPr>
                <w:rFonts w:ascii="Arial" w:cs="Arial" w:eastAsia="Arial" w:hAnsi="Arial"/>
                <w:sz w:val="14"/>
                <w:szCs w:val="14"/>
                <w:color w:val="auto"/>
                <w:w w:val="93"/>
              </w:rPr>
              <w:t>53.55 %</w:t>
            </w:r>
          </w:p>
        </w:tc>
        <w:tc>
          <w:tcPr>
            <w:tcW w:w="100" w:type="dxa"/>
            <w:vAlign w:val="bottom"/>
          </w:tcPr>
          <w:p>
            <w:pPr>
              <w:spacing w:after="0"/>
              <w:rPr>
                <w:sz w:val="15"/>
                <w:szCs w:val="15"/>
                <w:color w:val="auto"/>
              </w:rPr>
            </w:pPr>
          </w:p>
        </w:tc>
        <w:tc>
          <w:tcPr>
            <w:tcW w:w="1120" w:type="dxa"/>
            <w:vAlign w:val="bottom"/>
          </w:tcPr>
          <w:p>
            <w:pPr>
              <w:ind w:left="620"/>
              <w:spacing w:after="0"/>
              <w:rPr>
                <w:sz w:val="20"/>
                <w:szCs w:val="20"/>
                <w:color w:val="auto"/>
              </w:rPr>
            </w:pPr>
            <w:r>
              <w:rPr>
                <w:rFonts w:ascii="Arial" w:cs="Arial" w:eastAsia="Arial" w:hAnsi="Arial"/>
                <w:sz w:val="14"/>
                <w:szCs w:val="14"/>
                <w:color w:val="auto"/>
                <w:w w:val="93"/>
              </w:rPr>
              <w:t>56.73 %</w:t>
            </w:r>
          </w:p>
        </w:tc>
        <w:tc>
          <w:tcPr>
            <w:tcW w:w="120" w:type="dxa"/>
            <w:vAlign w:val="bottom"/>
          </w:tcPr>
          <w:p>
            <w:pPr>
              <w:spacing w:after="0"/>
              <w:rPr>
                <w:sz w:val="15"/>
                <w:szCs w:val="15"/>
                <w:color w:val="auto"/>
              </w:rPr>
            </w:pPr>
          </w:p>
        </w:tc>
        <w:tc>
          <w:tcPr>
            <w:tcW w:w="1100" w:type="dxa"/>
            <w:vAlign w:val="bottom"/>
          </w:tcPr>
          <w:p>
            <w:pPr>
              <w:ind w:left="600"/>
              <w:spacing w:after="0"/>
              <w:rPr>
                <w:sz w:val="20"/>
                <w:szCs w:val="20"/>
                <w:color w:val="auto"/>
              </w:rPr>
            </w:pPr>
            <w:r>
              <w:rPr>
                <w:rFonts w:ascii="Arial" w:cs="Arial" w:eastAsia="Arial" w:hAnsi="Arial"/>
                <w:sz w:val="14"/>
                <w:szCs w:val="14"/>
                <w:color w:val="auto"/>
                <w:w w:val="93"/>
              </w:rPr>
              <w:t>54.14 %</w:t>
            </w:r>
          </w:p>
        </w:tc>
        <w:tc>
          <w:tcPr>
            <w:tcW w:w="120" w:type="dxa"/>
            <w:vAlign w:val="bottom"/>
          </w:tcPr>
          <w:p>
            <w:pPr>
              <w:spacing w:after="0"/>
              <w:rPr>
                <w:sz w:val="15"/>
                <w:szCs w:val="15"/>
                <w:color w:val="auto"/>
              </w:rPr>
            </w:pPr>
          </w:p>
        </w:tc>
        <w:tc>
          <w:tcPr>
            <w:tcW w:w="1120" w:type="dxa"/>
            <w:vAlign w:val="bottom"/>
          </w:tcPr>
          <w:p>
            <w:pPr>
              <w:ind w:left="600"/>
              <w:spacing w:after="0"/>
              <w:rPr>
                <w:sz w:val="20"/>
                <w:szCs w:val="20"/>
                <w:color w:val="auto"/>
              </w:rPr>
            </w:pPr>
            <w:r>
              <w:rPr>
                <w:rFonts w:ascii="Arial" w:cs="Arial" w:eastAsia="Arial" w:hAnsi="Arial"/>
                <w:sz w:val="14"/>
                <w:szCs w:val="14"/>
                <w:color w:val="auto"/>
                <w:w w:val="97"/>
              </w:rPr>
              <w:t>55.86 %</w:t>
            </w:r>
          </w:p>
        </w:tc>
        <w:tc>
          <w:tcPr>
            <w:tcW w:w="100" w:type="dxa"/>
            <w:vAlign w:val="bottom"/>
          </w:tcPr>
          <w:p>
            <w:pPr>
              <w:spacing w:after="0"/>
              <w:rPr>
                <w:sz w:val="15"/>
                <w:szCs w:val="15"/>
                <w:color w:val="auto"/>
              </w:rPr>
            </w:pPr>
          </w:p>
        </w:tc>
        <w:tc>
          <w:tcPr>
            <w:tcW w:w="1120" w:type="dxa"/>
            <w:vAlign w:val="bottom"/>
          </w:tcPr>
          <w:p>
            <w:pPr>
              <w:ind w:left="620"/>
              <w:spacing w:after="0"/>
              <w:rPr>
                <w:sz w:val="20"/>
                <w:szCs w:val="20"/>
                <w:color w:val="auto"/>
              </w:rPr>
            </w:pPr>
            <w:r>
              <w:rPr>
                <w:rFonts w:ascii="Arial" w:cs="Arial" w:eastAsia="Arial" w:hAnsi="Arial"/>
                <w:sz w:val="14"/>
                <w:szCs w:val="14"/>
                <w:color w:val="auto"/>
                <w:w w:val="93"/>
              </w:rPr>
              <w:t>56.15 %</w:t>
            </w:r>
          </w:p>
        </w:tc>
      </w:tr>
      <w:tr>
        <w:trPr>
          <w:trHeight w:val="195"/>
        </w:trPr>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(0.87)</w:t>
            </w:r>
          </w:p>
        </w:tc>
        <w:tc>
          <w:tcPr>
            <w:tcW w:w="100" w:type="dxa"/>
            <w:vAlign w:val="bottom"/>
          </w:tcPr>
          <w:p>
            <w:pPr>
              <w:spacing w:after="0"/>
              <w:rPr>
                <w:sz w:val="16"/>
                <w:szCs w:val="16"/>
                <w:color w:val="auto"/>
              </w:rPr>
            </w:pP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6"/>
                <w:szCs w:val="16"/>
                <w:color w:val="auto"/>
              </w:rPr>
            </w:pP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16"/>
                <w:szCs w:val="16"/>
                <w:color w:val="auto"/>
              </w:rPr>
            </w:pP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(0.56)</w:t>
            </w:r>
          </w:p>
        </w:tc>
      </w:tr>
      <w:tr>
        <w:trPr>
          <w:trHeight w:val="185"/>
        </w:trPr>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w w:val="93"/>
              </w:rPr>
              <w:t>52.68 %</w:t>
            </w:r>
          </w:p>
        </w:tc>
        <w:tc>
          <w:tcPr>
            <w:tcW w:w="100" w:type="dxa"/>
            <w:vAlign w:val="bottom"/>
          </w:tcPr>
          <w:p>
            <w:pPr>
              <w:spacing w:after="0"/>
              <w:rPr>
                <w:sz w:val="16"/>
                <w:szCs w:val="16"/>
                <w:color w:val="auto"/>
              </w:rPr>
            </w:pP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93"/>
              </w:rPr>
              <w:t>55.42 %</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w w:val="93"/>
              </w:rPr>
              <w:t>52.24 %</w:t>
            </w:r>
          </w:p>
        </w:tc>
        <w:tc>
          <w:tcPr>
            <w:tcW w:w="120" w:type="dxa"/>
            <w:vAlign w:val="bottom"/>
          </w:tcPr>
          <w:p>
            <w:pPr>
              <w:spacing w:after="0"/>
              <w:rPr>
                <w:sz w:val="16"/>
                <w:szCs w:val="16"/>
                <w:color w:val="auto"/>
              </w:rPr>
            </w:pPr>
          </w:p>
        </w:tc>
        <w:tc>
          <w:tcPr>
            <w:tcW w:w="11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w w:val="97"/>
              </w:rPr>
              <w:t>55.59 %</w:t>
            </w:r>
          </w:p>
        </w:tc>
        <w:tc>
          <w:tcPr>
            <w:tcW w:w="100" w:type="dxa"/>
            <w:vAlign w:val="bottom"/>
          </w:tcPr>
          <w:p>
            <w:pPr>
              <w:spacing w:after="0"/>
              <w:rPr>
                <w:sz w:val="16"/>
                <w:szCs w:val="16"/>
                <w:color w:val="auto"/>
              </w:rPr>
            </w:pP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93"/>
              </w:rPr>
              <w:t>55.59 %</w:t>
            </w:r>
          </w:p>
        </w:tc>
      </w:tr>
      <w:tr>
        <w:trPr>
          <w:trHeight w:val="24"/>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-401955</wp:posOffset>
            </wp:positionV>
            <wp:extent cx="713232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-161925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520" w:space="720"/>
            <w:col w:w="600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Tangible common equity to tangible assets reconciliation</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6"/>
        </w:trPr>
        <w:tc>
          <w:tcPr>
            <w:tcW w:w="5240" w:type="dxa"/>
            <w:vAlign w:val="bottom"/>
          </w:tcPr>
          <w:p>
            <w:pPr>
              <w:ind w:left="20"/>
              <w:spacing w:after="0"/>
              <w:rPr>
                <w:sz w:val="20"/>
                <w:szCs w:val="20"/>
                <w:color w:val="auto"/>
              </w:rPr>
            </w:pPr>
            <w:r>
              <w:rPr>
                <w:rFonts w:ascii="Arial" w:cs="Arial" w:eastAsia="Arial" w:hAnsi="Arial"/>
                <w:sz w:val="14"/>
                <w:szCs w:val="14"/>
                <w:color w:val="auto"/>
              </w:rPr>
              <w:t>Equity to total assets (GAAP)</w:t>
            </w:r>
          </w:p>
        </w:tc>
        <w:tc>
          <w:tcPr>
            <w:tcW w:w="1100" w:type="dxa"/>
            <w:vAlign w:val="bottom"/>
          </w:tcPr>
          <w:p>
            <w:pPr>
              <w:jc w:val="right"/>
              <w:spacing w:after="0"/>
              <w:rPr>
                <w:sz w:val="20"/>
                <w:szCs w:val="20"/>
                <w:color w:val="auto"/>
              </w:rPr>
            </w:pPr>
            <w:r>
              <w:rPr>
                <w:rFonts w:ascii="Arial" w:cs="Arial" w:eastAsia="Arial" w:hAnsi="Arial"/>
                <w:sz w:val="14"/>
                <w:szCs w:val="14"/>
                <w:color w:val="auto"/>
              </w:rPr>
              <w:t>10.95 %</w:t>
            </w:r>
          </w:p>
        </w:tc>
        <w:tc>
          <w:tcPr>
            <w:tcW w:w="100" w:type="dxa"/>
            <w:vAlign w:val="bottom"/>
          </w:tcPr>
          <w:p>
            <w:pPr>
              <w:spacing w:after="0"/>
              <w:rPr>
                <w:sz w:val="16"/>
                <w:szCs w:val="16"/>
                <w:color w:val="auto"/>
              </w:rPr>
            </w:pPr>
          </w:p>
        </w:tc>
        <w:tc>
          <w:tcPr>
            <w:tcW w:w="1120" w:type="dxa"/>
            <w:vAlign w:val="bottom"/>
          </w:tcPr>
          <w:p>
            <w:pPr>
              <w:ind w:left="620"/>
              <w:spacing w:after="0"/>
              <w:rPr>
                <w:sz w:val="20"/>
                <w:szCs w:val="20"/>
                <w:color w:val="auto"/>
              </w:rPr>
            </w:pPr>
            <w:r>
              <w:rPr>
                <w:rFonts w:ascii="Arial" w:cs="Arial" w:eastAsia="Arial" w:hAnsi="Arial"/>
                <w:sz w:val="14"/>
                <w:szCs w:val="14"/>
                <w:color w:val="auto"/>
                <w:w w:val="93"/>
              </w:rPr>
              <w:t>11.29 %</w:t>
            </w:r>
          </w:p>
        </w:tc>
        <w:tc>
          <w:tcPr>
            <w:tcW w:w="120" w:type="dxa"/>
            <w:vAlign w:val="bottom"/>
          </w:tcPr>
          <w:p>
            <w:pPr>
              <w:spacing w:after="0"/>
              <w:rPr>
                <w:sz w:val="16"/>
                <w:szCs w:val="16"/>
                <w:color w:val="auto"/>
              </w:rPr>
            </w:pPr>
          </w:p>
        </w:tc>
        <w:tc>
          <w:tcPr>
            <w:tcW w:w="1100" w:type="dxa"/>
            <w:vAlign w:val="bottom"/>
          </w:tcPr>
          <w:p>
            <w:pPr>
              <w:ind w:left="600"/>
              <w:spacing w:after="0"/>
              <w:rPr>
                <w:sz w:val="20"/>
                <w:szCs w:val="20"/>
                <w:color w:val="auto"/>
              </w:rPr>
            </w:pPr>
            <w:r>
              <w:rPr>
                <w:rFonts w:ascii="Arial" w:cs="Arial" w:eastAsia="Arial" w:hAnsi="Arial"/>
                <w:sz w:val="14"/>
                <w:szCs w:val="14"/>
                <w:color w:val="auto"/>
                <w:w w:val="93"/>
              </w:rPr>
              <w:t>11.47 %</w:t>
            </w:r>
          </w:p>
        </w:tc>
        <w:tc>
          <w:tcPr>
            <w:tcW w:w="120" w:type="dxa"/>
            <w:vAlign w:val="bottom"/>
          </w:tcPr>
          <w:p>
            <w:pPr>
              <w:spacing w:after="0"/>
              <w:rPr>
                <w:sz w:val="16"/>
                <w:szCs w:val="16"/>
                <w:color w:val="auto"/>
              </w:rPr>
            </w:pPr>
          </w:p>
        </w:tc>
        <w:tc>
          <w:tcPr>
            <w:tcW w:w="1120" w:type="dxa"/>
            <w:vAlign w:val="bottom"/>
          </w:tcPr>
          <w:p>
            <w:pPr>
              <w:ind w:left="600"/>
              <w:spacing w:after="0"/>
              <w:rPr>
                <w:sz w:val="20"/>
                <w:szCs w:val="20"/>
                <w:color w:val="auto"/>
              </w:rPr>
            </w:pPr>
            <w:r>
              <w:rPr>
                <w:rFonts w:ascii="Arial" w:cs="Arial" w:eastAsia="Arial" w:hAnsi="Arial"/>
                <w:sz w:val="14"/>
                <w:szCs w:val="14"/>
                <w:color w:val="auto"/>
                <w:w w:val="97"/>
              </w:rPr>
              <w:t>11.81 %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12.54 %</w:t>
            </w:r>
          </w:p>
        </w:tc>
      </w:tr>
      <w:tr>
        <w:trPr>
          <w:trHeight w:val="19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r>
      <w:tr>
        <w:trPr>
          <w:trHeight w:val="18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preferred equity</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(0.54)</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(0.56)</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(0.64)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11"/>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Tangible common equity to tangible assets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8.57 %</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8.81 %</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8.89 %</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9.12 %</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Net Interest Revenue</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w:t>
      </w:r>
    </w:p>
    <w:p>
      <w:pPr>
        <w:spacing w:after="0" w:line="1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banking industry generally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shareholders’ equity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shareholders’ equity.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for the first quarters of 2021 and 2020 was $132 million and $119 million, respectively. As set forth in the following table, FTE net interest revenue for the first quarter of 2021 was $133 million, representing an increase of $13.6 million, or 11%, from the same period in 2020. The net interest spread for the first quarters of 2021 and 2020 was 3.06% and 3.73%, respectively. The net interest margin for the first quarters of 2021 and 2020 was 3.22% and 4.07%, respectively.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indicates the relationship between interest revenue and expense and the average amounts of assets and liabilities for the periods indicated. Both average assets and average liabilities for the three months ended March 31, 2021 increased compared to the same period of 2020. The increase in average assets was primarily driven by increases in average loans of $2.60 billion, average securities of $1.47 billion and interest-bearing deposits in banks of $909 million. The increase in average liabilities was primarily driven by the $4.45 billion increase in average deposits, which funded much of the growth in average assets for the three months ended March 31, 2021.</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organic growth, the increases in average loans and deposits reflect loans and deposits acquired from Seaside and the addition of PPP loans to our loan portfolio. PPP loans also contributed to deposit growth, since in many cases the proceeds of PPP loans remained in United customer deposit accounts during the first quarter of 2021. Approximately $2.30 billion of the increase in average loans can be attributed to the Seaside and PPP loan portfolios. In addition, the forgiveness of PPP loans has generated additional liquidity, reflected in higher cash balances and a larger investment portfolio.</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increase in net interest revenue for the three months ended March 31, 2021 compared to the same period of 2020 was primarily driven by the acquisition of Seaside, the loan growth discussed above and accelerated recognition of net deferred PPP loan fees upon loan forgiveness or repayment. These contributors to net interest revenue were partially offset by the impact of historically low interest rates and a $2.59 million decrease in purchase loan accretion compared to the same period of 2020, which in turn negatively impacted our net interest margin and net interest spread. Additionally, while PPP loans have significantly contributed to loan growth over the past few quarters, the low contractual interest rate on these loans has exerted negative pressure on the net interest margin and net interest spread. The impact of the decrease in net interest margin was partially mitigated by the growth in noninterest-bearing deposits, which increased $2.07 billion since the first quarter of 2020. Noninterest-bearing deposits comprised 36% of average total deposits for the first quarter of 2021 compared to 32% for the first quarter of 2020. The investment of excess cash into our securities portfolio also has helped improve the earning asset mix and mitigate the impact of the low interest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thousands, FTE)</w:t>
            </w: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1"/>
              </w:rPr>
              <w:t>Average Rate</w:t>
            </w:r>
          </w:p>
        </w:tc>
        <w:tc>
          <w:tcPr>
            <w:tcW w:w="0" w:type="dxa"/>
            <w:vAlign w:val="bottom"/>
          </w:tcPr>
          <w:p>
            <w:pPr>
              <w:spacing w:after="0"/>
              <w:rPr>
                <w:sz w:val="1"/>
                <w:szCs w:val="1"/>
                <w:color w:val="auto"/>
              </w:rPr>
            </w:pPr>
          </w:p>
        </w:tc>
      </w:tr>
      <w:tr>
        <w:trPr>
          <w:trHeight w:val="213"/>
        </w:trPr>
        <w:tc>
          <w:tcPr>
            <w:tcW w:w="4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11,432,908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125,122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4.44 %</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8,828,880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117,796</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w w:val="92"/>
              </w:rPr>
              <w:t>5.37 %</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2,357,635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304,983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2,888</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162,253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1,357,890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448,775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16,782,186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142,530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11,797,543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137,344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140,292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140"/>
              <w:spacing w:after="0" w:line="216"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1,023,275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868,452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18,023,461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12,943,715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NOW and interest-bearing demand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3,331,043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0.18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2,412,733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2,978</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2,340,723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989,584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712,110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1,841,552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9,771,297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7,387,939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07"/>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4,257</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320,517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213,323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10,091,814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7,601,262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15,998,818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11,290,834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2,024,643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1,652,881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18,023,461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12,943,715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133,052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119,403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3.06 %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6"/>
                <w:szCs w:val="16"/>
                <w:color w:val="auto"/>
                <w:w w:val="92"/>
              </w:rPr>
              <w:t>3.73 %</w:t>
            </w:r>
          </w:p>
        </w:tc>
        <w:tc>
          <w:tcPr>
            <w:tcW w:w="0" w:type="dxa"/>
            <w:vAlign w:val="bottom"/>
          </w:tcPr>
          <w:p>
            <w:pPr>
              <w:spacing w:after="0" w:line="20" w:lineRule="exact"/>
              <w:rPr>
                <w:sz w:val="1"/>
                <w:szCs w:val="1"/>
                <w:color w:val="auto"/>
              </w:rPr>
            </w:pPr>
          </w:p>
        </w:tc>
      </w:tr>
      <w:tr>
        <w:trPr>
          <w:trHeight w:val="163"/>
        </w:trPr>
        <w:tc>
          <w:tcPr>
            <w:tcW w:w="4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4.07 %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right="100" w:hanging="332"/>
        <w:spacing w:after="0" w:line="212" w:lineRule="auto"/>
        <w:tabs>
          <w:tab w:leader="none" w:pos="327"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20" w:hanging="312"/>
        <w:spacing w:after="0" w:line="187" w:lineRule="auto"/>
        <w:tabs>
          <w:tab w:leader="none" w:pos="3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ind w:left="340" w:right="380" w:hanging="332"/>
        <w:spacing w:after="0" w:line="204" w:lineRule="auto"/>
        <w:tabs>
          <w:tab w:leader="none" w:pos="327"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AFS securities are shown at amortized cost. Pretax unrealized gains of $58.3 million and $52.9 million in 2021 and 2020, respectively, are included in other assets for purposes of this presentation.</w:t>
      </w:r>
    </w:p>
    <w:p>
      <w:pPr>
        <w:spacing w:after="0" w:line="1"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Net interest margin is taxable equivalent net interest revenue divided by average interest-earning assets.</w:t>
      </w:r>
    </w:p>
    <w:p>
      <w:pPr>
        <w:sectPr>
          <w:pgSz w:w="11900" w:h="16838" w:orient="portrait"/>
          <w:cols w:equalWidth="0" w:num="1">
            <w:col w:w="11200"/>
          </w:cols>
          <w:pgMar w:left="320" w:top="106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type w:val="continuous"/>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15" w:lineRule="exact"/>
        <w:rPr>
          <w:sz w:val="20"/>
          <w:szCs w:val="20"/>
          <w:color w:val="auto"/>
        </w:rPr>
      </w:pPr>
    </w:p>
    <w:p>
      <w:pPr>
        <w:ind w:left="20" w:right="5000"/>
        <w:spacing w:after="0" w:line="297" w:lineRule="auto"/>
        <w:rPr>
          <w:sz w:val="20"/>
          <w:szCs w:val="20"/>
          <w:color w:val="auto"/>
        </w:rPr>
      </w:pPr>
      <w:r>
        <w:rPr>
          <w:rFonts w:ascii="Arial" w:cs="Arial" w:eastAsia="Arial" w:hAnsi="Arial"/>
          <w:sz w:val="18"/>
          <w:szCs w:val="18"/>
          <w:b w:val="1"/>
          <w:bCs w:val="1"/>
          <w:color w:val="auto"/>
        </w:rPr>
        <w:t xml:space="preserve">Table 3 -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00" w:type="dxa"/>
            <w:vAlign w:val="bottom"/>
            <w:gridSpan w:val="8"/>
          </w:tcPr>
          <w:p>
            <w:pPr>
              <w:jc w:val="center"/>
              <w:ind w:right="1960"/>
              <w:spacing w:after="0"/>
              <w:rPr>
                <w:sz w:val="20"/>
                <w:szCs w:val="20"/>
                <w:color w:val="auto"/>
              </w:rPr>
            </w:pPr>
            <w:r>
              <w:rPr>
                <w:rFonts w:ascii="Arial" w:cs="Arial" w:eastAsia="Arial" w:hAnsi="Arial"/>
                <w:sz w:val="16"/>
                <w:szCs w:val="16"/>
                <w:b w:val="1"/>
                <w:bCs w:val="1"/>
                <w:color w:val="auto"/>
                <w:w w:val="93"/>
              </w:rPr>
              <w:t>Three Months Ended March 31, 2021</w:t>
            </w:r>
          </w:p>
        </w:tc>
      </w:tr>
      <w:tr>
        <w:trPr>
          <w:trHeight w:val="158"/>
        </w:trPr>
        <w:tc>
          <w:tcPr>
            <w:tcW w:w="59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4"/>
          </w:tcPr>
          <w:p>
            <w:pPr>
              <w:jc w:val="center"/>
              <w:spacing w:after="0" w:line="158" w:lineRule="exact"/>
              <w:rPr>
                <w:sz w:val="20"/>
                <w:szCs w:val="20"/>
                <w:color w:val="auto"/>
              </w:rPr>
            </w:pPr>
            <w:r>
              <w:rPr>
                <w:rFonts w:ascii="Arial" w:cs="Arial" w:eastAsia="Arial" w:hAnsi="Arial"/>
                <w:sz w:val="16"/>
                <w:szCs w:val="16"/>
                <w:b w:val="1"/>
                <w:bCs w:val="1"/>
                <w:color w:val="auto"/>
                <w:w w:val="90"/>
              </w:rPr>
              <w:t>Compared to 2020</w:t>
            </w: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760" w:type="dxa"/>
            <w:vAlign w:val="bottom"/>
          </w:tcPr>
          <w:p>
            <w:pPr>
              <w:spacing w:after="0"/>
              <w:rPr>
                <w:sz w:val="13"/>
                <w:szCs w:val="13"/>
                <w:color w:val="auto"/>
              </w:rPr>
            </w:pPr>
          </w:p>
        </w:tc>
      </w:tr>
      <w:tr>
        <w:trPr>
          <w:trHeight w:val="213"/>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00" w:type="dxa"/>
            <w:vAlign w:val="bottom"/>
            <w:gridSpan w:val="8"/>
          </w:tcPr>
          <w:p>
            <w:pPr>
              <w:jc w:val="center"/>
              <w:ind w:right="1960"/>
              <w:spacing w:after="0"/>
              <w:rPr>
                <w:sz w:val="20"/>
                <w:szCs w:val="20"/>
                <w:color w:val="auto"/>
              </w:rPr>
            </w:pPr>
            <w:r>
              <w:rPr>
                <w:rFonts w:ascii="Arial" w:cs="Arial" w:eastAsia="Arial" w:hAnsi="Arial"/>
                <w:sz w:val="16"/>
                <w:szCs w:val="16"/>
                <w:b w:val="1"/>
                <w:bCs w:val="1"/>
                <w:color w:val="auto"/>
                <w:w w:val="89"/>
              </w:rPr>
              <w:t>Increase (Decrease) Due to Changes in</w:t>
            </w:r>
          </w:p>
        </w:tc>
      </w:tr>
      <w:tr>
        <w:trPr>
          <w:trHeight w:val="207"/>
        </w:trPr>
        <w:tc>
          <w:tcPr>
            <w:tcW w:w="59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Volume</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7"/>
              </w:rPr>
              <w:t>Rate</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1760" w:type="dxa"/>
            <w:vAlign w:val="bottom"/>
          </w:tcPr>
          <w:p>
            <w:pPr>
              <w:spacing w:after="0"/>
              <w:rPr>
                <w:sz w:val="17"/>
                <w:szCs w:val="17"/>
                <w:color w:val="auto"/>
              </w:rPr>
            </w:pPr>
          </w:p>
        </w:tc>
      </w:tr>
      <w:tr>
        <w:trPr>
          <w:trHeight w:val="199"/>
        </w:trPr>
        <w:tc>
          <w:tcPr>
            <w:tcW w:w="5920" w:type="dxa"/>
            <w:vAlign w:val="bottom"/>
          </w:tcPr>
          <w:p>
            <w:pPr>
              <w:ind w:left="1760"/>
              <w:spacing w:after="0"/>
              <w:rPr>
                <w:sz w:val="20"/>
                <w:szCs w:val="20"/>
                <w:color w:val="auto"/>
              </w:rPr>
            </w:pPr>
            <w:r>
              <w:rPr>
                <w:rFonts w:ascii="Arial" w:cs="Arial" w:eastAsia="Arial" w:hAnsi="Arial"/>
                <w:sz w:val="16"/>
                <w:szCs w:val="16"/>
                <w:b w:val="1"/>
                <w:bCs w:val="1"/>
                <w:color w:val="auto"/>
              </w:rPr>
              <w:t>Interest-earning assets: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19"/>
        </w:trPr>
        <w:tc>
          <w:tcPr>
            <w:tcW w:w="59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Loans (FTE)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7,326</w:t>
            </w:r>
          </w:p>
        </w:tc>
        <w:tc>
          <w:tcPr>
            <w:tcW w:w="1760" w:type="dxa"/>
            <w:vAlign w:val="bottom"/>
            <w:shd w:val="clear" w:color="auto" w:fill="CCEEFF"/>
          </w:tcPr>
          <w:p>
            <w:pPr>
              <w:spacing w:after="0"/>
              <w:rPr>
                <w:sz w:val="19"/>
                <w:szCs w:val="19"/>
                <w:color w:val="auto"/>
              </w:rPr>
            </w:pPr>
          </w:p>
        </w:tc>
      </w:tr>
      <w:tr>
        <w:trPr>
          <w:trHeight w:val="213"/>
        </w:trPr>
        <w:tc>
          <w:tcPr>
            <w:tcW w:w="5920" w:type="dxa"/>
            <w:vAlign w:val="bottom"/>
          </w:tcPr>
          <w:p>
            <w:pPr>
              <w:ind w:left="1760"/>
              <w:spacing w:after="0"/>
              <w:rPr>
                <w:sz w:val="20"/>
                <w:szCs w:val="20"/>
                <w:color w:val="auto"/>
              </w:rPr>
            </w:pPr>
            <w:r>
              <w:rPr>
                <w:rFonts w:ascii="Arial" w:cs="Arial" w:eastAsia="Arial" w:hAnsi="Arial"/>
                <w:sz w:val="16"/>
                <w:szCs w:val="16"/>
                <w:color w:val="auto"/>
              </w:rPr>
              <w:t>Taxable securities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(2,573)</w:t>
            </w:r>
          </w:p>
        </w:tc>
        <w:tc>
          <w:tcPr>
            <w:tcW w:w="1760" w:type="dxa"/>
            <w:vAlign w:val="bottom"/>
          </w:tcPr>
          <w:p>
            <w:pPr>
              <w:spacing w:after="0"/>
              <w:rPr>
                <w:sz w:val="18"/>
                <w:szCs w:val="18"/>
                <w:color w:val="auto"/>
              </w:rPr>
            </w:pPr>
          </w:p>
        </w:tc>
      </w:tr>
      <w:tr>
        <w:trPr>
          <w:trHeight w:val="219"/>
        </w:trPr>
        <w:tc>
          <w:tcPr>
            <w:tcW w:w="59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Tax-exempt securities (FTE)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760" w:type="dxa"/>
            <w:vAlign w:val="bottom"/>
            <w:shd w:val="clear" w:color="auto" w:fill="CCEEFF"/>
          </w:tcPr>
          <w:p>
            <w:pPr>
              <w:spacing w:after="0"/>
              <w:rPr>
                <w:sz w:val="19"/>
                <w:szCs w:val="19"/>
                <w:color w:val="auto"/>
              </w:rPr>
            </w:pPr>
          </w:p>
        </w:tc>
      </w:tr>
      <w:tr>
        <w:trPr>
          <w:trHeight w:val="213"/>
        </w:trPr>
        <w:tc>
          <w:tcPr>
            <w:tcW w:w="5920" w:type="dxa"/>
            <w:vAlign w:val="bottom"/>
            <w:tcBorders>
              <w:bottom w:val="single" w:sz="8" w:color="CCEEFF"/>
            </w:tcBorders>
          </w:tcPr>
          <w:p>
            <w:pPr>
              <w:ind w:left="176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760" w:type="dxa"/>
            <w:vAlign w:val="bottom"/>
            <w:tcBorders>
              <w:bottom w:val="single" w:sz="8" w:color="CCEEFF"/>
            </w:tcBorders>
          </w:tcPr>
          <w:p>
            <w:pPr>
              <w:spacing w:after="0"/>
              <w:rPr>
                <w:sz w:val="18"/>
                <w:szCs w:val="18"/>
                <w:color w:val="auto"/>
              </w:rPr>
            </w:pPr>
          </w:p>
        </w:tc>
      </w:tr>
      <w:tr>
        <w:trPr>
          <w:trHeight w:val="209"/>
        </w:trPr>
        <w:tc>
          <w:tcPr>
            <w:tcW w:w="5920" w:type="dxa"/>
            <w:vAlign w:val="bottom"/>
            <w:shd w:val="clear" w:color="auto" w:fill="CCEEFF"/>
          </w:tcPr>
          <w:p>
            <w:pPr>
              <w:ind w:left="188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5,186</w:t>
            </w:r>
          </w:p>
        </w:tc>
        <w:tc>
          <w:tcPr>
            <w:tcW w:w="1760" w:type="dxa"/>
            <w:vAlign w:val="bottom"/>
            <w:shd w:val="clear" w:color="auto" w:fill="CCEEFF"/>
          </w:tcPr>
          <w:p>
            <w:pPr>
              <w:spacing w:after="0"/>
              <w:rPr>
                <w:sz w:val="18"/>
                <w:szCs w:val="18"/>
                <w:color w:val="auto"/>
              </w:rPr>
            </w:pPr>
          </w:p>
        </w:tc>
      </w:tr>
      <w:tr>
        <w:trPr>
          <w:trHeight w:val="199"/>
        </w:trPr>
        <w:tc>
          <w:tcPr>
            <w:tcW w:w="5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5920" w:type="dxa"/>
            <w:vAlign w:val="bottom"/>
            <w:shd w:val="clear" w:color="auto" w:fill="CCEEFF"/>
          </w:tcPr>
          <w:p>
            <w:pPr>
              <w:ind w:left="1760"/>
              <w:spacing w:after="0"/>
              <w:rPr>
                <w:sz w:val="20"/>
                <w:szCs w:val="20"/>
                <w:color w:val="auto"/>
              </w:rPr>
            </w:pPr>
            <w:r>
              <w:rPr>
                <w:rFonts w:ascii="Arial" w:cs="Arial" w:eastAsia="Arial" w:hAnsi="Arial"/>
                <w:sz w:val="16"/>
                <w:szCs w:val="16"/>
                <w:b w:val="1"/>
                <w:bCs w:val="1"/>
                <w:color w:val="auto"/>
              </w:rPr>
              <w:t>Interest-bearing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5920" w:type="dxa"/>
            <w:vAlign w:val="bottom"/>
          </w:tcPr>
          <w:p>
            <w:pPr>
              <w:ind w:left="1760"/>
              <w:spacing w:after="0"/>
              <w:rPr>
                <w:sz w:val="20"/>
                <w:szCs w:val="20"/>
                <w:color w:val="auto"/>
              </w:rPr>
            </w:pPr>
            <w:r>
              <w:rPr>
                <w:rFonts w:ascii="Arial" w:cs="Arial" w:eastAsia="Arial" w:hAnsi="Arial"/>
                <w:sz w:val="16"/>
                <w:szCs w:val="16"/>
                <w:color w:val="auto"/>
              </w:rPr>
              <w:t>NOW and interest-bearing demand accounts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(1,492)</w:t>
            </w:r>
          </w:p>
        </w:tc>
        <w:tc>
          <w:tcPr>
            <w:tcW w:w="1760" w:type="dxa"/>
            <w:vAlign w:val="bottom"/>
          </w:tcPr>
          <w:p>
            <w:pPr>
              <w:spacing w:after="0"/>
              <w:rPr>
                <w:sz w:val="18"/>
                <w:szCs w:val="18"/>
                <w:color w:val="auto"/>
              </w:rPr>
            </w:pPr>
          </w:p>
        </w:tc>
      </w:tr>
      <w:tr>
        <w:trPr>
          <w:trHeight w:val="219"/>
        </w:trPr>
        <w:tc>
          <w:tcPr>
            <w:tcW w:w="59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Money market accounts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w:t>
            </w:r>
          </w:p>
        </w:tc>
        <w:tc>
          <w:tcPr>
            <w:tcW w:w="1760" w:type="dxa"/>
            <w:vAlign w:val="bottom"/>
            <w:shd w:val="clear" w:color="auto" w:fill="CCEEFF"/>
          </w:tcPr>
          <w:p>
            <w:pPr>
              <w:spacing w:after="0"/>
              <w:rPr>
                <w:sz w:val="19"/>
                <w:szCs w:val="19"/>
                <w:color w:val="auto"/>
              </w:rPr>
            </w:pPr>
          </w:p>
        </w:tc>
      </w:tr>
      <w:tr>
        <w:trPr>
          <w:trHeight w:val="213"/>
        </w:trPr>
        <w:tc>
          <w:tcPr>
            <w:tcW w:w="5920" w:type="dxa"/>
            <w:vAlign w:val="bottom"/>
          </w:tcPr>
          <w:p>
            <w:pPr>
              <w:ind w:left="1760"/>
              <w:spacing w:after="0"/>
              <w:rPr>
                <w:sz w:val="20"/>
                <w:szCs w:val="20"/>
                <w:color w:val="auto"/>
              </w:rPr>
            </w:pPr>
            <w:r>
              <w:rPr>
                <w:rFonts w:ascii="Arial" w:cs="Arial" w:eastAsia="Arial" w:hAnsi="Arial"/>
                <w:sz w:val="16"/>
                <w:szCs w:val="16"/>
                <w:color w:val="auto"/>
              </w:rPr>
              <w:t>Savings deposits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760" w:type="dxa"/>
            <w:vAlign w:val="bottom"/>
          </w:tcPr>
          <w:p>
            <w:pPr>
              <w:spacing w:after="0"/>
              <w:rPr>
                <w:sz w:val="18"/>
                <w:szCs w:val="18"/>
                <w:color w:val="auto"/>
              </w:rPr>
            </w:pPr>
          </w:p>
        </w:tc>
      </w:tr>
      <w:tr>
        <w:trPr>
          <w:trHeight w:val="219"/>
        </w:trPr>
        <w:tc>
          <w:tcPr>
            <w:tcW w:w="59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(5,662)</w:t>
            </w:r>
          </w:p>
        </w:tc>
        <w:tc>
          <w:tcPr>
            <w:tcW w:w="1760" w:type="dxa"/>
            <w:vAlign w:val="bottom"/>
            <w:shd w:val="clear" w:color="auto" w:fill="CCEEFF"/>
          </w:tcPr>
          <w:p>
            <w:pPr>
              <w:spacing w:after="0"/>
              <w:rPr>
                <w:sz w:val="19"/>
                <w:szCs w:val="19"/>
                <w:color w:val="auto"/>
              </w:rPr>
            </w:pPr>
          </w:p>
        </w:tc>
      </w:tr>
      <w:tr>
        <w:trPr>
          <w:trHeight w:val="213"/>
        </w:trPr>
        <w:tc>
          <w:tcPr>
            <w:tcW w:w="5920" w:type="dxa"/>
            <w:vAlign w:val="bottom"/>
            <w:tcBorders>
              <w:bottom w:val="single" w:sz="8" w:color="CCEEFF"/>
            </w:tcBorders>
          </w:tcPr>
          <w:p>
            <w:pPr>
              <w:ind w:left="1760"/>
              <w:spacing w:after="0"/>
              <w:rPr>
                <w:sz w:val="20"/>
                <w:szCs w:val="20"/>
                <w:color w:val="auto"/>
              </w:rPr>
            </w:pPr>
            <w:r>
              <w:rPr>
                <w:rFonts w:ascii="Arial" w:cs="Arial" w:eastAsia="Arial" w:hAnsi="Arial"/>
                <w:sz w:val="16"/>
                <w:szCs w:val="16"/>
                <w:color w:val="auto"/>
              </w:rPr>
              <w:t>Brokered deposits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760" w:type="dxa"/>
            <w:vAlign w:val="bottom"/>
            <w:tcBorders>
              <w:bottom w:val="single" w:sz="8" w:color="CCEEFF"/>
            </w:tcBorders>
          </w:tcPr>
          <w:p>
            <w:pPr>
              <w:spacing w:after="0"/>
              <w:rPr>
                <w:sz w:val="18"/>
                <w:szCs w:val="18"/>
                <w:color w:val="auto"/>
              </w:rPr>
            </w:pPr>
          </w:p>
        </w:tc>
      </w:tr>
      <w:tr>
        <w:trPr>
          <w:trHeight w:val="213"/>
        </w:trPr>
        <w:tc>
          <w:tcPr>
            <w:tcW w:w="592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(9,856)</w:t>
            </w:r>
          </w:p>
        </w:tc>
        <w:tc>
          <w:tcPr>
            <w:tcW w:w="1760" w:type="dxa"/>
            <w:vAlign w:val="bottom"/>
            <w:shd w:val="clear" w:color="auto" w:fill="CCEEFF"/>
          </w:tcPr>
          <w:p>
            <w:pPr>
              <w:spacing w:after="0"/>
              <w:rPr>
                <w:sz w:val="18"/>
                <w:szCs w:val="18"/>
                <w:color w:val="auto"/>
              </w:rPr>
            </w:pPr>
          </w:p>
        </w:tc>
      </w:tr>
      <w:tr>
        <w:trPr>
          <w:trHeight w:val="206"/>
        </w:trPr>
        <w:tc>
          <w:tcPr>
            <w:tcW w:w="5920" w:type="dxa"/>
            <w:vAlign w:val="bottom"/>
          </w:tcPr>
          <w:p>
            <w:pPr>
              <w:ind w:left="1760"/>
              <w:spacing w:after="0"/>
              <w:rPr>
                <w:sz w:val="20"/>
                <w:szCs w:val="20"/>
                <w:color w:val="auto"/>
              </w:rPr>
            </w:pPr>
            <w:r>
              <w:rPr>
                <w:rFonts w:ascii="Arial" w:cs="Arial" w:eastAsia="Arial" w:hAnsi="Arial"/>
                <w:sz w:val="16"/>
                <w:szCs w:val="16"/>
                <w:color w:val="auto"/>
              </w:rPr>
              <w:t>Federal funds purchased &amp; other borrowings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760" w:type="dxa"/>
            <w:vAlign w:val="bottom"/>
          </w:tcPr>
          <w:p>
            <w:pPr>
              <w:spacing w:after="0"/>
              <w:rPr>
                <w:sz w:val="17"/>
                <w:szCs w:val="17"/>
                <w:color w:val="auto"/>
              </w:rPr>
            </w:pPr>
          </w:p>
        </w:tc>
      </w:tr>
      <w:tr>
        <w:trPr>
          <w:trHeight w:val="219"/>
        </w:trPr>
        <w:tc>
          <w:tcPr>
            <w:tcW w:w="59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FHLB advances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760" w:type="dxa"/>
            <w:vAlign w:val="bottom"/>
            <w:shd w:val="clear" w:color="auto" w:fill="CCEEFF"/>
          </w:tcPr>
          <w:p>
            <w:pPr>
              <w:spacing w:after="0"/>
              <w:rPr>
                <w:sz w:val="19"/>
                <w:szCs w:val="19"/>
                <w:color w:val="auto"/>
              </w:rPr>
            </w:pPr>
          </w:p>
        </w:tc>
      </w:tr>
      <w:tr>
        <w:trPr>
          <w:trHeight w:val="213"/>
        </w:trPr>
        <w:tc>
          <w:tcPr>
            <w:tcW w:w="5920" w:type="dxa"/>
            <w:vAlign w:val="bottom"/>
            <w:tcBorders>
              <w:bottom w:val="single" w:sz="8" w:color="CCEEFF"/>
            </w:tcBorders>
          </w:tcPr>
          <w:p>
            <w:pPr>
              <w:ind w:left="176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1760" w:type="dxa"/>
            <w:vAlign w:val="bottom"/>
            <w:tcBorders>
              <w:bottom w:val="single" w:sz="8" w:color="CCEEFF"/>
            </w:tcBorders>
          </w:tcPr>
          <w:p>
            <w:pPr>
              <w:spacing w:after="0"/>
              <w:rPr>
                <w:sz w:val="18"/>
                <w:szCs w:val="18"/>
                <w:color w:val="auto"/>
              </w:rPr>
            </w:pPr>
          </w:p>
        </w:tc>
      </w:tr>
      <w:tr>
        <w:trPr>
          <w:trHeight w:val="213"/>
        </w:trPr>
        <w:tc>
          <w:tcPr>
            <w:tcW w:w="592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760" w:type="dxa"/>
            <w:vAlign w:val="bottom"/>
            <w:shd w:val="clear" w:color="auto" w:fill="CCEEFF"/>
          </w:tcPr>
          <w:p>
            <w:pPr>
              <w:spacing w:after="0"/>
              <w:rPr>
                <w:sz w:val="18"/>
                <w:szCs w:val="18"/>
                <w:color w:val="auto"/>
              </w:rPr>
            </w:pPr>
          </w:p>
        </w:tc>
      </w:tr>
      <w:tr>
        <w:trPr>
          <w:trHeight w:val="206"/>
        </w:trPr>
        <w:tc>
          <w:tcPr>
            <w:tcW w:w="5920" w:type="dxa"/>
            <w:vAlign w:val="bottom"/>
            <w:tcBorders>
              <w:bottom w:val="single" w:sz="8" w:color="CCEEFF"/>
            </w:tcBorders>
          </w:tcPr>
          <w:p>
            <w:pPr>
              <w:ind w:left="196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(8,463)</w:t>
            </w:r>
          </w:p>
        </w:tc>
        <w:tc>
          <w:tcPr>
            <w:tcW w:w="1760" w:type="dxa"/>
            <w:vAlign w:val="bottom"/>
            <w:tcBorders>
              <w:bottom w:val="single" w:sz="8" w:color="CCEEFF"/>
            </w:tcBorders>
          </w:tcPr>
          <w:p>
            <w:pPr>
              <w:spacing w:after="0"/>
              <w:rPr>
                <w:sz w:val="17"/>
                <w:szCs w:val="17"/>
                <w:color w:val="auto"/>
              </w:rPr>
            </w:pPr>
          </w:p>
        </w:tc>
      </w:tr>
      <w:tr>
        <w:trPr>
          <w:trHeight w:val="199"/>
        </w:trPr>
        <w:tc>
          <w:tcPr>
            <w:tcW w:w="5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16"/>
        </w:trPr>
        <w:tc>
          <w:tcPr>
            <w:tcW w:w="5920" w:type="dxa"/>
            <w:vAlign w:val="bottom"/>
          </w:tcPr>
          <w:p>
            <w:pPr>
              <w:ind w:left="2080"/>
              <w:spacing w:after="0"/>
              <w:rPr>
                <w:sz w:val="20"/>
                <w:szCs w:val="20"/>
                <w:color w:val="auto"/>
              </w:rPr>
            </w:pPr>
            <w:r>
              <w:rPr>
                <w:rFonts w:ascii="Arial" w:cs="Arial" w:eastAsia="Arial" w:hAnsi="Arial"/>
                <w:sz w:val="16"/>
                <w:szCs w:val="16"/>
                <w:b w:val="1"/>
                <w:bCs w:val="1"/>
                <w:color w:val="auto"/>
              </w:rPr>
              <w:t>Increase in net interest revenue (FTE)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37,127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(23,478)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13,649</w:t>
            </w:r>
          </w:p>
        </w:tc>
        <w:tc>
          <w:tcPr>
            <w:tcW w:w="176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 negative provision for credit losses of $12.3 million for the three months ended March 31, 2021, compared to $22.2 million in provision expense for the same period in 2020. The amount of provision recorded in each period was the amount required such that the total ACL reflected the appropriate balance as determined by management reflecting expected life of loan losses. The negative provision expense for the three months ended March 31, 2021 compared to the same period of 2020 was primarily a result of an improved economic forecast compared to the first quarter of 2020 combined with net recoveries recognized during the first quarter of 2021. The provision for credit losses for the first quarter of 2020 was elevated due to a less optimistic economic forecast at the onset of the COVID-19 pandemic.</w:t>
      </w:r>
    </w:p>
    <w:p>
      <w:pPr>
        <w:spacing w:after="0" w:line="2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months ended March 31, 2021, net loan charge-offs (recoveries) as an annualized percentage of average outstanding loans were (0.01)% compared to 0.37% for the same period in 2020. The net recoveries amount recorded during the first three months of 2021 was mostly attributable to one large commercial credit.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Additional discussion on credit quality and the ACL is included in the “Asset Quality and Risk Elements” section of MD&amp;A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4 - Noninterest Income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1200" w:type="dxa"/>
            <w:vAlign w:val="bottom"/>
            <w:gridSpan w:val="3"/>
            <w:vMerge w:val="restart"/>
          </w:tcPr>
          <w:p>
            <w:pPr>
              <w:ind w:left="680"/>
              <w:spacing w:after="0"/>
              <w:rPr>
                <w:sz w:val="20"/>
                <w:szCs w:val="20"/>
                <w:color w:val="auto"/>
              </w:rPr>
            </w:pPr>
            <w:r>
              <w:rPr>
                <w:rFonts w:ascii="Arial" w:cs="Arial" w:eastAsia="Arial" w:hAnsi="Arial"/>
                <w:sz w:val="16"/>
                <w:szCs w:val="16"/>
                <w:b w:val="1"/>
                <w:bCs w:val="1"/>
                <w:color w:val="auto"/>
                <w:w w:val="85"/>
              </w:rPr>
              <w:t>Change</w:t>
            </w:r>
          </w:p>
        </w:tc>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w w:val="88"/>
              </w:rPr>
              <w:t>Percent</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00" w:type="dxa"/>
            <w:vAlign w:val="bottom"/>
          </w:tcPr>
          <w:p>
            <w:pPr>
              <w:ind w:left="1380"/>
              <w:spacing w:after="0"/>
              <w:rPr>
                <w:sz w:val="20"/>
                <w:szCs w:val="20"/>
                <w:color w:val="auto"/>
              </w:rPr>
            </w:pPr>
            <w:r>
              <w:rPr>
                <w:rFonts w:ascii="Arial" w:cs="Arial" w:eastAsia="Arial" w:hAnsi="Arial"/>
                <w:sz w:val="16"/>
                <w:szCs w:val="16"/>
                <w:color w:val="auto"/>
              </w:rPr>
              <w:t>Service charges and fees: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Overdraft fees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3"/>
              </w:rPr>
              <w:t>(33)%</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500"/>
              <w:spacing w:after="0"/>
              <w:rPr>
                <w:sz w:val="20"/>
                <w:szCs w:val="20"/>
                <w:color w:val="auto"/>
              </w:rPr>
            </w:pPr>
            <w:r>
              <w:rPr>
                <w:rFonts w:ascii="Arial" w:cs="Arial" w:eastAsia="Arial" w:hAnsi="Arial"/>
                <w:sz w:val="16"/>
                <w:szCs w:val="16"/>
                <w:color w:val="auto"/>
              </w:rPr>
              <w:t>ATM and debit card fees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Other service charges and fees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00" w:type="dxa"/>
            <w:vAlign w:val="bottom"/>
          </w:tcPr>
          <w:p>
            <w:pPr>
              <w:ind w:left="1580"/>
              <w:spacing w:after="0"/>
              <w:rPr>
                <w:sz w:val="20"/>
                <w:szCs w:val="20"/>
                <w:color w:val="auto"/>
              </w:rPr>
            </w:pPr>
            <w:r>
              <w:rPr>
                <w:rFonts w:ascii="Arial" w:cs="Arial" w:eastAsia="Arial" w:hAnsi="Arial"/>
                <w:sz w:val="16"/>
                <w:szCs w:val="16"/>
                <w:color w:val="auto"/>
              </w:rPr>
              <w:t>Total service charges and fees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6"/>
                <w:szCs w:val="16"/>
                <w:color w:val="auto"/>
              </w:rPr>
              <w:t>(12)</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Mortgage loan gains and related fees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380"/>
              <w:spacing w:after="0"/>
              <w:rPr>
                <w:sz w:val="20"/>
                <w:szCs w:val="20"/>
                <w:color w:val="auto"/>
              </w:rPr>
            </w:pPr>
            <w:r>
              <w:rPr>
                <w:rFonts w:ascii="Arial" w:cs="Arial" w:eastAsia="Arial" w:hAnsi="Arial"/>
                <w:sz w:val="16"/>
                <w:szCs w:val="16"/>
                <w:color w:val="auto"/>
              </w:rPr>
              <w:t>Wealth management fees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114</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Gains on sales of other loans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(38)</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380"/>
              <w:spacing w:after="0"/>
              <w:rPr>
                <w:sz w:val="20"/>
                <w:szCs w:val="20"/>
                <w:color w:val="auto"/>
              </w:rPr>
            </w:pPr>
            <w:r>
              <w:rPr>
                <w:rFonts w:ascii="Arial" w:cs="Arial" w:eastAsia="Arial" w:hAnsi="Arial"/>
                <w:sz w:val="16"/>
                <w:szCs w:val="16"/>
                <w:color w:val="auto"/>
              </w:rPr>
              <w:t>Other noninterest income: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Other lending and loan servicing fees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500"/>
              <w:spacing w:after="0"/>
              <w:rPr>
                <w:sz w:val="20"/>
                <w:szCs w:val="20"/>
                <w:color w:val="auto"/>
              </w:rPr>
            </w:pPr>
            <w:r>
              <w:rPr>
                <w:rFonts w:ascii="Arial" w:cs="Arial" w:eastAsia="Arial" w:hAnsi="Arial"/>
                <w:sz w:val="16"/>
                <w:szCs w:val="16"/>
                <w:color w:val="auto"/>
              </w:rPr>
              <w:t>Customer derivatives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Other investment gains (losses)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500"/>
              <w:spacing w:after="0"/>
              <w:rPr>
                <w:sz w:val="20"/>
                <w:szCs w:val="20"/>
                <w:color w:val="auto"/>
              </w:rPr>
            </w:pPr>
            <w:r>
              <w:rPr>
                <w:rFonts w:ascii="Arial" w:cs="Arial" w:eastAsia="Arial" w:hAnsi="Arial"/>
                <w:sz w:val="16"/>
                <w:szCs w:val="16"/>
                <w:color w:val="auto"/>
              </w:rPr>
              <w:t>BOLI</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Treasury management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Borders>
              <w:bottom w:val="single" w:sz="8" w:color="CCEEFF"/>
            </w:tcBorders>
          </w:tcPr>
          <w:p>
            <w:pPr>
              <w:ind w:left="15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39</w:t>
            </w: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Total other noninterest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w:t>
            </w: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00" w:type="dxa"/>
            <w:vAlign w:val="bottom"/>
          </w:tcPr>
          <w:p>
            <w:pPr>
              <w:ind w:left="1500"/>
              <w:spacing w:after="0"/>
              <w:rPr>
                <w:sz w:val="20"/>
                <w:szCs w:val="20"/>
                <w:color w:val="auto"/>
              </w:rPr>
            </w:pPr>
            <w:r>
              <w:rPr>
                <w:rFonts w:ascii="Arial" w:cs="Arial" w:eastAsia="Arial" w:hAnsi="Arial"/>
                <w:sz w:val="16"/>
                <w:szCs w:val="16"/>
                <w:color w:val="auto"/>
              </w:rPr>
              <w:t>Total noninterest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44,705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25,814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2021, we recognized lower overdraft transaction fees compared to the same period of 2020 due to increased customer deposit account balances resulting from government stimulus payments combined with lower transaction volume due to the COVID-19 pandemic-related shutdown.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Mortgage loan gains and related fees for the first quarter of 2021 increased $14.3 million from the same period of 2020, reflecting an increase in demand for mortgage rate locks and mortgage refinances due to a historically low interest rate environment compared to the same period of 2020. During March of 2020, the national federal funds rate decreased 150 basis points in response to the COVID-19 pandemic. While mortgage interest rates have remained low, rates began trending upward toward the end of the first quarter of 2021. As a result, projected mortgage prepayments decelerated, which resulted in a positive fair value adjustment to the mortgage servicing rights asset, contributing to the increase in mortgage loan gain and related fees for the first quarter of 2021. The following table summarizes mortgage loan sales and closings for the periods presented.</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5 - Mortgage Loan Sales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4"/>
          </w:tcPr>
          <w:p>
            <w:pPr>
              <w:jc w:val="right"/>
              <w:ind w:right="579"/>
              <w:spacing w:after="0" w:line="155" w:lineRule="exact"/>
              <w:rPr>
                <w:sz w:val="20"/>
                <w:szCs w:val="20"/>
                <w:color w:val="auto"/>
              </w:rPr>
            </w:pPr>
            <w:r>
              <w:rPr>
                <w:rFonts w:ascii="Arial" w:cs="Arial" w:eastAsia="Arial" w:hAnsi="Arial"/>
                <w:sz w:val="16"/>
                <w:szCs w:val="16"/>
                <w:b w:val="1"/>
                <w:bCs w:val="1"/>
                <w:color w:val="auto"/>
              </w:rPr>
              <w:t>Three Months Ended</w:t>
            </w: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r>
      <w:tr>
        <w:trPr>
          <w:trHeight w:val="210"/>
        </w:trPr>
        <w:tc>
          <w:tcPr>
            <w:tcW w:w="5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2"/>
        </w:trPr>
        <w:tc>
          <w:tcPr>
            <w:tcW w:w="5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CCEEFF"/>
            </w:tcBorders>
          </w:tcPr>
          <w:p>
            <w:pPr>
              <w:spacing w:after="0"/>
              <w:rPr>
                <w:sz w:val="18"/>
                <w:szCs w:val="18"/>
                <w:color w:val="auto"/>
              </w:rPr>
            </w:pPr>
          </w:p>
        </w:tc>
      </w:tr>
      <w:tr>
        <w:trPr>
          <w:trHeight w:val="212"/>
        </w:trPr>
        <w:tc>
          <w:tcPr>
            <w:tcW w:w="530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Mortgage loans sold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259,112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540" w:type="dxa"/>
            <w:vAlign w:val="bottom"/>
            <w:shd w:val="clear" w:color="auto" w:fill="CCEEFF"/>
          </w:tcPr>
          <w:p>
            <w:pPr>
              <w:spacing w:after="0"/>
              <w:rPr>
                <w:sz w:val="18"/>
                <w:szCs w:val="18"/>
                <w:color w:val="auto"/>
              </w:rPr>
            </w:pPr>
          </w:p>
        </w:tc>
      </w:tr>
      <w:tr>
        <w:trPr>
          <w:trHeight w:val="213"/>
        </w:trPr>
        <w:tc>
          <w:tcPr>
            <w:tcW w:w="5300" w:type="dxa"/>
            <w:vAlign w:val="bottom"/>
          </w:tcPr>
          <w:p>
            <w:pPr>
              <w:ind w:left="1520"/>
              <w:spacing w:after="0"/>
              <w:rPr>
                <w:sz w:val="20"/>
                <w:szCs w:val="20"/>
                <w:color w:val="auto"/>
              </w:rPr>
            </w:pPr>
            <w:r>
              <w:rPr>
                <w:rFonts w:ascii="Arial" w:cs="Arial" w:eastAsia="Arial" w:hAnsi="Arial"/>
                <w:sz w:val="16"/>
                <w:szCs w:val="16"/>
                <w:color w:val="auto"/>
              </w:rPr>
              <w:t># of mortgage loans sold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1,158</w:t>
            </w:r>
          </w:p>
        </w:tc>
        <w:tc>
          <w:tcPr>
            <w:tcW w:w="1600" w:type="dxa"/>
            <w:vAlign w:val="bottom"/>
            <w:gridSpan w:val="2"/>
          </w:tcPr>
          <w:p>
            <w:pPr>
              <w:jc w:val="right"/>
              <w:ind w:right="119"/>
              <w:spacing w:after="0"/>
              <w:rPr>
                <w:sz w:val="20"/>
                <w:szCs w:val="20"/>
                <w:color w:val="auto"/>
              </w:rPr>
            </w:pPr>
            <w:r>
              <w:rPr>
                <w:rFonts w:ascii="Arial" w:cs="Arial" w:eastAsia="Arial" w:hAnsi="Arial"/>
                <w:sz w:val="16"/>
                <w:szCs w:val="16"/>
                <w:color w:val="auto"/>
              </w:rPr>
              <w:t>21</w:t>
            </w:r>
          </w:p>
        </w:tc>
        <w:tc>
          <w:tcPr>
            <w:tcW w:w="1540" w:type="dxa"/>
            <w:vAlign w:val="bottom"/>
          </w:tcPr>
          <w:p>
            <w:pPr>
              <w:spacing w:after="0"/>
              <w:rPr>
                <w:sz w:val="18"/>
                <w:szCs w:val="18"/>
                <w:color w:val="auto"/>
              </w:rPr>
            </w:pPr>
          </w:p>
        </w:tc>
      </w:tr>
      <w:tr>
        <w:trPr>
          <w:trHeight w:val="219"/>
        </w:trPr>
        <w:tc>
          <w:tcPr>
            <w:tcW w:w="5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5300" w:type="dxa"/>
            <w:vAlign w:val="bottom"/>
          </w:tcPr>
          <w:p>
            <w:pPr>
              <w:ind w:left="1520"/>
              <w:spacing w:after="0"/>
              <w:rPr>
                <w:sz w:val="20"/>
                <w:szCs w:val="20"/>
                <w:color w:val="auto"/>
              </w:rPr>
            </w:pPr>
            <w:r>
              <w:rPr>
                <w:rFonts w:ascii="Arial" w:cs="Arial" w:eastAsia="Arial" w:hAnsi="Arial"/>
                <w:sz w:val="16"/>
                <w:szCs w:val="16"/>
                <w:color w:val="auto"/>
              </w:rPr>
              <w:t>Mortgage loans closed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530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Originations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218,578</w:t>
            </w:r>
          </w:p>
        </w:tc>
        <w:tc>
          <w:tcPr>
            <w:tcW w:w="16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540" w:type="dxa"/>
            <w:vAlign w:val="bottom"/>
            <w:shd w:val="clear" w:color="auto" w:fill="CCEEFF"/>
          </w:tcPr>
          <w:p>
            <w:pPr>
              <w:spacing w:after="0"/>
              <w:rPr>
                <w:sz w:val="19"/>
                <w:szCs w:val="19"/>
                <w:color w:val="auto"/>
              </w:rPr>
            </w:pPr>
          </w:p>
        </w:tc>
      </w:tr>
      <w:tr>
        <w:trPr>
          <w:trHeight w:val="213"/>
        </w:trPr>
        <w:tc>
          <w:tcPr>
            <w:tcW w:w="5300" w:type="dxa"/>
            <w:vAlign w:val="bottom"/>
            <w:tcBorders>
              <w:bottom w:val="single" w:sz="8" w:color="CCEEFF"/>
            </w:tcBorders>
          </w:tcPr>
          <w:p>
            <w:pPr>
              <w:ind w:left="1640"/>
              <w:spacing w:after="0"/>
              <w:rPr>
                <w:sz w:val="20"/>
                <w:szCs w:val="20"/>
                <w:color w:val="auto"/>
              </w:rPr>
            </w:pPr>
            <w:r>
              <w:rPr>
                <w:rFonts w:ascii="Arial" w:cs="Arial" w:eastAsia="Arial" w:hAnsi="Arial"/>
                <w:sz w:val="16"/>
                <w:szCs w:val="16"/>
                <w:color w:val="auto"/>
              </w:rPr>
              <w:t>Refinances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363,553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169,281</w:t>
            </w:r>
          </w:p>
        </w:tc>
        <w:tc>
          <w:tcPr>
            <w:tcW w:w="160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115</w:t>
            </w:r>
          </w:p>
        </w:tc>
        <w:tc>
          <w:tcPr>
            <w:tcW w:w="1540" w:type="dxa"/>
            <w:vAlign w:val="bottom"/>
            <w:tcBorders>
              <w:bottom w:val="single" w:sz="8" w:color="CCEEFF"/>
            </w:tcBorders>
          </w:tcPr>
          <w:p>
            <w:pPr>
              <w:spacing w:after="0"/>
              <w:rPr>
                <w:sz w:val="18"/>
                <w:szCs w:val="18"/>
                <w:color w:val="auto"/>
              </w:rPr>
            </w:pPr>
          </w:p>
        </w:tc>
      </w:tr>
      <w:tr>
        <w:trPr>
          <w:trHeight w:val="238"/>
        </w:trPr>
        <w:tc>
          <w:tcPr>
            <w:tcW w:w="530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656,472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387,859</w:t>
            </w:r>
          </w:p>
        </w:tc>
        <w:tc>
          <w:tcPr>
            <w:tcW w:w="16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1540" w:type="dxa"/>
            <w:vAlign w:val="bottom"/>
            <w:tcBorders>
              <w:bottom w:val="single" w:sz="8" w:color="CCEEFF"/>
            </w:tcBorders>
            <w:shd w:val="clear" w:color="auto" w:fill="CCEEFF"/>
          </w:tcPr>
          <w:p>
            <w:pPr>
              <w:spacing w:after="0"/>
              <w:rPr>
                <w:sz w:val="20"/>
                <w:szCs w:val="20"/>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163"/>
        </w:trPr>
        <w:tc>
          <w:tcPr>
            <w:tcW w:w="5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6"/>
        </w:trPr>
        <w:tc>
          <w:tcPr>
            <w:tcW w:w="530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 of mortgage loans closed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6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46</w:t>
            </w:r>
          </w:p>
        </w:tc>
        <w:tc>
          <w:tcPr>
            <w:tcW w:w="1540" w:type="dxa"/>
            <w:vAlign w:val="bottom"/>
            <w:shd w:val="clear" w:color="auto" w:fill="CCEEFF"/>
          </w:tcPr>
          <w:p>
            <w:pPr>
              <w:spacing w:after="0"/>
              <w:rPr>
                <w:sz w:val="18"/>
                <w:szCs w:val="18"/>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Wealth management fees for the first quarter of 2021 increased 114% compared to the same period of 2020, which was primarily driven by the addition of Three Shores’ wealth management business.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39" w:name="page40"/>
    <w:bookmarkEnd w:id="39"/>
    <w:p>
      <w:pPr>
        <w:jc w:val="both"/>
        <w:spacing w:after="0" w:line="290" w:lineRule="auto"/>
        <w:rPr>
          <w:sz w:val="20"/>
          <w:szCs w:val="20"/>
          <w:color w:val="auto"/>
        </w:rPr>
      </w:pPr>
      <w:r>
        <w:rPr>
          <w:rFonts w:ascii="Arial" w:cs="Arial" w:eastAsia="Arial" w:hAnsi="Arial"/>
          <w:sz w:val="16"/>
          <w:szCs w:val="16"/>
          <w:color w:val="auto"/>
        </w:rPr>
        <w:t>Gains on the sale of other loans for the first quarter of 2021 decreased $644,000 compared to the same period of 2020. For the periods presented, loans sold consisted of SBA/USDA loans and equipment financing receivables. Our SBA/USDA lending strategy includes selling a portion of the loan production each quarter. The amount of loans sold depends on several variables including the current lending environment and balance sheet management activities. During the first quarter of 2021, we sold more SBA/USDA loans compared to the same period of last year, as market conditions for the sale of these loans has improved since the onset of the COVID-19 pandemic. In the first quarter of 2020, due to the market disruption caused by the COVID-19 pandemic, we held more of our SBA/USDA loan production in portfolio rather than selling to the secondary market. From time to time, we also sell certain equipment financing receivables. During the first quarter of 2021, we sold a nominal amount of equipment financing receivables compared to the same period of 2020. The following table presents loans sold and the corresponding gains or losses recognized on the sale for the periods indicated.</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6 - Other Loan Sales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07"/>
        </w:trPr>
        <w:tc>
          <w:tcPr>
            <w:tcW w:w="4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bottom w:val="single" w:sz="8" w:color="auto"/>
            </w:tcBorders>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Loans Sold</w:t>
            </w:r>
          </w:p>
        </w:tc>
        <w:tc>
          <w:tcPr>
            <w:tcW w:w="18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6"/>
                <w:szCs w:val="16"/>
                <w:b w:val="1"/>
                <w:bCs w:val="1"/>
                <w:color w:val="auto"/>
              </w:rPr>
              <w:t>Gain (Loss)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Loans Sold</w:t>
            </w:r>
          </w:p>
        </w:tc>
        <w:tc>
          <w:tcPr>
            <w:tcW w:w="1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Gain (Loss)</w:t>
            </w:r>
          </w:p>
        </w:tc>
        <w:tc>
          <w:tcPr>
            <w:tcW w:w="1220" w:type="dxa"/>
            <w:vAlign w:val="bottom"/>
          </w:tcPr>
          <w:p>
            <w:pPr>
              <w:spacing w:after="0"/>
              <w:rPr>
                <w:sz w:val="18"/>
                <w:szCs w:val="18"/>
                <w:color w:val="auto"/>
              </w:rPr>
            </w:pPr>
          </w:p>
        </w:tc>
      </w:tr>
      <w:tr>
        <w:trPr>
          <w:trHeight w:val="212"/>
        </w:trPr>
        <w:tc>
          <w:tcPr>
            <w:tcW w:w="4460" w:type="dxa"/>
            <w:vAlign w:val="bottom"/>
            <w:tcBorders>
              <w:top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Guaranteed portion of SBA/USDA loans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20" w:type="dxa"/>
            <w:vAlign w:val="bottom"/>
            <w:tcBorders>
              <w:top w:val="single" w:sz="8" w:color="CCEEFF"/>
            </w:tcBorders>
            <w:shd w:val="clear" w:color="auto" w:fill="CCEEFF"/>
          </w:tcPr>
          <w:p>
            <w:pPr>
              <w:spacing w:after="0"/>
              <w:rPr>
                <w:sz w:val="18"/>
                <w:szCs w:val="18"/>
                <w:color w:val="auto"/>
              </w:rPr>
            </w:pPr>
          </w:p>
        </w:tc>
      </w:tr>
      <w:tr>
        <w:trPr>
          <w:trHeight w:val="213"/>
        </w:trPr>
        <w:tc>
          <w:tcPr>
            <w:tcW w:w="446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Equipment financing receivables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220" w:type="dxa"/>
            <w:vAlign w:val="bottom"/>
            <w:tcBorders>
              <w:bottom w:val="single" w:sz="8" w:color="CCEEFF"/>
            </w:tcBorders>
          </w:tcPr>
          <w:p>
            <w:pPr>
              <w:spacing w:after="0"/>
              <w:rPr>
                <w:sz w:val="18"/>
                <w:szCs w:val="18"/>
                <w:color w:val="auto"/>
              </w:rPr>
            </w:pPr>
          </w:p>
        </w:tc>
      </w:tr>
      <w:tr>
        <w:trPr>
          <w:trHeight w:val="238"/>
        </w:trPr>
        <w:tc>
          <w:tcPr>
            <w:tcW w:w="4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1,674</w:t>
            </w:r>
          </w:p>
        </w:tc>
        <w:tc>
          <w:tcPr>
            <w:tcW w:w="1220" w:type="dxa"/>
            <w:vAlign w:val="bottom"/>
            <w:tcBorders>
              <w:bottom w:val="single" w:sz="8" w:color="CCEEFF"/>
            </w:tcBorders>
            <w:shd w:val="clear" w:color="auto" w:fill="CCEEFF"/>
          </w:tcPr>
          <w:p>
            <w:pPr>
              <w:spacing w:after="0"/>
              <w:rPr>
                <w:sz w:val="20"/>
                <w:szCs w:val="20"/>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noninterest income for the first quarter of 2021 increased from the same period of 2020 primarily due to positive fair value adjustments on deferred compensation plan assets and other investments compared to negative fair value adjustments during the first quarter of 2020, which resulted from the COVID-19 pandemic related market disruption.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7 - Noninterest Expenses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1220" w:type="dxa"/>
            <w:vAlign w:val="bottom"/>
            <w:gridSpan w:val="3"/>
            <w:vMerge w:val="restart"/>
          </w:tcPr>
          <w:p>
            <w:pPr>
              <w:ind w:left="680"/>
              <w:spacing w:after="0"/>
              <w:rPr>
                <w:sz w:val="20"/>
                <w:szCs w:val="20"/>
                <w:color w:val="auto"/>
              </w:rPr>
            </w:pPr>
            <w:r>
              <w:rPr>
                <w:rFonts w:ascii="Arial" w:cs="Arial" w:eastAsia="Arial" w:hAnsi="Arial"/>
                <w:sz w:val="16"/>
                <w:szCs w:val="16"/>
                <w:b w:val="1"/>
                <w:bCs w:val="1"/>
                <w:color w:val="auto"/>
                <w:w w:val="88"/>
              </w:rPr>
              <w:t>Change</w:t>
            </w: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259"/>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w w:val="88"/>
              </w:rPr>
              <w:t>Percent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40" w:type="dxa"/>
            <w:vAlign w:val="bottom"/>
            <w:tcBorders>
              <w:top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Salaries and employee benefits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60,585</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6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1600"/>
              <w:spacing w:after="0"/>
              <w:rPr>
                <w:sz w:val="20"/>
                <w:szCs w:val="20"/>
                <w:color w:val="auto"/>
              </w:rPr>
            </w:pPr>
            <w:r>
              <w:rPr>
                <w:rFonts w:ascii="Arial" w:cs="Arial" w:eastAsia="Arial" w:hAnsi="Arial"/>
                <w:sz w:val="16"/>
                <w:szCs w:val="16"/>
                <w:color w:val="auto"/>
              </w:rPr>
              <w:t>Communications and equipment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Occupancy</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1600"/>
              <w:spacing w:after="0"/>
              <w:rPr>
                <w:sz w:val="20"/>
                <w:szCs w:val="20"/>
                <w:color w:val="auto"/>
              </w:rPr>
            </w:pPr>
            <w:r>
              <w:rPr>
                <w:rFonts w:ascii="Arial" w:cs="Arial" w:eastAsia="Arial" w:hAnsi="Arial"/>
                <w:sz w:val="16"/>
                <w:szCs w:val="16"/>
                <w:color w:val="auto"/>
              </w:rPr>
              <w:t>Advertising and public relations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Postage, printing and supplies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1600"/>
              <w:spacing w:after="0"/>
              <w:rPr>
                <w:sz w:val="20"/>
                <w:szCs w:val="20"/>
                <w:color w:val="auto"/>
              </w:rPr>
            </w:pPr>
            <w:r>
              <w:rPr>
                <w:rFonts w:ascii="Arial" w:cs="Arial" w:eastAsia="Arial" w:hAnsi="Arial"/>
                <w:sz w:val="16"/>
                <w:szCs w:val="16"/>
                <w:color w:val="auto"/>
              </w:rPr>
              <w:t>Professional fees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Lending and loan servicing expense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1600"/>
              <w:spacing w:after="0"/>
              <w:rPr>
                <w:sz w:val="20"/>
                <w:szCs w:val="20"/>
                <w:color w:val="auto"/>
              </w:rPr>
            </w:pPr>
            <w:r>
              <w:rPr>
                <w:rFonts w:ascii="Arial" w:cs="Arial" w:eastAsia="Arial" w:hAnsi="Arial"/>
                <w:sz w:val="16"/>
                <w:szCs w:val="16"/>
                <w:color w:val="auto"/>
              </w:rPr>
              <w:t>Outside services - electronic banking</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FDIC assessments and other regulatory charges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1600"/>
              <w:spacing w:after="0"/>
              <w:rPr>
                <w:sz w:val="20"/>
                <w:szCs w:val="20"/>
                <w:color w:val="auto"/>
              </w:rPr>
            </w:pPr>
            <w:r>
              <w:rPr>
                <w:rFonts w:ascii="Arial" w:cs="Arial" w:eastAsia="Arial" w:hAnsi="Arial"/>
                <w:sz w:val="16"/>
                <w:szCs w:val="16"/>
                <w:color w:val="auto"/>
              </w:rPr>
              <w:t>Amortization of core deposit intangibles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1720"/>
              <w:spacing w:after="0"/>
              <w:rPr>
                <w:sz w:val="20"/>
                <w:szCs w:val="20"/>
                <w:color w:val="auto"/>
              </w:rPr>
            </w:pPr>
            <w:r>
              <w:rPr>
                <w:rFonts w:ascii="Arial" w:cs="Arial" w:eastAsia="Arial" w:hAnsi="Arial"/>
                <w:sz w:val="16"/>
                <w:szCs w:val="16"/>
                <w:color w:val="auto"/>
                <w:w w:val="99"/>
              </w:rPr>
              <w:t>Total excluding merger-related and other charges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93,651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80,730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Merger-related and other charges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1720"/>
              <w:spacing w:after="0"/>
              <w:rPr>
                <w:sz w:val="20"/>
                <w:szCs w:val="20"/>
                <w:color w:val="auto"/>
              </w:rPr>
            </w:pPr>
            <w:r>
              <w:rPr>
                <w:rFonts w:ascii="Arial" w:cs="Arial" w:eastAsia="Arial" w:hAnsi="Arial"/>
                <w:sz w:val="16"/>
                <w:szCs w:val="16"/>
                <w:color w:val="auto"/>
              </w:rPr>
              <w:t>Total noninterest expenses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95,194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81,538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Salaries and employee benefits for the first quarter of 2021 increased 18% from same period of 2020. The increase was primarily attributable to higher mortgage commissions, other incentives and bonus accrual resulting from increased production and strong performance during the first quarter of 2021. The three months ended March 31, 2021 also reflects the addition of Three Shores employees. These increases were partially offset by a decrease in stock compensation expense and an increase in deferred loan costs, resulting from strong loan production, including mortgage and third round PPP loans, compared to the same period of 2020. Full time equivalent headcount totaled 2,396 at March 31, 2021, up from 2,332 at March 31, 2020.</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Communications and equipment expense increased primarily due to incremental software contract costs. The increase in occupancy costs for the first quarter of 2021 compared to the same period of 2020 was mostly attributable to the addition of operating lease costs associated with the Three Shores’ locations. The increase in lending and loan servicing expense was driven by strong loan production in the first quarter of 2021. The increase in FDIC assessments and other regulatory charges was primarily attributable to an increased assessment base driven by higher average total assets compared to the first quarter of 2020, partly due to the acquisition of Three Shores. The decrease in other noninterest expense was attributable to lower travel expenses as a result of the COVID-19 pandemic and net gains on sale of foreclosed properties during the first quarter of 2021.</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Merger-related and other charges for the three months ended March 31, 2021 consisted primarily of merger-related expenses associated with the acquisition of Three Shores, including costs associated with system conversion, which occurred during the first quarter of 2021. Merger-related and other charges for the three months ended March 31, 2020 consisted primarily of merger-related expenses associated with First Madison Bank &amp; Trust and Three Shores, as well as branch closure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assets at March 31, 2021 and December 31, 2020 were $18.6 billion and $17.8 billion, respectively. The increase in assets was primarily evident in loans, which included PPP loan originations during the quarter, and investments. An increase in customer deposits provided liquidity, some of which was strategically deployed to fund a larger investment portfolio. Total liabilities at March 31, 2021 and December 31, 2020 were $16.5 billion and $15.8 billion, respectively, with the increase quarter over quarter primarily due to the aforementioned customer deposit growth. Shareholders’ equity totaled $2.03 billion and $2.01 billion at March 31, 2021 and December 31, 2020,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loan portfolio is our largest category of interest-earning assets. Total loans averaged $11.4 billion in the first quarter of 2021, compared with $8.83 billion in the first quarter of 2020, an increase of 29%, much of which resulted from the Three Shores acquisition and our participation in the PPP program. At March 31, 2021, total loans were $11.7 billion, an increase of 3%, from December 31, 2020. The following table presents a summary by loan type of the loan portfolio, of which approximately 68% was secured by real estate at March 31, 2021.</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8 - Loans Outstanding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ind w:left="78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4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 of total loans</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 of total loans</w:t>
            </w:r>
          </w:p>
        </w:tc>
      </w:tr>
      <w:tr>
        <w:trPr>
          <w:trHeight w:val="212"/>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2,107,153</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2,090,443</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2,598,482</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2,540,750</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22</w:t>
            </w:r>
          </w:p>
        </w:tc>
      </w:tr>
      <w:tr>
        <w:trPr>
          <w:trHeight w:val="219"/>
        </w:trPr>
        <w:tc>
          <w:tcPr>
            <w:tcW w:w="49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2,643,279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2,498,560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960,153</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967,305</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9</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912,650</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863,830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r>
      <w:tr>
        <w:trPr>
          <w:trHeight w:val="206"/>
        </w:trPr>
        <w:tc>
          <w:tcPr>
            <w:tcW w:w="4960" w:type="dxa"/>
            <w:vAlign w:val="bottom"/>
          </w:tcPr>
          <w:p>
            <w:pPr>
              <w:ind w:left="220"/>
              <w:spacing w:after="0"/>
              <w:rPr>
                <w:sz w:val="20"/>
                <w:szCs w:val="20"/>
                <w:color w:val="auto"/>
              </w:rPr>
            </w:pPr>
            <w:r>
              <w:rPr>
                <w:rFonts w:ascii="Arial" w:cs="Arial" w:eastAsia="Arial" w:hAnsi="Arial"/>
                <w:sz w:val="16"/>
                <w:szCs w:val="16"/>
                <w:color w:val="auto"/>
              </w:rPr>
              <w:t>Total commercial</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9,221,717</w:t>
            </w:r>
          </w:p>
        </w:tc>
        <w:tc>
          <w:tcPr>
            <w:tcW w:w="10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8,960,888</w:t>
            </w:r>
          </w:p>
        </w:tc>
        <w:tc>
          <w:tcPr>
            <w:tcW w:w="10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79</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1,362,088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1,284,920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HELOC</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679,094</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697,117</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281,430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r>
      <w:tr>
        <w:trPr>
          <w:trHeight w:val="21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144,045</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146,460</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r>
      <w:tr>
        <w:trPr>
          <w:trHeight w:val="238"/>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loans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11,678,544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11,370,815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Commercial and industrial loans as of March 31, 2021 and December 31, 2020 included $883 million and $646 million of PPP loans,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manage asset quality and control credit risk through review and oversight of the loan portfolio as well as adherence to policies designed to promote sound underwriting and loan monitoring practices. Our credit administration function is responsible for monitoring asset quality and Board approved portfolio concentration limits, establishing credit policies and procedures and enforcing the consistent application of these policies and procedures. Additional information on our credit administration function is included in Part I, Item 1 under the heading </w:t>
      </w:r>
      <w:r>
        <w:rPr>
          <w:rFonts w:ascii="Arial" w:cs="Arial" w:eastAsia="Arial" w:hAnsi="Arial"/>
          <w:sz w:val="16"/>
          <w:szCs w:val="16"/>
          <w:i w:val="1"/>
          <w:iCs w:val="1"/>
          <w:color w:val="auto"/>
        </w:rPr>
        <w:t>Lending Activities</w:t>
      </w:r>
      <w:r>
        <w:rPr>
          <w:rFonts w:ascii="Arial" w:cs="Arial" w:eastAsia="Arial" w:hAnsi="Arial"/>
          <w:sz w:val="16"/>
          <w:szCs w:val="16"/>
          <w:color w:val="auto"/>
        </w:rPr>
        <w:t xml:space="preserve"> in our 2020 10-K.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We classify loans as “substandard” when there is a well-defined weakness or weaknesses that jeopardizes the repayment by the borrower and there is a distinct possibility that we could sustain some loss if the deficiency is not corrected. Performing substandard loans, which are substandard loans that are still accruing interest, totaled $176 million and $165 million, respectively, at March 31, 2021 and December 31, 2020.</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reviews of classified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ACL reflects management’s assessment of the life of loan expected credit losses in the loan portfolio and unfunded loan commitments. This assessment involves uncertainty and judgment and is subject to change in future periods. The amount of any changes could be significant if management’s assessment of loan quality or collateral values changes substantially with respect to one or more loan relationships or portfolios. The allocation of the ACL is based on reasonable and supportable forecasts, historical data, subjective judgment and estimates and therefore, is not necessarily indicative of the specific amounts or loan categories in which charge-offs may ultimately occur. In addition, bank regulatory authorities, as part of their periodic examination of the Bank, may require adjustments to the provision for credit losses in future periods if, in their opinion, the results of their review warrant such additions. See the </w:t>
      </w:r>
      <w:r>
        <w:rPr>
          <w:rFonts w:ascii="Arial" w:cs="Arial" w:eastAsia="Arial" w:hAnsi="Arial"/>
          <w:sz w:val="16"/>
          <w:szCs w:val="16"/>
          <w:i w:val="1"/>
          <w:iCs w:val="1"/>
          <w:color w:val="auto"/>
        </w:rPr>
        <w:t>Critical Accounting Policies</w:t>
      </w:r>
      <w:r>
        <w:rPr>
          <w:rFonts w:ascii="Arial" w:cs="Arial" w:eastAsia="Arial" w:hAnsi="Arial"/>
          <w:sz w:val="16"/>
          <w:szCs w:val="16"/>
          <w:color w:val="auto"/>
        </w:rPr>
        <w:t xml:space="preserve"> section of MD&amp;A in our 2020 10-K for additional information on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presents a summary of the changes in the ACL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9 - ACL</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Three Months Ended</w:t>
      </w:r>
    </w:p>
    <w:p>
      <w:pPr>
        <w:jc w:val="center"/>
        <w:ind w:left="58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60" w:type="dxa"/>
            <w:vAlign w:val="bottom"/>
            <w:tcBorders>
              <w:bottom w:val="single" w:sz="8" w:color="CCEEFF"/>
            </w:tcBorders>
          </w:tcPr>
          <w:p>
            <w:pPr>
              <w:spacing w:after="0"/>
              <w:rPr>
                <w:sz w:val="18"/>
                <w:szCs w:val="18"/>
                <w:color w:val="auto"/>
              </w:rPr>
            </w:pPr>
          </w:p>
        </w:tc>
      </w:tr>
      <w:tr>
        <w:trPr>
          <w:trHeight w:val="212"/>
        </w:trPr>
        <w:tc>
          <w:tcPr>
            <w:tcW w:w="71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ACL - loans, beginning of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137,010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62,089</w:t>
            </w:r>
          </w:p>
        </w:tc>
        <w:tc>
          <w:tcPr>
            <w:tcW w:w="1260" w:type="dxa"/>
            <w:vAlign w:val="bottom"/>
            <w:shd w:val="clear" w:color="auto" w:fill="CCEEFF"/>
          </w:tcPr>
          <w:p>
            <w:pPr>
              <w:spacing w:after="0"/>
              <w:rPr>
                <w:sz w:val="18"/>
                <w:szCs w:val="18"/>
                <w:color w:val="auto"/>
              </w:rPr>
            </w:pPr>
          </w:p>
        </w:tc>
      </w:tr>
      <w:tr>
        <w:trPr>
          <w:trHeight w:val="213"/>
        </w:trPr>
        <w:tc>
          <w:tcPr>
            <w:tcW w:w="7140" w:type="dxa"/>
            <w:vAlign w:val="bottom"/>
          </w:tcPr>
          <w:p>
            <w:pPr>
              <w:ind w:left="1280"/>
              <w:spacing w:after="0"/>
              <w:rPr>
                <w:sz w:val="20"/>
                <w:szCs w:val="20"/>
                <w:color w:val="auto"/>
              </w:rPr>
            </w:pPr>
            <w:r>
              <w:rPr>
                <w:rFonts w:ascii="Arial" w:cs="Arial" w:eastAsia="Arial" w:hAnsi="Arial"/>
                <w:sz w:val="16"/>
                <w:szCs w:val="16"/>
                <w:color w:val="auto"/>
              </w:rPr>
              <w:t>Adoption of CECL</w:t>
            </w: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6,880</w:t>
            </w:r>
          </w:p>
        </w:tc>
        <w:tc>
          <w:tcPr>
            <w:tcW w:w="1260" w:type="dxa"/>
            <w:vAlign w:val="bottom"/>
          </w:tcPr>
          <w:p>
            <w:pPr>
              <w:spacing w:after="0"/>
              <w:rPr>
                <w:sz w:val="18"/>
                <w:szCs w:val="18"/>
                <w:color w:val="auto"/>
              </w:rPr>
            </w:pPr>
          </w:p>
        </w:tc>
      </w:tr>
      <w:tr>
        <w:trPr>
          <w:trHeight w:val="213"/>
        </w:trPr>
        <w:tc>
          <w:tcPr>
            <w:tcW w:w="7140" w:type="dxa"/>
            <w:vAlign w:val="bottom"/>
            <w:tcBorders>
              <w:top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ACL - loans, adjusted beginning balance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137,010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68,969</w:t>
            </w:r>
          </w:p>
        </w:tc>
        <w:tc>
          <w:tcPr>
            <w:tcW w:w="1260" w:type="dxa"/>
            <w:vAlign w:val="bottom"/>
            <w:tcBorders>
              <w:top w:val="single" w:sz="8" w:color="CCEEFF"/>
            </w:tcBorders>
            <w:shd w:val="clear" w:color="auto" w:fill="CCEEFF"/>
          </w:tcPr>
          <w:p>
            <w:pPr>
              <w:spacing w:after="0"/>
              <w:rPr>
                <w:sz w:val="18"/>
                <w:szCs w:val="18"/>
                <w:color w:val="auto"/>
              </w:rPr>
            </w:pPr>
          </w:p>
        </w:tc>
      </w:tr>
      <w:tr>
        <w:trPr>
          <w:trHeight w:val="193"/>
        </w:trPr>
        <w:tc>
          <w:tcPr>
            <w:tcW w:w="7140" w:type="dxa"/>
            <w:vAlign w:val="bottom"/>
          </w:tcPr>
          <w:p>
            <w:pPr>
              <w:ind w:left="1280"/>
              <w:spacing w:after="0"/>
              <w:rPr>
                <w:sz w:val="20"/>
                <w:szCs w:val="20"/>
                <w:color w:val="auto"/>
              </w:rPr>
            </w:pPr>
            <w:r>
              <w:rPr>
                <w:rFonts w:ascii="Arial" w:cs="Arial" w:eastAsia="Arial" w:hAnsi="Arial"/>
                <w:sz w:val="16"/>
                <w:szCs w:val="16"/>
                <w:color w:val="auto"/>
              </w:rPr>
              <w:t>Charge-offs: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spacing w:after="0"/>
              <w:rPr>
                <w:sz w:val="19"/>
                <w:szCs w:val="19"/>
                <w:color w:val="auto"/>
              </w:rPr>
            </w:pPr>
          </w:p>
        </w:tc>
      </w:tr>
      <w:tr>
        <w:trPr>
          <w:trHeight w:val="213"/>
        </w:trPr>
        <w:tc>
          <w:tcPr>
            <w:tcW w:w="7140" w:type="dxa"/>
            <w:vAlign w:val="bottom"/>
          </w:tcPr>
          <w:p>
            <w:pPr>
              <w:ind w:left="140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411</w:t>
            </w:r>
          </w:p>
        </w:tc>
        <w:tc>
          <w:tcPr>
            <w:tcW w:w="1260" w:type="dxa"/>
            <w:vAlign w:val="bottom"/>
          </w:tcPr>
          <w:p>
            <w:pPr>
              <w:spacing w:after="0"/>
              <w:rPr>
                <w:sz w:val="18"/>
                <w:szCs w:val="18"/>
                <w:color w:val="auto"/>
              </w:rPr>
            </w:pP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Commercial &amp; industrial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7,561</w:t>
            </w:r>
          </w:p>
        </w:tc>
        <w:tc>
          <w:tcPr>
            <w:tcW w:w="1260" w:type="dxa"/>
            <w:vAlign w:val="bottom"/>
            <w:shd w:val="clear" w:color="auto" w:fill="CCEEFF"/>
          </w:tcPr>
          <w:p>
            <w:pPr>
              <w:spacing w:after="0"/>
              <w:rPr>
                <w:sz w:val="19"/>
                <w:szCs w:val="19"/>
                <w:color w:val="auto"/>
              </w:rPr>
            </w:pPr>
          </w:p>
        </w:tc>
      </w:tr>
      <w:tr>
        <w:trPr>
          <w:trHeight w:val="213"/>
        </w:trPr>
        <w:tc>
          <w:tcPr>
            <w:tcW w:w="7140" w:type="dxa"/>
            <w:vAlign w:val="bottom"/>
          </w:tcPr>
          <w:p>
            <w:pPr>
              <w:ind w:left="1400"/>
              <w:spacing w:after="0"/>
              <w:rPr>
                <w:sz w:val="20"/>
                <w:szCs w:val="20"/>
                <w:color w:val="auto"/>
              </w:rPr>
            </w:pPr>
            <w:r>
              <w:rPr>
                <w:rFonts w:ascii="Arial" w:cs="Arial" w:eastAsia="Arial" w:hAnsi="Arial"/>
                <w:sz w:val="16"/>
                <w:szCs w:val="16"/>
                <w:color w:val="auto"/>
              </w:rPr>
              <w:t>Commercial construction</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gridSpan w:val="2"/>
          </w:tcPr>
          <w:p>
            <w:pPr>
              <w:jc w:val="right"/>
              <w:ind w:right="1480"/>
              <w:spacing w:after="0"/>
              <w:rPr>
                <w:sz w:val="20"/>
                <w:szCs w:val="20"/>
                <w:color w:val="auto"/>
              </w:rPr>
            </w:pPr>
            <w:r>
              <w:rPr>
                <w:rFonts w:ascii="Arial" w:cs="Arial" w:eastAsia="Arial" w:hAnsi="Arial"/>
                <w:sz w:val="16"/>
                <w:szCs w:val="16"/>
                <w:color w:val="auto"/>
              </w:rPr>
              <w:t>—</w:t>
            </w: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Equipment financing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1,863</w:t>
            </w:r>
          </w:p>
        </w:tc>
        <w:tc>
          <w:tcPr>
            <w:tcW w:w="1260" w:type="dxa"/>
            <w:vAlign w:val="bottom"/>
            <w:shd w:val="clear" w:color="auto" w:fill="CCEEFF"/>
          </w:tcPr>
          <w:p>
            <w:pPr>
              <w:spacing w:after="0"/>
              <w:rPr>
                <w:sz w:val="19"/>
                <w:szCs w:val="19"/>
                <w:color w:val="auto"/>
              </w:rPr>
            </w:pPr>
          </w:p>
        </w:tc>
      </w:tr>
      <w:tr>
        <w:trPr>
          <w:trHeight w:val="213"/>
        </w:trPr>
        <w:tc>
          <w:tcPr>
            <w:tcW w:w="7140" w:type="dxa"/>
            <w:vAlign w:val="bottom"/>
          </w:tcPr>
          <w:p>
            <w:pPr>
              <w:ind w:left="1400"/>
              <w:spacing w:after="0"/>
              <w:rPr>
                <w:sz w:val="20"/>
                <w:szCs w:val="20"/>
                <w:color w:val="auto"/>
              </w:rPr>
            </w:pPr>
            <w:r>
              <w:rPr>
                <w:rFonts w:ascii="Arial" w:cs="Arial" w:eastAsia="Arial" w:hAnsi="Arial"/>
                <w:sz w:val="16"/>
                <w:szCs w:val="16"/>
                <w:color w:val="auto"/>
              </w:rPr>
              <w:t>Residential mortgage</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284</w:t>
            </w:r>
          </w:p>
        </w:tc>
        <w:tc>
          <w:tcPr>
            <w:tcW w:w="1260" w:type="dxa"/>
            <w:vAlign w:val="bottom"/>
          </w:tcPr>
          <w:p>
            <w:pPr>
              <w:spacing w:after="0"/>
              <w:rPr>
                <w:sz w:val="18"/>
                <w:szCs w:val="18"/>
                <w:color w:val="auto"/>
              </w:rPr>
            </w:pP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HELOC</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c>
          <w:tcPr>
            <w:tcW w:w="1260" w:type="dxa"/>
            <w:vAlign w:val="bottom"/>
            <w:shd w:val="clear" w:color="auto" w:fill="CCEEFF"/>
          </w:tcPr>
          <w:p>
            <w:pPr>
              <w:spacing w:after="0"/>
              <w:rPr>
                <w:sz w:val="19"/>
                <w:szCs w:val="19"/>
                <w:color w:val="auto"/>
              </w:rPr>
            </w:pPr>
          </w:p>
        </w:tc>
      </w:tr>
      <w:tr>
        <w:trPr>
          <w:trHeight w:val="213"/>
        </w:trPr>
        <w:tc>
          <w:tcPr>
            <w:tcW w:w="7140" w:type="dxa"/>
            <w:vAlign w:val="bottom"/>
          </w:tcPr>
          <w:p>
            <w:pPr>
              <w:ind w:left="1400"/>
              <w:spacing w:after="0"/>
              <w:rPr>
                <w:sz w:val="20"/>
                <w:szCs w:val="20"/>
                <w:color w:val="auto"/>
              </w:rPr>
            </w:pPr>
            <w:r>
              <w:rPr>
                <w:rFonts w:ascii="Arial" w:cs="Arial" w:eastAsia="Arial" w:hAnsi="Arial"/>
                <w:sz w:val="16"/>
                <w:szCs w:val="16"/>
                <w:color w:val="auto"/>
              </w:rPr>
              <w:t>Residential construction</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260" w:type="dxa"/>
            <w:vAlign w:val="bottom"/>
          </w:tcPr>
          <w:p>
            <w:pPr>
              <w:spacing w:after="0"/>
              <w:rPr>
                <w:sz w:val="18"/>
                <w:szCs w:val="18"/>
                <w:color w:val="auto"/>
              </w:rPr>
            </w:pP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638</w:t>
            </w:r>
          </w:p>
        </w:tc>
        <w:tc>
          <w:tcPr>
            <w:tcW w:w="1260" w:type="dxa"/>
            <w:vAlign w:val="bottom"/>
            <w:shd w:val="clear" w:color="auto" w:fill="CCEEFF"/>
          </w:tcPr>
          <w:p>
            <w:pPr>
              <w:spacing w:after="0"/>
              <w:rPr>
                <w:sz w:val="19"/>
                <w:szCs w:val="19"/>
                <w:color w:val="auto"/>
              </w:rPr>
            </w:pPr>
          </w:p>
        </w:tc>
      </w:tr>
      <w:tr>
        <w:trPr>
          <w:trHeight w:val="206"/>
        </w:trPr>
        <w:tc>
          <w:tcPr>
            <w:tcW w:w="7140" w:type="dxa"/>
            <w:vAlign w:val="bottom"/>
            <w:tcBorders>
              <w:bottom w:val="single" w:sz="8" w:color="CCEEFF"/>
            </w:tcBorders>
          </w:tcPr>
          <w:p>
            <w:pPr>
              <w:ind w:left="1480"/>
              <w:spacing w:after="0"/>
              <w:rPr>
                <w:sz w:val="20"/>
                <w:szCs w:val="20"/>
                <w:color w:val="auto"/>
              </w:rPr>
            </w:pPr>
            <w:r>
              <w:rPr>
                <w:rFonts w:ascii="Arial" w:cs="Arial" w:eastAsia="Arial" w:hAnsi="Arial"/>
                <w:sz w:val="16"/>
                <w:szCs w:val="16"/>
                <w:color w:val="auto"/>
              </w:rPr>
              <w:t>Total charge-offs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6,833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10,805</w:t>
            </w:r>
          </w:p>
        </w:tc>
        <w:tc>
          <w:tcPr>
            <w:tcW w:w="1260" w:type="dxa"/>
            <w:vAlign w:val="bottom"/>
            <w:tcBorders>
              <w:bottom w:val="single" w:sz="8" w:color="CCEEFF"/>
            </w:tcBorders>
          </w:tcPr>
          <w:p>
            <w:pPr>
              <w:spacing w:after="0"/>
              <w:rPr>
                <w:sz w:val="17"/>
                <w:szCs w:val="17"/>
                <w:color w:val="auto"/>
              </w:rPr>
            </w:pPr>
          </w:p>
        </w:tc>
      </w:tr>
      <w:tr>
        <w:trPr>
          <w:trHeight w:val="199"/>
        </w:trPr>
        <w:tc>
          <w:tcPr>
            <w:tcW w:w="71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Recoveries: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140" w:type="dxa"/>
            <w:vAlign w:val="bottom"/>
          </w:tcPr>
          <w:p>
            <w:pPr>
              <w:ind w:left="140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1,034</w:t>
            </w:r>
          </w:p>
        </w:tc>
        <w:tc>
          <w:tcPr>
            <w:tcW w:w="1260" w:type="dxa"/>
            <w:vAlign w:val="bottom"/>
          </w:tcPr>
          <w:p>
            <w:pPr>
              <w:spacing w:after="0"/>
              <w:rPr>
                <w:sz w:val="18"/>
                <w:szCs w:val="18"/>
                <w:color w:val="auto"/>
              </w:rPr>
            </w:pP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141</w:t>
            </w:r>
          </w:p>
        </w:tc>
        <w:tc>
          <w:tcPr>
            <w:tcW w:w="1260" w:type="dxa"/>
            <w:vAlign w:val="bottom"/>
            <w:shd w:val="clear" w:color="auto" w:fill="CCEEFF"/>
          </w:tcPr>
          <w:p>
            <w:pPr>
              <w:spacing w:after="0"/>
              <w:rPr>
                <w:sz w:val="19"/>
                <w:szCs w:val="19"/>
                <w:color w:val="auto"/>
              </w:rPr>
            </w:pPr>
          </w:p>
        </w:tc>
      </w:tr>
      <w:tr>
        <w:trPr>
          <w:trHeight w:val="213"/>
        </w:trPr>
        <w:tc>
          <w:tcPr>
            <w:tcW w:w="7140" w:type="dxa"/>
            <w:vAlign w:val="bottom"/>
          </w:tcPr>
          <w:p>
            <w:pPr>
              <w:ind w:left="1400"/>
              <w:spacing w:after="0"/>
              <w:rPr>
                <w:sz w:val="20"/>
                <w:szCs w:val="20"/>
                <w:color w:val="auto"/>
              </w:rPr>
            </w:pPr>
            <w:r>
              <w:rPr>
                <w:rFonts w:ascii="Arial" w:cs="Arial" w:eastAsia="Arial" w:hAnsi="Arial"/>
                <w:sz w:val="16"/>
                <w:szCs w:val="16"/>
                <w:color w:val="auto"/>
              </w:rPr>
              <w:t>Commercial &amp; industrial</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5,647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376</w:t>
            </w:r>
          </w:p>
        </w:tc>
        <w:tc>
          <w:tcPr>
            <w:tcW w:w="1260" w:type="dxa"/>
            <w:vAlign w:val="bottom"/>
          </w:tcPr>
          <w:p>
            <w:pPr>
              <w:spacing w:after="0"/>
              <w:rPr>
                <w:sz w:val="18"/>
                <w:szCs w:val="18"/>
                <w:color w:val="auto"/>
              </w:rPr>
            </w:pP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Commercial construction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141</w:t>
            </w:r>
          </w:p>
        </w:tc>
        <w:tc>
          <w:tcPr>
            <w:tcW w:w="1260" w:type="dxa"/>
            <w:vAlign w:val="bottom"/>
            <w:shd w:val="clear" w:color="auto" w:fill="CCEEFF"/>
          </w:tcPr>
          <w:p>
            <w:pPr>
              <w:spacing w:after="0"/>
              <w:rPr>
                <w:sz w:val="19"/>
                <w:szCs w:val="19"/>
                <w:color w:val="auto"/>
              </w:rPr>
            </w:pPr>
          </w:p>
        </w:tc>
      </w:tr>
      <w:tr>
        <w:trPr>
          <w:trHeight w:val="213"/>
        </w:trPr>
        <w:tc>
          <w:tcPr>
            <w:tcW w:w="7140" w:type="dxa"/>
            <w:vAlign w:val="bottom"/>
          </w:tcPr>
          <w:p>
            <w:pPr>
              <w:ind w:left="1400"/>
              <w:spacing w:after="0"/>
              <w:rPr>
                <w:sz w:val="20"/>
                <w:szCs w:val="20"/>
                <w:color w:val="auto"/>
              </w:rPr>
            </w:pPr>
            <w:r>
              <w:rPr>
                <w:rFonts w:ascii="Arial" w:cs="Arial" w:eastAsia="Arial" w:hAnsi="Arial"/>
                <w:sz w:val="16"/>
                <w:szCs w:val="16"/>
                <w:color w:val="auto"/>
              </w:rPr>
              <w:t>Equipment financing</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356</w:t>
            </w:r>
          </w:p>
        </w:tc>
        <w:tc>
          <w:tcPr>
            <w:tcW w:w="1260" w:type="dxa"/>
            <w:vAlign w:val="bottom"/>
          </w:tcPr>
          <w:p>
            <w:pPr>
              <w:spacing w:after="0"/>
              <w:rPr>
                <w:sz w:val="18"/>
                <w:szCs w:val="18"/>
                <w:color w:val="auto"/>
              </w:rPr>
            </w:pP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Residential mortgage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275</w:t>
            </w:r>
          </w:p>
        </w:tc>
        <w:tc>
          <w:tcPr>
            <w:tcW w:w="1260" w:type="dxa"/>
            <w:vAlign w:val="bottom"/>
            <w:shd w:val="clear" w:color="auto" w:fill="CCEEFF"/>
          </w:tcPr>
          <w:p>
            <w:pPr>
              <w:spacing w:after="0"/>
              <w:rPr>
                <w:sz w:val="19"/>
                <w:szCs w:val="19"/>
                <w:color w:val="auto"/>
              </w:rPr>
            </w:pPr>
          </w:p>
        </w:tc>
      </w:tr>
      <w:tr>
        <w:trPr>
          <w:trHeight w:val="213"/>
        </w:trPr>
        <w:tc>
          <w:tcPr>
            <w:tcW w:w="7140" w:type="dxa"/>
            <w:vAlign w:val="bottom"/>
          </w:tcPr>
          <w:p>
            <w:pPr>
              <w:ind w:left="1400"/>
              <w:spacing w:after="0"/>
              <w:rPr>
                <w:sz w:val="20"/>
                <w:szCs w:val="20"/>
                <w:color w:val="auto"/>
              </w:rPr>
            </w:pPr>
            <w:r>
              <w:rPr>
                <w:rFonts w:ascii="Arial" w:cs="Arial" w:eastAsia="Arial" w:hAnsi="Arial"/>
                <w:sz w:val="16"/>
                <w:szCs w:val="16"/>
                <w:color w:val="auto"/>
              </w:rPr>
              <w:t>HELOC</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103</w:t>
            </w:r>
          </w:p>
        </w:tc>
        <w:tc>
          <w:tcPr>
            <w:tcW w:w="1260" w:type="dxa"/>
            <w:vAlign w:val="bottom"/>
          </w:tcPr>
          <w:p>
            <w:pPr>
              <w:spacing w:after="0"/>
              <w:rPr>
                <w:sz w:val="18"/>
                <w:szCs w:val="18"/>
                <w:color w:val="auto"/>
              </w:rPr>
            </w:pP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w:t>
            </w:r>
          </w:p>
        </w:tc>
        <w:tc>
          <w:tcPr>
            <w:tcW w:w="1260" w:type="dxa"/>
            <w:vAlign w:val="bottom"/>
            <w:shd w:val="clear" w:color="auto" w:fill="CCEEFF"/>
          </w:tcPr>
          <w:p>
            <w:pPr>
              <w:spacing w:after="0"/>
              <w:rPr>
                <w:sz w:val="19"/>
                <w:szCs w:val="19"/>
                <w:color w:val="auto"/>
              </w:rPr>
            </w:pPr>
          </w:p>
        </w:tc>
      </w:tr>
      <w:tr>
        <w:trPr>
          <w:trHeight w:val="213"/>
        </w:trPr>
        <w:tc>
          <w:tcPr>
            <w:tcW w:w="7140" w:type="dxa"/>
            <w:vAlign w:val="bottom"/>
            <w:tcBorders>
              <w:bottom w:val="single" w:sz="8" w:color="CCEEFF"/>
            </w:tcBorders>
          </w:tcPr>
          <w:p>
            <w:pPr>
              <w:ind w:left="140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231</w:t>
            </w:r>
          </w:p>
        </w:tc>
        <w:tc>
          <w:tcPr>
            <w:tcW w:w="1260" w:type="dxa"/>
            <w:vAlign w:val="bottom"/>
            <w:tcBorders>
              <w:bottom w:val="single" w:sz="8" w:color="CCEEFF"/>
            </w:tcBorders>
          </w:tcPr>
          <w:p>
            <w:pPr>
              <w:spacing w:after="0"/>
              <w:rPr>
                <w:sz w:val="18"/>
                <w:szCs w:val="18"/>
                <w:color w:val="auto"/>
              </w:rPr>
            </w:pPr>
          </w:p>
        </w:tc>
      </w:tr>
      <w:tr>
        <w:trPr>
          <w:trHeight w:val="213"/>
        </w:trPr>
        <w:tc>
          <w:tcPr>
            <w:tcW w:w="714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Total recoveries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7,138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2,691</w:t>
            </w:r>
          </w:p>
        </w:tc>
        <w:tc>
          <w:tcPr>
            <w:tcW w:w="1260" w:type="dxa"/>
            <w:vAlign w:val="bottom"/>
            <w:shd w:val="clear" w:color="auto" w:fill="CCEEFF"/>
          </w:tcPr>
          <w:p>
            <w:pPr>
              <w:spacing w:after="0"/>
              <w:rPr>
                <w:sz w:val="18"/>
                <w:szCs w:val="18"/>
                <w:color w:val="auto"/>
              </w:rPr>
            </w:pPr>
          </w:p>
        </w:tc>
      </w:tr>
      <w:tr>
        <w:trPr>
          <w:trHeight w:val="207"/>
        </w:trPr>
        <w:tc>
          <w:tcPr>
            <w:tcW w:w="7140" w:type="dxa"/>
            <w:vAlign w:val="bottom"/>
            <w:tcBorders>
              <w:bottom w:val="single" w:sz="8" w:color="CCEEFF"/>
            </w:tcBorders>
          </w:tcPr>
          <w:p>
            <w:pPr>
              <w:ind w:left="1480"/>
              <w:spacing w:after="0"/>
              <w:rPr>
                <w:sz w:val="20"/>
                <w:szCs w:val="20"/>
                <w:color w:val="auto"/>
              </w:rPr>
            </w:pPr>
            <w:r>
              <w:rPr>
                <w:rFonts w:ascii="Arial" w:cs="Arial" w:eastAsia="Arial" w:hAnsi="Arial"/>
                <w:sz w:val="16"/>
                <w:szCs w:val="16"/>
                <w:color w:val="auto"/>
              </w:rPr>
              <w:t>Net (recoveries) charge-offs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8,114</w:t>
            </w:r>
          </w:p>
        </w:tc>
        <w:tc>
          <w:tcPr>
            <w:tcW w:w="1260" w:type="dxa"/>
            <w:vAlign w:val="bottom"/>
            <w:tcBorders>
              <w:bottom w:val="single" w:sz="8" w:color="CCEEFF"/>
            </w:tcBorders>
          </w:tcPr>
          <w:p>
            <w:pPr>
              <w:spacing w:after="0"/>
              <w:rPr>
                <w:sz w:val="17"/>
                <w:szCs w:val="17"/>
                <w:color w:val="auto"/>
              </w:rPr>
            </w:pPr>
          </w:p>
        </w:tc>
      </w:tr>
      <w:tr>
        <w:trPr>
          <w:trHeight w:val="213"/>
        </w:trPr>
        <w:tc>
          <w:tcPr>
            <w:tcW w:w="71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(Release of) provision for credit losses - loans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(10,449)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21,050</w:t>
            </w:r>
          </w:p>
        </w:tc>
        <w:tc>
          <w:tcPr>
            <w:tcW w:w="1260" w:type="dxa"/>
            <w:vAlign w:val="bottom"/>
            <w:shd w:val="clear" w:color="auto" w:fill="CCEEFF"/>
          </w:tcPr>
          <w:p>
            <w:pPr>
              <w:spacing w:after="0"/>
              <w:rPr>
                <w:sz w:val="18"/>
                <w:szCs w:val="18"/>
                <w:color w:val="auto"/>
              </w:rPr>
            </w:pPr>
          </w:p>
        </w:tc>
      </w:tr>
      <w:tr>
        <w:trPr>
          <w:trHeight w:val="207"/>
        </w:trPr>
        <w:tc>
          <w:tcPr>
            <w:tcW w:w="7140" w:type="dxa"/>
            <w:vAlign w:val="bottom"/>
          </w:tcPr>
          <w:p>
            <w:pPr>
              <w:ind w:left="1280"/>
              <w:spacing w:after="0"/>
              <w:rPr>
                <w:sz w:val="20"/>
                <w:szCs w:val="20"/>
                <w:color w:val="auto"/>
              </w:rPr>
            </w:pPr>
            <w:r>
              <w:rPr>
                <w:rFonts w:ascii="Arial" w:cs="Arial" w:eastAsia="Arial" w:hAnsi="Arial"/>
                <w:sz w:val="16"/>
                <w:szCs w:val="16"/>
                <w:color w:val="auto"/>
              </w:rPr>
              <w:t>ACL - loans, end of period</w:t>
            </w:r>
          </w:p>
        </w:tc>
        <w:tc>
          <w:tcPr>
            <w:tcW w:w="26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126,866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81,905</w:t>
            </w:r>
          </w:p>
        </w:tc>
        <w:tc>
          <w:tcPr>
            <w:tcW w:w="1260" w:type="dxa"/>
            <w:vAlign w:val="bottom"/>
          </w:tcPr>
          <w:p>
            <w:pPr>
              <w:spacing w:after="0"/>
              <w:rPr>
                <w:sz w:val="17"/>
                <w:szCs w:val="17"/>
                <w:color w:val="auto"/>
              </w:rPr>
            </w:pPr>
          </w:p>
        </w:tc>
      </w:tr>
      <w:tr>
        <w:trPr>
          <w:trHeight w:val="219"/>
        </w:trPr>
        <w:tc>
          <w:tcPr>
            <w:tcW w:w="7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140" w:type="dxa"/>
            <w:vAlign w:val="bottom"/>
          </w:tcPr>
          <w:p>
            <w:pPr>
              <w:ind w:left="1280"/>
              <w:spacing w:after="0"/>
              <w:rPr>
                <w:sz w:val="20"/>
                <w:szCs w:val="20"/>
                <w:color w:val="auto"/>
              </w:rPr>
            </w:pPr>
            <w:r>
              <w:rPr>
                <w:rFonts w:ascii="Arial" w:cs="Arial" w:eastAsia="Arial" w:hAnsi="Arial"/>
                <w:sz w:val="16"/>
                <w:szCs w:val="16"/>
                <w:color w:val="auto"/>
              </w:rPr>
              <w:t>ACL - unfunded commitments, beginning of period</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10,558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3,458</w:t>
            </w:r>
          </w:p>
        </w:tc>
        <w:tc>
          <w:tcPr>
            <w:tcW w:w="1260" w:type="dxa"/>
            <w:vAlign w:val="bottom"/>
          </w:tcPr>
          <w:p>
            <w:pPr>
              <w:spacing w:after="0"/>
              <w:rPr>
                <w:sz w:val="18"/>
                <w:szCs w:val="18"/>
                <w:color w:val="auto"/>
              </w:rPr>
            </w:pPr>
          </w:p>
        </w:tc>
      </w:tr>
      <w:tr>
        <w:trPr>
          <w:trHeight w:val="219"/>
        </w:trPr>
        <w:tc>
          <w:tcPr>
            <w:tcW w:w="71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Adoption of CECL</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1,871</w:t>
            </w:r>
          </w:p>
        </w:tc>
        <w:tc>
          <w:tcPr>
            <w:tcW w:w="1260" w:type="dxa"/>
            <w:vAlign w:val="bottom"/>
            <w:shd w:val="clear" w:color="auto" w:fill="CCEEFF"/>
          </w:tcPr>
          <w:p>
            <w:pPr>
              <w:spacing w:after="0"/>
              <w:rPr>
                <w:sz w:val="19"/>
                <w:szCs w:val="19"/>
                <w:color w:val="auto"/>
              </w:rPr>
            </w:pPr>
          </w:p>
        </w:tc>
      </w:tr>
      <w:tr>
        <w:trPr>
          <w:trHeight w:val="206"/>
        </w:trPr>
        <w:tc>
          <w:tcPr>
            <w:tcW w:w="7140" w:type="dxa"/>
            <w:vAlign w:val="bottom"/>
          </w:tcPr>
          <w:p>
            <w:pPr>
              <w:ind w:left="1280"/>
              <w:spacing w:after="0"/>
              <w:rPr>
                <w:sz w:val="20"/>
                <w:szCs w:val="20"/>
                <w:color w:val="auto"/>
              </w:rPr>
            </w:pPr>
            <w:r>
              <w:rPr>
                <w:rFonts w:ascii="Arial" w:cs="Arial" w:eastAsia="Arial" w:hAnsi="Arial"/>
                <w:sz w:val="16"/>
                <w:szCs w:val="16"/>
                <w:color w:val="auto"/>
              </w:rPr>
              <w:t>ACL - unfunded commitments, adjusted beginning balance</w:t>
            </w: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10,558</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5,329</w:t>
            </w:r>
          </w:p>
        </w:tc>
        <w:tc>
          <w:tcPr>
            <w:tcW w:w="1260" w:type="dxa"/>
            <w:vAlign w:val="bottom"/>
          </w:tcPr>
          <w:p>
            <w:pPr>
              <w:spacing w:after="0"/>
              <w:rPr>
                <w:sz w:val="17"/>
                <w:szCs w:val="17"/>
                <w:color w:val="auto"/>
              </w:rPr>
            </w:pP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(Release of) provision for credit losses - unfunded commitments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1,141</w:t>
            </w:r>
          </w:p>
        </w:tc>
        <w:tc>
          <w:tcPr>
            <w:tcW w:w="1260" w:type="dxa"/>
            <w:vAlign w:val="bottom"/>
            <w:shd w:val="clear" w:color="auto" w:fill="CCEEFF"/>
          </w:tcPr>
          <w:p>
            <w:pPr>
              <w:spacing w:after="0"/>
              <w:rPr>
                <w:sz w:val="19"/>
                <w:szCs w:val="19"/>
                <w:color w:val="auto"/>
              </w:rPr>
            </w:pPr>
          </w:p>
        </w:tc>
      </w:tr>
      <w:tr>
        <w:trPr>
          <w:trHeight w:val="206"/>
        </w:trPr>
        <w:tc>
          <w:tcPr>
            <w:tcW w:w="7140" w:type="dxa"/>
            <w:vAlign w:val="bottom"/>
          </w:tcPr>
          <w:p>
            <w:pPr>
              <w:ind w:left="1280"/>
              <w:spacing w:after="0"/>
              <w:rPr>
                <w:sz w:val="20"/>
                <w:szCs w:val="20"/>
                <w:color w:val="auto"/>
              </w:rPr>
            </w:pPr>
            <w:r>
              <w:rPr>
                <w:rFonts w:ascii="Arial" w:cs="Arial" w:eastAsia="Arial" w:hAnsi="Arial"/>
                <w:sz w:val="16"/>
                <w:szCs w:val="16"/>
                <w:color w:val="auto"/>
              </w:rPr>
              <w:t>ACL - unfunded commitments, end of period</w:t>
            </w:r>
          </w:p>
        </w:tc>
        <w:tc>
          <w:tcPr>
            <w:tcW w:w="26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8,726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6,470</w:t>
            </w:r>
          </w:p>
        </w:tc>
        <w:tc>
          <w:tcPr>
            <w:tcW w:w="1260" w:type="dxa"/>
            <w:vAlign w:val="bottom"/>
          </w:tcPr>
          <w:p>
            <w:pPr>
              <w:spacing w:after="0"/>
              <w:rPr>
                <w:sz w:val="17"/>
                <w:szCs w:val="17"/>
                <w:color w:val="auto"/>
              </w:rPr>
            </w:pPr>
          </w:p>
        </w:tc>
      </w:tr>
      <w:tr>
        <w:trPr>
          <w:trHeight w:val="219"/>
        </w:trPr>
        <w:tc>
          <w:tcPr>
            <w:tcW w:w="7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0"/>
        </w:trPr>
        <w:tc>
          <w:tcPr>
            <w:tcW w:w="7140" w:type="dxa"/>
            <w:vAlign w:val="bottom"/>
          </w:tcPr>
          <w:p>
            <w:pPr>
              <w:ind w:left="1280"/>
              <w:spacing w:after="0"/>
              <w:rPr>
                <w:sz w:val="20"/>
                <w:szCs w:val="20"/>
                <w:color w:val="auto"/>
              </w:rPr>
            </w:pPr>
            <w:r>
              <w:rPr>
                <w:rFonts w:ascii="Arial" w:cs="Arial" w:eastAsia="Arial" w:hAnsi="Arial"/>
                <w:sz w:val="16"/>
                <w:szCs w:val="16"/>
                <w:color w:val="auto"/>
              </w:rPr>
              <w:t>Total ACL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135,592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88,375</w:t>
            </w:r>
          </w:p>
        </w:tc>
        <w:tc>
          <w:tcPr>
            <w:tcW w:w="1260" w:type="dxa"/>
            <w:vAlign w:val="bottom"/>
          </w:tcPr>
          <w:p>
            <w:pPr>
              <w:spacing w:after="0"/>
              <w:rPr>
                <w:sz w:val="18"/>
                <w:szCs w:val="18"/>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83"/>
        </w:trPr>
        <w:tc>
          <w:tcPr>
            <w:tcW w:w="7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3"/>
        </w:trPr>
        <w:tc>
          <w:tcPr>
            <w:tcW w:w="7140" w:type="dxa"/>
            <w:vAlign w:val="bottom"/>
          </w:tcPr>
          <w:p>
            <w:pPr>
              <w:ind w:left="1280"/>
              <w:spacing w:after="0"/>
              <w:rPr>
                <w:sz w:val="20"/>
                <w:szCs w:val="20"/>
                <w:color w:val="auto"/>
              </w:rPr>
            </w:pPr>
            <w:r>
              <w:rPr>
                <w:rFonts w:ascii="Arial" w:cs="Arial" w:eastAsia="Arial" w:hAnsi="Arial"/>
                <w:sz w:val="16"/>
                <w:szCs w:val="16"/>
                <w:color w:val="auto"/>
              </w:rPr>
              <w:t>Total loans: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At period-end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11,678,544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8,935,424</w:t>
            </w:r>
          </w:p>
        </w:tc>
        <w:tc>
          <w:tcPr>
            <w:tcW w:w="1260" w:type="dxa"/>
            <w:vAlign w:val="bottom"/>
            <w:shd w:val="clear" w:color="auto" w:fill="CCEEFF"/>
          </w:tcPr>
          <w:p>
            <w:pPr>
              <w:spacing w:after="0"/>
              <w:rPr>
                <w:sz w:val="19"/>
                <w:szCs w:val="19"/>
                <w:color w:val="auto"/>
              </w:rPr>
            </w:pPr>
          </w:p>
        </w:tc>
      </w:tr>
      <w:tr>
        <w:trPr>
          <w:trHeight w:val="213"/>
        </w:trPr>
        <w:tc>
          <w:tcPr>
            <w:tcW w:w="7140" w:type="dxa"/>
            <w:vAlign w:val="bottom"/>
          </w:tcPr>
          <w:p>
            <w:pPr>
              <w:ind w:left="1400"/>
              <w:spacing w:after="0"/>
              <w:rPr>
                <w:sz w:val="20"/>
                <w:szCs w:val="20"/>
                <w:color w:val="auto"/>
              </w:rPr>
            </w:pPr>
            <w:r>
              <w:rPr>
                <w:rFonts w:ascii="Arial" w:cs="Arial" w:eastAsia="Arial" w:hAnsi="Arial"/>
                <w:sz w:val="16"/>
                <w:szCs w:val="16"/>
                <w:color w:val="auto"/>
              </w:rPr>
              <w:t>Average</w:t>
            </w:r>
          </w:p>
        </w:tc>
        <w:tc>
          <w:tcPr>
            <w:tcW w:w="2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11,432,908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8,828,880</w:t>
            </w:r>
          </w:p>
        </w:tc>
        <w:tc>
          <w:tcPr>
            <w:tcW w:w="1260" w:type="dxa"/>
            <w:vAlign w:val="bottom"/>
          </w:tcPr>
          <w:p>
            <w:pPr>
              <w:spacing w:after="0"/>
              <w:rPr>
                <w:sz w:val="18"/>
                <w:szCs w:val="18"/>
                <w:color w:val="auto"/>
              </w:rPr>
            </w:pPr>
          </w:p>
        </w:tc>
      </w:tr>
      <w:tr>
        <w:trPr>
          <w:trHeight w:val="219"/>
        </w:trPr>
        <w:tc>
          <w:tcPr>
            <w:tcW w:w="71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ACL - loans, as a percentage of period-end loans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0.92 %</w:t>
            </w:r>
          </w:p>
        </w:tc>
        <w:tc>
          <w:tcPr>
            <w:tcW w:w="1260" w:type="dxa"/>
            <w:vAlign w:val="bottom"/>
            <w:shd w:val="clear" w:color="auto" w:fill="CCEEFF"/>
          </w:tcPr>
          <w:p>
            <w:pPr>
              <w:spacing w:after="0"/>
              <w:rPr>
                <w:sz w:val="19"/>
                <w:szCs w:val="19"/>
                <w:color w:val="auto"/>
              </w:rPr>
            </w:pPr>
          </w:p>
        </w:tc>
      </w:tr>
      <w:tr>
        <w:trPr>
          <w:trHeight w:val="213"/>
        </w:trPr>
        <w:tc>
          <w:tcPr>
            <w:tcW w:w="7140" w:type="dxa"/>
            <w:vAlign w:val="bottom"/>
          </w:tcPr>
          <w:p>
            <w:pPr>
              <w:ind w:left="1280"/>
              <w:spacing w:after="0"/>
              <w:rPr>
                <w:sz w:val="20"/>
                <w:szCs w:val="20"/>
                <w:color w:val="auto"/>
              </w:rPr>
            </w:pPr>
            <w:r>
              <w:rPr>
                <w:rFonts w:ascii="Arial" w:cs="Arial" w:eastAsia="Arial" w:hAnsi="Arial"/>
                <w:sz w:val="16"/>
                <w:szCs w:val="16"/>
                <w:color w:val="auto"/>
              </w:rPr>
              <w:t>As a percentage of average loans (annualized):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1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Net charge-offs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0.37</w:t>
            </w:r>
          </w:p>
        </w:tc>
        <w:tc>
          <w:tcPr>
            <w:tcW w:w="1260" w:type="dxa"/>
            <w:vAlign w:val="bottom"/>
            <w:shd w:val="clear" w:color="auto" w:fill="CCEEFF"/>
          </w:tcPr>
          <w:p>
            <w:pPr>
              <w:spacing w:after="0"/>
              <w:rPr>
                <w:sz w:val="19"/>
                <w:szCs w:val="19"/>
                <w:color w:val="auto"/>
              </w:rPr>
            </w:pPr>
          </w:p>
        </w:tc>
      </w:tr>
      <w:tr>
        <w:trPr>
          <w:trHeight w:val="210"/>
        </w:trPr>
        <w:tc>
          <w:tcPr>
            <w:tcW w:w="7140" w:type="dxa"/>
            <w:vAlign w:val="bottom"/>
          </w:tcPr>
          <w:p>
            <w:pPr>
              <w:ind w:left="1400"/>
              <w:spacing w:after="0"/>
              <w:rPr>
                <w:sz w:val="20"/>
                <w:szCs w:val="20"/>
                <w:color w:val="auto"/>
              </w:rPr>
            </w:pPr>
            <w:r>
              <w:rPr>
                <w:rFonts w:ascii="Arial" w:cs="Arial" w:eastAsia="Arial" w:hAnsi="Arial"/>
                <w:sz w:val="16"/>
                <w:szCs w:val="16"/>
                <w:color w:val="auto"/>
              </w:rPr>
              <w:t>Provision for credit losses - loans</w:t>
            </w:r>
          </w:p>
        </w:tc>
        <w:tc>
          <w:tcPr>
            <w:tcW w:w="2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0.96</w:t>
            </w:r>
          </w:p>
        </w:tc>
        <w:tc>
          <w:tcPr>
            <w:tcW w:w="1260" w:type="dxa"/>
            <w:vAlign w:val="bottom"/>
          </w:tcPr>
          <w:p>
            <w:pPr>
              <w:spacing w:after="0"/>
              <w:rPr>
                <w:sz w:val="18"/>
                <w:szCs w:val="18"/>
                <w:color w:val="auto"/>
              </w:rPr>
            </w:pPr>
          </w:p>
        </w:tc>
      </w:tr>
    </w:tbl>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reduction in the ACL since December 31, 2020 reflects an improved economic forecast, which includes an improved COVID-19 pandemic outlook, projected GDP growth, and a continued low interest rate environment. Qualitative factors were used to moderate the improvement in the economic forecast for certain portfolios to compensate for the increase in criticized and classified assets at March 31, 2021. In addition, the impact of loan growth on the ACL was partially mitigated by the fact that PPP loans originated during the first quarter of 2021 of approximately $518 million were considered low risk assets due to the 100% guarantee by the SBA.</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NPAs, which include nonaccrual loans and foreclosed properties, totaled $56.5 million at March 31, 2021, compared with $62.2 million at December 31, 2020. The decrease in NPAs since December 31, 2020 is primarily a result of a decrease in nonaccrual loans.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policy is to place loans on nonaccrual status when, in the opinion of management, the full principal and interest on a loan is not likely to be collected or when the loan becomes 90 days past due. A loan may continue on accrual after 90 days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 cost. Loans are returned to accrual status when all the principal and interest amounts contractually due are brought current, there is a sustained period of repayment performance and future payments are reasonably assured.</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NPAs.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10 - NPAs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bottom w:val="single" w:sz="8" w:color="CCEEFF"/>
            </w:tcBorders>
          </w:tcPr>
          <w:p>
            <w:pPr>
              <w:spacing w:after="0"/>
              <w:rPr>
                <w:sz w:val="18"/>
                <w:szCs w:val="18"/>
                <w:color w:val="auto"/>
              </w:rPr>
            </w:pPr>
          </w:p>
        </w:tc>
      </w:tr>
      <w:tr>
        <w:trPr>
          <w:trHeight w:val="199"/>
        </w:trPr>
        <w:tc>
          <w:tcPr>
            <w:tcW w:w="666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Nonaccrual loans:</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660" w:type="dxa"/>
            <w:vAlign w:val="bottom"/>
          </w:tcPr>
          <w:p>
            <w:pPr>
              <w:ind w:left="146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7,908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8,582</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15,149</w:t>
            </w:r>
          </w:p>
        </w:tc>
        <w:tc>
          <w:tcPr>
            <w:tcW w:w="1340" w:type="dxa"/>
            <w:vAlign w:val="bottom"/>
            <w:shd w:val="clear" w:color="auto" w:fill="CCEEFF"/>
          </w:tcPr>
          <w:p>
            <w:pPr>
              <w:spacing w:after="0"/>
              <w:rPr>
                <w:sz w:val="19"/>
                <w:szCs w:val="19"/>
                <w:color w:val="auto"/>
              </w:rPr>
            </w:pPr>
          </w:p>
        </w:tc>
      </w:tr>
      <w:tr>
        <w:trPr>
          <w:trHeight w:val="213"/>
        </w:trPr>
        <w:tc>
          <w:tcPr>
            <w:tcW w:w="6660" w:type="dxa"/>
            <w:vAlign w:val="bottom"/>
          </w:tcPr>
          <w:p>
            <w:pPr>
              <w:ind w:left="1460"/>
              <w:spacing w:after="0"/>
              <w:rPr>
                <w:sz w:val="20"/>
                <w:szCs w:val="20"/>
                <w:color w:val="auto"/>
              </w:rPr>
            </w:pPr>
            <w:r>
              <w:rPr>
                <w:rFonts w:ascii="Arial" w:cs="Arial" w:eastAsia="Arial" w:hAnsi="Arial"/>
                <w:sz w:val="16"/>
                <w:szCs w:val="16"/>
                <w:color w:val="auto"/>
              </w:rPr>
              <w:t>Commercial &amp; industrial</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13,864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16,634</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Commercial construction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1,745</w:t>
            </w:r>
          </w:p>
        </w:tc>
        <w:tc>
          <w:tcPr>
            <w:tcW w:w="1340" w:type="dxa"/>
            <w:vAlign w:val="bottom"/>
            <w:shd w:val="clear" w:color="auto" w:fill="CCEEFF"/>
          </w:tcPr>
          <w:p>
            <w:pPr>
              <w:spacing w:after="0"/>
              <w:rPr>
                <w:sz w:val="19"/>
                <w:szCs w:val="19"/>
                <w:color w:val="auto"/>
              </w:rPr>
            </w:pPr>
          </w:p>
        </w:tc>
      </w:tr>
      <w:tr>
        <w:trPr>
          <w:trHeight w:val="213"/>
        </w:trPr>
        <w:tc>
          <w:tcPr>
            <w:tcW w:w="666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Equipment financing</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2,171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3,405</w:t>
            </w:r>
          </w:p>
        </w:tc>
        <w:tc>
          <w:tcPr>
            <w:tcW w:w="1340" w:type="dxa"/>
            <w:vAlign w:val="bottom"/>
            <w:tcBorders>
              <w:bottom w:val="single" w:sz="8" w:color="CCEEFF"/>
            </w:tcBorders>
          </w:tcPr>
          <w:p>
            <w:pPr>
              <w:spacing w:after="0"/>
              <w:rPr>
                <w:sz w:val="18"/>
                <w:szCs w:val="18"/>
                <w:color w:val="auto"/>
              </w:rPr>
            </w:pPr>
          </w:p>
        </w:tc>
      </w:tr>
      <w:tr>
        <w:trPr>
          <w:trHeight w:val="213"/>
        </w:trPr>
        <w:tc>
          <w:tcPr>
            <w:tcW w:w="6660" w:type="dxa"/>
            <w:vAlign w:val="bottom"/>
            <w:shd w:val="clear" w:color="auto" w:fill="CCEEFF"/>
          </w:tcPr>
          <w:p>
            <w:pPr>
              <w:ind w:left="1540"/>
              <w:spacing w:after="0"/>
              <w:rPr>
                <w:sz w:val="20"/>
                <w:szCs w:val="20"/>
                <w:color w:val="auto"/>
              </w:rPr>
            </w:pPr>
            <w:r>
              <w:rPr>
                <w:rFonts w:ascii="Arial" w:cs="Arial" w:eastAsia="Arial" w:hAnsi="Arial"/>
                <w:sz w:val="16"/>
                <w:szCs w:val="16"/>
                <w:color w:val="auto"/>
              </w:rPr>
              <w:t>Total commercial</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39,667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45,515</w:t>
            </w: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Pr>
          <w:p>
            <w:pPr>
              <w:ind w:left="1460"/>
              <w:spacing w:after="0"/>
              <w:rPr>
                <w:sz w:val="20"/>
                <w:szCs w:val="20"/>
                <w:color w:val="auto"/>
              </w:rPr>
            </w:pPr>
            <w:r>
              <w:rPr>
                <w:rFonts w:ascii="Arial" w:cs="Arial" w:eastAsia="Arial" w:hAnsi="Arial"/>
                <w:sz w:val="16"/>
                <w:szCs w:val="16"/>
                <w:color w:val="auto"/>
              </w:rPr>
              <w:t>Residential mortgage</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14,050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12,858</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HELOC</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2,487</w:t>
            </w:r>
          </w:p>
        </w:tc>
        <w:tc>
          <w:tcPr>
            <w:tcW w:w="1340" w:type="dxa"/>
            <w:vAlign w:val="bottom"/>
            <w:shd w:val="clear" w:color="auto" w:fill="CCEEFF"/>
          </w:tcPr>
          <w:p>
            <w:pPr>
              <w:spacing w:after="0"/>
              <w:rPr>
                <w:sz w:val="19"/>
                <w:szCs w:val="19"/>
                <w:color w:val="auto"/>
              </w:rPr>
            </w:pPr>
          </w:p>
        </w:tc>
      </w:tr>
      <w:tr>
        <w:trPr>
          <w:trHeight w:val="213"/>
        </w:trPr>
        <w:tc>
          <w:tcPr>
            <w:tcW w:w="6660" w:type="dxa"/>
            <w:vAlign w:val="bottom"/>
          </w:tcPr>
          <w:p>
            <w:pPr>
              <w:ind w:left="1460"/>
              <w:spacing w:after="0"/>
              <w:rPr>
                <w:sz w:val="20"/>
                <w:szCs w:val="20"/>
                <w:color w:val="auto"/>
              </w:rPr>
            </w:pPr>
            <w:r>
              <w:rPr>
                <w:rFonts w:ascii="Arial" w:cs="Arial" w:eastAsia="Arial" w:hAnsi="Arial"/>
                <w:sz w:val="16"/>
                <w:szCs w:val="16"/>
                <w:color w:val="auto"/>
              </w:rPr>
              <w:t>Residential construction</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514</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225</w:t>
            </w:r>
          </w:p>
        </w:tc>
        <w:tc>
          <w:tcPr>
            <w:tcW w:w="1340" w:type="dxa"/>
            <w:vAlign w:val="bottom"/>
            <w:shd w:val="clear" w:color="auto" w:fill="CCEEFF"/>
          </w:tcPr>
          <w:p>
            <w:pPr>
              <w:spacing w:after="0"/>
              <w:rPr>
                <w:sz w:val="19"/>
                <w:szCs w:val="19"/>
                <w:color w:val="auto"/>
              </w:rPr>
            </w:pPr>
          </w:p>
        </w:tc>
      </w:tr>
      <w:tr>
        <w:trPr>
          <w:trHeight w:val="206"/>
        </w:trPr>
        <w:tc>
          <w:tcPr>
            <w:tcW w:w="6660" w:type="dxa"/>
            <w:vAlign w:val="bottom"/>
          </w:tcPr>
          <w:p>
            <w:pPr>
              <w:ind w:left="1540"/>
              <w:spacing w:after="0"/>
              <w:rPr>
                <w:sz w:val="20"/>
                <w:szCs w:val="20"/>
                <w:color w:val="auto"/>
              </w:rPr>
            </w:pPr>
            <w:r>
              <w:rPr>
                <w:rFonts w:ascii="Arial" w:cs="Arial" w:eastAsia="Arial" w:hAnsi="Arial"/>
                <w:sz w:val="16"/>
                <w:szCs w:val="16"/>
                <w:color w:val="auto"/>
              </w:rPr>
              <w:t>Total nonaccrual loans</w:t>
            </w:r>
          </w:p>
        </w:tc>
        <w:tc>
          <w:tcPr>
            <w:tcW w:w="260" w:type="dxa"/>
            <w:vAlign w:val="bottom"/>
          </w:tcPr>
          <w:p>
            <w:pPr>
              <w:spacing w:after="0"/>
              <w:rPr>
                <w:sz w:val="17"/>
                <w:szCs w:val="17"/>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55,900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61,599</w:t>
            </w:r>
          </w:p>
        </w:tc>
        <w:tc>
          <w:tcPr>
            <w:tcW w:w="1340" w:type="dxa"/>
            <w:vAlign w:val="bottom"/>
          </w:tcPr>
          <w:p>
            <w:pPr>
              <w:spacing w:after="0"/>
              <w:rPr>
                <w:sz w:val="17"/>
                <w:szCs w:val="17"/>
                <w:color w:val="auto"/>
              </w:rPr>
            </w:pPr>
          </w:p>
        </w:tc>
      </w:tr>
      <w:tr>
        <w:trPr>
          <w:trHeight w:val="216"/>
        </w:trPr>
        <w:tc>
          <w:tcPr>
            <w:tcW w:w="666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Foreclosed properties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647</w:t>
            </w: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Pr>
          <w:p>
            <w:pPr>
              <w:ind w:left="1540"/>
              <w:spacing w:after="0"/>
              <w:rPr>
                <w:sz w:val="20"/>
                <w:szCs w:val="20"/>
                <w:color w:val="auto"/>
              </w:rPr>
            </w:pPr>
            <w:r>
              <w:rPr>
                <w:rFonts w:ascii="Arial" w:cs="Arial" w:eastAsia="Arial" w:hAnsi="Arial"/>
                <w:sz w:val="16"/>
                <w:szCs w:val="16"/>
                <w:color w:val="auto"/>
              </w:rPr>
              <w:t>Total NPAs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56,496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62,246</w:t>
            </w:r>
          </w:p>
        </w:tc>
        <w:tc>
          <w:tcPr>
            <w:tcW w:w="1340" w:type="dxa"/>
            <w:vAlign w:val="bottom"/>
          </w:tcPr>
          <w:p>
            <w:pPr>
              <w:spacing w:after="0"/>
              <w:rPr>
                <w:sz w:val="18"/>
                <w:szCs w:val="18"/>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83"/>
        </w:trPr>
        <w:tc>
          <w:tcPr>
            <w:tcW w:w="6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3"/>
        </w:trPr>
        <w:tc>
          <w:tcPr>
            <w:tcW w:w="6660" w:type="dxa"/>
            <w:vAlign w:val="bottom"/>
          </w:tcPr>
          <w:p>
            <w:pPr>
              <w:ind w:left="1340"/>
              <w:spacing w:after="0"/>
              <w:rPr>
                <w:sz w:val="20"/>
                <w:szCs w:val="20"/>
                <w:color w:val="auto"/>
              </w:rPr>
            </w:pPr>
            <w:r>
              <w:rPr>
                <w:rFonts w:ascii="Arial" w:cs="Arial" w:eastAsia="Arial" w:hAnsi="Arial"/>
                <w:sz w:val="16"/>
                <w:szCs w:val="16"/>
                <w:color w:val="auto"/>
              </w:rPr>
              <w:t>Nonaccrual loans as a percentage of total loans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0.48 %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0.54 %</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NPAs as a percentage of total loans and foreclosed properties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0.55</w:t>
            </w:r>
          </w:p>
        </w:tc>
        <w:tc>
          <w:tcPr>
            <w:tcW w:w="1340" w:type="dxa"/>
            <w:vAlign w:val="bottom"/>
            <w:shd w:val="clear" w:color="auto" w:fill="CCEEFF"/>
          </w:tcPr>
          <w:p>
            <w:pPr>
              <w:spacing w:after="0"/>
              <w:rPr>
                <w:sz w:val="19"/>
                <w:szCs w:val="19"/>
                <w:color w:val="auto"/>
              </w:rPr>
            </w:pPr>
          </w:p>
        </w:tc>
      </w:tr>
      <w:tr>
        <w:trPr>
          <w:trHeight w:val="210"/>
        </w:trPr>
        <w:tc>
          <w:tcPr>
            <w:tcW w:w="6660" w:type="dxa"/>
            <w:vAlign w:val="bottom"/>
          </w:tcPr>
          <w:p>
            <w:pPr>
              <w:ind w:left="1340"/>
              <w:spacing w:after="0"/>
              <w:rPr>
                <w:sz w:val="20"/>
                <w:szCs w:val="20"/>
                <w:color w:val="auto"/>
              </w:rPr>
            </w:pPr>
            <w:r>
              <w:rPr>
                <w:rFonts w:ascii="Arial" w:cs="Arial" w:eastAsia="Arial" w:hAnsi="Arial"/>
                <w:sz w:val="16"/>
                <w:szCs w:val="16"/>
                <w:color w:val="auto"/>
              </w:rPr>
              <w:t>NPAs as a percentage of total assets</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0.35</w:t>
            </w:r>
          </w:p>
        </w:tc>
        <w:tc>
          <w:tcPr>
            <w:tcW w:w="1340" w:type="dxa"/>
            <w:vAlign w:val="bottom"/>
          </w:tcPr>
          <w:p>
            <w:pPr>
              <w:spacing w:after="0"/>
              <w:rPr>
                <w:sz w:val="18"/>
                <w:szCs w:val="18"/>
                <w:color w:val="auto"/>
              </w:rPr>
            </w:pPr>
          </w:p>
        </w:tc>
      </w:tr>
    </w:tbl>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2021 and December 31, 2020, we had $59.3 million and $61.6 million, respectively, in loans with terms that have been modified in TDRs. Included therein were $17.3 million and $20.6 million, respectively, of TDRs that were classified as nonaccrual and were included in nonperforming loans. The remaining TDRs with an aggregate balance of $42.0 million and $41.0 million, respectively, were performing according to their modified terms and were therefore not considered to be nonperforming assets.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CARES Act and interagency guidance granted temporary relief from TDR classification for certain loans restructured as a result of COVID-19. During 2020, we granted a significant number of payment deferral requests to our borrowers related to the economic disruption created by COVID-19. We continued to grant payment deferral requests in 2021 to certain borrowers. The following table presents remaining COVID-19 related deferrals that, to the extent they qualified for exemption, were not considered TDRs as of March 31, 2021 and December 31, 2020.</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18"/>
          <w:szCs w:val="18"/>
          <w:b w:val="1"/>
          <w:bCs w:val="1"/>
          <w:color w:val="auto"/>
        </w:rPr>
        <w:t>Table 11 - COVID-19 Deferrals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3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6"/>
                <w:szCs w:val="16"/>
                <w:color w:val="auto"/>
              </w:rPr>
            </w:pPr>
          </w:p>
        </w:tc>
        <w:tc>
          <w:tcPr>
            <w:tcW w:w="34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8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Owner occupied commercial real estate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4,774</w:t>
            </w:r>
          </w:p>
        </w:tc>
        <w:tc>
          <w:tcPr>
            <w:tcW w:w="2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920"/>
              <w:spacing w:after="0"/>
              <w:rPr>
                <w:sz w:val="20"/>
                <w:szCs w:val="20"/>
                <w:color w:val="auto"/>
              </w:rPr>
            </w:pPr>
            <w:r>
              <w:rPr>
                <w:rFonts w:ascii="Arial" w:cs="Arial" w:eastAsia="Arial" w:hAnsi="Arial"/>
                <w:sz w:val="16"/>
                <w:szCs w:val="16"/>
                <w:color w:val="auto"/>
              </w:rPr>
              <w:t>Income producing commercial real estate</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45,190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Commercial &amp; industrial</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5,682</w:t>
            </w: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920"/>
              <w:spacing w:after="0"/>
              <w:rPr>
                <w:sz w:val="20"/>
                <w:szCs w:val="20"/>
                <w:color w:val="auto"/>
              </w:rPr>
            </w:pPr>
            <w:r>
              <w:rPr>
                <w:rFonts w:ascii="Arial" w:cs="Arial" w:eastAsia="Arial" w:hAnsi="Arial"/>
                <w:sz w:val="16"/>
                <w:szCs w:val="16"/>
                <w:color w:val="auto"/>
              </w:rPr>
              <w:t>Commercial construction</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1,745</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Equipment financing</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80" w:type="dxa"/>
            <w:vAlign w:val="bottom"/>
          </w:tcPr>
          <w:p>
            <w:pPr>
              <w:ind w:left="2020"/>
              <w:spacing w:after="0"/>
              <w:rPr>
                <w:sz w:val="20"/>
                <w:szCs w:val="20"/>
                <w:color w:val="auto"/>
              </w:rPr>
            </w:pPr>
            <w:r>
              <w:rPr>
                <w:rFonts w:ascii="Arial" w:cs="Arial" w:eastAsia="Arial" w:hAnsi="Arial"/>
                <w:sz w:val="16"/>
                <w:szCs w:val="16"/>
                <w:color w:val="auto"/>
              </w:rPr>
              <w:t>Total commercial</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41,504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60,865</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Residential mortgage</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w:t>
            </w: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920"/>
              <w:spacing w:after="0"/>
              <w:rPr>
                <w:sz w:val="20"/>
                <w:szCs w:val="20"/>
                <w:color w:val="auto"/>
              </w:rPr>
            </w:pPr>
            <w:r>
              <w:rPr>
                <w:rFonts w:ascii="Arial" w:cs="Arial" w:eastAsia="Arial" w:hAnsi="Arial"/>
                <w:sz w:val="16"/>
                <w:szCs w:val="16"/>
                <w:color w:val="auto"/>
              </w:rPr>
              <w:t>HELOC</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1,012</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Residential construction</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1920"/>
              <w:spacing w:after="0"/>
              <w:rPr>
                <w:sz w:val="20"/>
                <w:szCs w:val="20"/>
                <w:color w:val="auto"/>
              </w:rPr>
            </w:pPr>
            <w:r>
              <w:rPr>
                <w:rFonts w:ascii="Arial" w:cs="Arial" w:eastAsia="Arial" w:hAnsi="Arial"/>
                <w:sz w:val="16"/>
                <w:szCs w:val="16"/>
                <w:color w:val="auto"/>
              </w:rPr>
              <w:t>Consumer</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6"/>
                <w:szCs w:val="16"/>
                <w:color w:val="auto"/>
              </w:rPr>
              <w:t>Total COVID-19 deferrals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70,709</w:t>
            </w:r>
          </w:p>
        </w:tc>
        <w:tc>
          <w:tcPr>
            <w:tcW w:w="2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2021 and December 31, 2020, we had HTM debt securities with a carrying amount of $588 million and $420 million, respectively, and AFS debt securities totaling $3.74 billion and $3.22 billion, respectively. The increased balances at March 31, 2021 reflect our decision to deploy liquidity generated through strong deposit growth by purchasing additional investment securities. At March 31, 2021 and December 31, 2020, the securities portfolio represented approximately 23% and 20%, respectively, of total assets.</w:t>
      </w:r>
    </w:p>
    <w:p>
      <w:pPr>
        <w:spacing w:after="0" w:line="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CECL, 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At March 31, 2021 and December 31, 2020, calculated credit losses on HTM debt securities were not material due to the high credit quality of the portfolio, which included securities issued or guaranteed by U.S. Government agencies, GSEs, high credit quality municipalities and supranational entities. As a result, no ACL for HTM debt securities was recorded.</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an intent or more than likely requirement to sell,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OCI. At March 31, 2021 and December 31, 2020, there was no ACL related to the AFS debt securities portfolio. Losses on fixed income securities at March 31, 2021 and December 31, 2020 primarily reflected the effect of changes in interest 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deposits are the primary source of funds for the continued growth of our earning assets. Our high level of service, as evidenced by our strong customer satisfaction scores, has been instrumental in attracting and retaining customer deposit accounts. In addition to organic growth, at March 31, 2021, the increase in core transaction deposits was also attributable to PPP-related deposits. The following table sets forth the deposit composition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Table 12 - Deposits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5540" w:type="dxa"/>
            <w:vAlign w:val="bottom"/>
            <w:tcBorders>
              <w:top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Noninterest-bearing demand</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6,058,439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5,390,291</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5540" w:type="dxa"/>
            <w:vAlign w:val="bottom"/>
          </w:tcPr>
          <w:p>
            <w:pPr>
              <w:ind w:left="1600"/>
              <w:spacing w:after="0"/>
              <w:rPr>
                <w:sz w:val="20"/>
                <w:szCs w:val="20"/>
                <w:color w:val="auto"/>
              </w:rPr>
            </w:pPr>
            <w:r>
              <w:rPr>
                <w:rFonts w:ascii="Arial" w:cs="Arial" w:eastAsia="Arial" w:hAnsi="Arial"/>
                <w:sz w:val="16"/>
                <w:szCs w:val="16"/>
                <w:color w:val="auto"/>
              </w:rPr>
              <w:t>NOW and interest-bearing demand</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3,417,915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3,346,490</w:t>
            </w:r>
          </w:p>
        </w:tc>
        <w:tc>
          <w:tcPr>
            <w:tcW w:w="1500" w:type="dxa"/>
            <w:vAlign w:val="bottom"/>
          </w:tcPr>
          <w:p>
            <w:pPr>
              <w:spacing w:after="0"/>
              <w:rPr>
                <w:sz w:val="18"/>
                <w:szCs w:val="18"/>
                <w:color w:val="auto"/>
              </w:rPr>
            </w:pPr>
          </w:p>
        </w:tc>
      </w:tr>
      <w:tr>
        <w:trPr>
          <w:trHeight w:val="219"/>
        </w:trPr>
        <w:tc>
          <w:tcPr>
            <w:tcW w:w="55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Money market and savings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4,729,011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4,501,189</w:t>
            </w:r>
          </w:p>
        </w:tc>
        <w:tc>
          <w:tcPr>
            <w:tcW w:w="1500" w:type="dxa"/>
            <w:vAlign w:val="bottom"/>
            <w:shd w:val="clear" w:color="auto" w:fill="CCEEFF"/>
          </w:tcPr>
          <w:p>
            <w:pPr>
              <w:spacing w:after="0"/>
              <w:rPr>
                <w:sz w:val="19"/>
                <w:szCs w:val="19"/>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Arial" w:cs="Arial" w:eastAsia="Arial" w:hAnsi="Arial"/>
                <w:sz w:val="16"/>
                <w:szCs w:val="16"/>
                <w:color w:val="auto"/>
              </w:rPr>
              <w:t>Time</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1,587,653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1,704,290</w:t>
            </w:r>
          </w:p>
        </w:tc>
        <w:tc>
          <w:tcPr>
            <w:tcW w:w="1500" w:type="dxa"/>
            <w:vAlign w:val="bottom"/>
            <w:tcBorders>
              <w:bottom w:val="single" w:sz="8" w:color="CCEEFF"/>
            </w:tcBorders>
          </w:tcPr>
          <w:p>
            <w:pPr>
              <w:spacing w:after="0"/>
              <w:rPr>
                <w:sz w:val="18"/>
                <w:szCs w:val="18"/>
                <w:color w:val="auto"/>
              </w:rPr>
            </w:pPr>
          </w:p>
        </w:tc>
      </w:tr>
      <w:tr>
        <w:trPr>
          <w:trHeight w:val="213"/>
        </w:trPr>
        <w:tc>
          <w:tcPr>
            <w:tcW w:w="554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Total customer deposits</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15,793,018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14,942,260</w:t>
            </w:r>
          </w:p>
        </w:tc>
        <w:tc>
          <w:tcPr>
            <w:tcW w:w="150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Arial" w:cs="Arial" w:eastAsia="Arial" w:hAnsi="Arial"/>
                <w:sz w:val="16"/>
                <w:szCs w:val="16"/>
                <w:color w:val="auto"/>
              </w:rPr>
              <w:t>Brokered deposits</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290,098</w:t>
            </w:r>
          </w:p>
        </w:tc>
        <w:tc>
          <w:tcPr>
            <w:tcW w:w="1500" w:type="dxa"/>
            <w:vAlign w:val="bottom"/>
            <w:tcBorders>
              <w:bottom w:val="single" w:sz="8" w:color="CCEEFF"/>
            </w:tcBorders>
          </w:tcPr>
          <w:p>
            <w:pPr>
              <w:spacing w:after="0"/>
              <w:rPr>
                <w:sz w:val="18"/>
                <w:szCs w:val="18"/>
                <w:color w:val="auto"/>
              </w:rPr>
            </w:pPr>
          </w:p>
        </w:tc>
      </w:tr>
      <w:tr>
        <w:trPr>
          <w:trHeight w:val="238"/>
        </w:trPr>
        <w:tc>
          <w:tcPr>
            <w:tcW w:w="55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Total deposits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15,993,220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15,232,358</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2021 and December 31, 2020, we had long-term debt outstanding of $312 million and $327 million, respectively, which includes senior debentures, subordinated debentures, and trust preferred securities. The reduction in long-term debt since December 31, 2020 is a result of the repayment of the 2025 subordinated debentures and the Southern Bancorp Capital Trust I trust preferred securities of $11.3 million and $4.38 million, respectively. During the first quarter of 2021, we also provided a redemption notice to the holders of the 2022 senior debentures of $50.0 million. Repayment is scheduled to occur during the second quarter of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our contractual obligations since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22 to the consolidated financial statements included in our 2020 10-K and Note 11 to the consolidated financial statements in this Report for additional information on off-balance sheet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The ALCO meets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Interest Sensitivity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gridSpan w:val="8"/>
          </w:tcPr>
          <w:p>
            <w:pPr>
              <w:jc w:val="center"/>
              <w:ind w:right="1560"/>
              <w:spacing w:after="0"/>
              <w:rPr>
                <w:sz w:val="20"/>
                <w:szCs w:val="20"/>
                <w:color w:val="auto"/>
              </w:rPr>
            </w:pPr>
            <w:r>
              <w:rPr>
                <w:rFonts w:ascii="Arial" w:cs="Arial" w:eastAsia="Arial" w:hAnsi="Arial"/>
                <w:sz w:val="16"/>
                <w:szCs w:val="16"/>
                <w:b w:val="1"/>
                <w:bCs w:val="1"/>
                <w:color w:val="auto"/>
                <w:w w:val="90"/>
              </w:rPr>
              <w:t>Increase (Decrease) in Net Interest Revenue from Base Scenario</w:t>
            </w:r>
          </w:p>
        </w:tc>
      </w:tr>
      <w:tr>
        <w:trPr>
          <w:trHeight w:val="213"/>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6"/>
                <w:szCs w:val="16"/>
                <w:b w:val="1"/>
                <w:bCs w:val="1"/>
                <w:color w:val="auto"/>
                <w:w w:val="98"/>
              </w:rPr>
              <w:t>at</w:t>
            </w: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7"/>
        </w:trPr>
        <w:tc>
          <w:tcPr>
            <w:tcW w:w="15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tcPr>
          <w:p>
            <w:pPr>
              <w:spacing w:after="0"/>
              <w:rPr>
                <w:sz w:val="17"/>
                <w:szCs w:val="17"/>
                <w:color w:val="auto"/>
              </w:rPr>
            </w:pPr>
          </w:p>
        </w:tc>
        <w:tc>
          <w:tcPr>
            <w:tcW w:w="22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December 31, 2020</w:t>
            </w:r>
          </w:p>
        </w:tc>
        <w:tc>
          <w:tcPr>
            <w:tcW w:w="1560" w:type="dxa"/>
            <w:vAlign w:val="bottom"/>
          </w:tcPr>
          <w:p>
            <w:pPr>
              <w:spacing w:after="0"/>
              <w:rPr>
                <w:sz w:val="17"/>
                <w:szCs w:val="17"/>
                <w:color w:val="auto"/>
              </w:rPr>
            </w:pPr>
          </w:p>
        </w:tc>
      </w:tr>
      <w:tr>
        <w:trPr>
          <w:trHeight w:val="212"/>
        </w:trPr>
        <w:tc>
          <w:tcPr>
            <w:tcW w:w="1520" w:type="dxa"/>
            <w:vAlign w:val="bottom"/>
            <w:tcBorders>
              <w:bottom w:val="single" w:sz="8" w:color="CCEEFF"/>
            </w:tcBorders>
          </w:tcPr>
          <w:p>
            <w:pPr>
              <w:spacing w:after="0"/>
              <w:rPr>
                <w:sz w:val="18"/>
                <w:szCs w:val="18"/>
                <w:color w:val="auto"/>
              </w:rPr>
            </w:pPr>
          </w:p>
        </w:tc>
        <w:tc>
          <w:tcPr>
            <w:tcW w:w="346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Change in Rates</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Ramp</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Ramp</w:t>
            </w:r>
          </w:p>
        </w:tc>
        <w:tc>
          <w:tcPr>
            <w:tcW w:w="1560" w:type="dxa"/>
            <w:vAlign w:val="bottom"/>
            <w:tcBorders>
              <w:bottom w:val="single" w:sz="8" w:color="CCEEFF"/>
            </w:tcBorders>
          </w:tcPr>
          <w:p>
            <w:pPr>
              <w:spacing w:after="0"/>
              <w:rPr>
                <w:sz w:val="18"/>
                <w:szCs w:val="18"/>
                <w:color w:val="auto"/>
              </w:rPr>
            </w:pPr>
          </w:p>
        </w:tc>
      </w:tr>
      <w:tr>
        <w:trPr>
          <w:trHeight w:val="212"/>
        </w:trPr>
        <w:tc>
          <w:tcPr>
            <w:tcW w:w="15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 basis point increase</w:t>
            </w:r>
          </w:p>
        </w:tc>
        <w:tc>
          <w:tcPr>
            <w:tcW w:w="106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2"/>
              </w:rPr>
              <w:t>2.84 %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1560" w:type="dxa"/>
            <w:vAlign w:val="bottom"/>
            <w:shd w:val="clear" w:color="auto" w:fill="CCEEFF"/>
          </w:tcPr>
          <w:p>
            <w:pPr>
              <w:spacing w:after="0"/>
              <w:rPr>
                <w:sz w:val="18"/>
                <w:szCs w:val="18"/>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6"/>
                <w:szCs w:val="16"/>
                <w:color w:val="auto"/>
              </w:rPr>
              <w:t>100 basis point decrease</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(2.49)</w:t>
            </w:r>
          </w:p>
        </w:tc>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560" w:type="dxa"/>
            <w:vAlign w:val="bottom"/>
          </w:tcPr>
          <w:p>
            <w:pPr>
              <w:spacing w:after="0"/>
              <w:rPr>
                <w:sz w:val="18"/>
                <w:szCs w:val="18"/>
                <w:color w:val="auto"/>
              </w:rPr>
            </w:pPr>
          </w:p>
        </w:tc>
      </w:tr>
    </w:tbl>
    <w:p>
      <w:pPr>
        <w:spacing w:after="0" w:line="2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OCI.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Management</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Holding Company liquidity is managed to a minimum of 15-months of positive cash flow after considering all of its liquidity needs over this period.</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2021, we had sufficient qualifying collateral to provide borrowing capacity for FHLB advances of $1.46 billion and Federal Reserve discount window borrowing capacity of $1.63 billion, as well as unpledged investment securities of $3.10 billion that could be used as collateral for additional borrowings. In addition to these wholesale sources, we have the ability to attract retail deposits by competing more aggressively on pricing.</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disclosed in the consolidated statement of cash flows, net cash provided by operating activities was $34.7 million for the three months ended March 31, 2021. Net income of $73.7 million for the three-month period included non-cash expense and income items consisting primarily of the following: release of provision of $12.3 million, deferred income tax expense of $9.17 million, stock-based compensation expense of $1.51 million, net gains on the sales of other loans of $1.03 million and net depreciation, amortization and accretion income of $681,000. Uses of cash from operating activities included an increase in loans held for sale of $59.5 million, which was partially offset by cash provided by a decrease in other assets and accrued interest receivable of $15.2 million and an increase in accrued expenses and other liabilities of $8.65 million. Net cash used in investing activities of $1.04 billion included a $293 million net increase in loans, $760 million in purchases of AFS debt securities, $193 million in purchases of HTM debt securities, $5.75 million in additional investments in equity investments and $2.49 million in purchases of premises and equipment. These uses of cash were partially offset by $184 million in proceeds from maturities and calls of AFS debt securities, $24.6 million in proceeds from maturities and calls of HTM debt securities and $4.98 million in receipts from equity investments. Net cash provided by financing activities of $728 million consisted primarily of a net increase in deposits of $762 million, which was partially offset by the repayment of long-term debt of $15.6 million and payment of cash dividends on common and preferred stock of $17.6 million. In the opinion of management, our liquidity position at March 31, 2021 was sufficient to meet our expected cash flow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equity at March 31, 2021 was $2.03 billion, an increase of $23.6 million from December 31, 2020 primarily due to year-to-date earnings partially offset by dividends declared and a decrease in the value of AFS securities.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capital ratios, as calculated under applicable regulatory guidelines, at March 31, 2021 and December 31, 2020. As of March 31, 2021, capital levels remained characterized as “well-capitalized” under prompt corrective action provisions in effect at the time. The decrease in the Bank’s ratios as of March 31, 2021 was primarily attributable to a dividend paid to the Holding Company.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related to capital ratios, as calculated under regulatory guidelines, as of March 31, 2021 and December 31, 2020, is provided in Note 10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Capital Ratios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ind w:left="260"/>
              <w:spacing w:after="0"/>
              <w:rPr>
                <w:sz w:val="20"/>
                <w:szCs w:val="20"/>
                <w:color w:val="auto"/>
              </w:rPr>
            </w:pPr>
            <w:r>
              <w:rPr>
                <w:rFonts w:ascii="Arial" w:cs="Arial" w:eastAsia="Arial" w:hAnsi="Arial"/>
                <w:sz w:val="16"/>
                <w:szCs w:val="16"/>
                <w:b w:val="1"/>
                <w:bCs w:val="1"/>
                <w:color w:val="auto"/>
              </w:rPr>
              <w:t>United Community Banks, Inc.</w:t>
            </w:r>
          </w:p>
        </w:tc>
        <w:tc>
          <w:tcPr>
            <w:tcW w:w="2660" w:type="dxa"/>
            <w:vAlign w:val="bottom"/>
            <w:gridSpan w:val="3"/>
            <w:vMerge w:val="restart"/>
          </w:tcPr>
          <w:p>
            <w:pPr>
              <w:ind w:left="460"/>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(Consolidated)</w:t>
            </w:r>
          </w:p>
        </w:tc>
        <w:tc>
          <w:tcPr>
            <w:tcW w:w="100" w:type="dxa"/>
            <w:vAlign w:val="bottom"/>
          </w:tcPr>
          <w:p>
            <w:pPr>
              <w:spacing w:after="0"/>
              <w:rPr>
                <w:sz w:val="18"/>
                <w:szCs w:val="18"/>
                <w:color w:val="auto"/>
              </w:rPr>
            </w:pPr>
          </w:p>
        </w:tc>
        <w:tc>
          <w:tcPr>
            <w:tcW w:w="26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Well-</w:t>
            </w:r>
          </w:p>
        </w:tc>
        <w:tc>
          <w:tcPr>
            <w:tcW w:w="16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5"/>
              </w:rPr>
              <w:t>Minimum Capital Plus</w:t>
            </w:r>
          </w:p>
        </w:tc>
        <w:tc>
          <w:tcPr>
            <w:tcW w:w="100" w:type="dxa"/>
            <w:vAlign w:val="bottom"/>
          </w:tcPr>
          <w:p>
            <w:pPr>
              <w:spacing w:after="0"/>
              <w:rPr>
                <w:sz w:val="13"/>
                <w:szCs w:val="13"/>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March 31,</w:t>
            </w:r>
          </w:p>
        </w:tc>
        <w:tc>
          <w:tcPr>
            <w:tcW w:w="14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March 31,</w:t>
            </w:r>
          </w:p>
        </w:tc>
        <w:tc>
          <w:tcPr>
            <w:tcW w:w="1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Capital Conservation</w:t>
            </w: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Capitalized</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Buffer</w:t>
            </w: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140" w:type="dxa"/>
            <w:vAlign w:val="bottom"/>
          </w:tcPr>
          <w:p>
            <w:pPr>
              <w:ind w:left="740"/>
              <w:spacing w:after="0"/>
              <w:rPr>
                <w:sz w:val="20"/>
                <w:szCs w:val="20"/>
                <w:color w:val="auto"/>
              </w:rPr>
            </w:pPr>
            <w:r>
              <w:rPr>
                <w:rFonts w:ascii="Arial" w:cs="Arial" w:eastAsia="Arial" w:hAnsi="Arial"/>
                <w:sz w:val="16"/>
                <w:szCs w:val="16"/>
                <w:color w:val="auto"/>
                <w:w w:val="92"/>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12.34 %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12.31 %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13.31 %</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capital</w:t>
            </w:r>
          </w:p>
        </w:tc>
        <w:tc>
          <w:tcPr>
            <w:tcW w:w="11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140" w:type="dxa"/>
            <w:vAlign w:val="bottom"/>
          </w:tcPr>
          <w:p>
            <w:pPr>
              <w:ind w:left="74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1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260"/>
              <w:spacing w:after="0"/>
              <w:rPr>
                <w:sz w:val="20"/>
                <w:szCs w:val="20"/>
                <w:color w:val="auto"/>
              </w:rPr>
            </w:pPr>
            <w:r>
              <w:rPr>
                <w:rFonts w:ascii="Arial" w:cs="Arial" w:eastAsia="Arial" w:hAnsi="Arial"/>
                <w:sz w:val="16"/>
                <w:szCs w:val="16"/>
                <w:color w:val="auto"/>
              </w:rPr>
              <w:t>N/A</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market risk as of March 31, 2021 from that presented in our 2020 10-K. Our interest rate sensitivity position at March 31, 2021 is set forth in Table 13 in MD&amp;A of this Report and incorporated herein by this reference.</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210"/>
        <w:spacing w:after="0" w:line="259" w:lineRule="auto"/>
        <w:tabs>
          <w:tab w:leader="none" w:pos="45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management, including our principal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principal financial officer, we conducted an evaluation of our disclosure controls and procedures (as such term is defined in Exchange Act Rule 13a-15(e)) as of March 31, 2021. Based on that evaluation, our principal executive officer and chief financial officer concluded that our disclosure controls and procedures were effective as of the end of the period covered by this report.</w:t>
      </w:r>
    </w:p>
    <w:p>
      <w:pPr>
        <w:spacing w:after="0" w:line="213" w:lineRule="exact"/>
        <w:rPr>
          <w:rFonts w:ascii="Arial" w:cs="Arial" w:eastAsia="Arial" w:hAnsi="Arial"/>
          <w:sz w:val="18"/>
          <w:szCs w:val="18"/>
          <w:color w:val="auto"/>
        </w:rPr>
      </w:pPr>
    </w:p>
    <w:p>
      <w:pPr>
        <w:jc w:val="both"/>
        <w:ind w:firstLine="285"/>
        <w:spacing w:after="0" w:line="263" w:lineRule="auto"/>
        <w:tabs>
          <w:tab w:leader="none" w:pos="55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Rule 13a-15(f)) occurred during the fiscal quarter ended March 31, 2021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5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393939"/>
        </w:rPr>
        <w:t>There have been no material changes to the risk factors previously disclosed in the Company’s Annual Report on Form 10-K for the fiscal year ended December 31, 2020 filed with the SEC on February 25,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40"/>
        <w:spacing w:after="0"/>
        <w:tabs>
          <w:tab w:leader="none" w:pos="60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left="1840" w:right="20" w:hanging="746"/>
        <w:spacing w:after="0" w:line="224" w:lineRule="auto"/>
        <w:tabs>
          <w:tab w:leader="none" w:pos="1820" w:val="left"/>
        </w:tabs>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84">
        <w:r>
          <w:rPr>
            <w:rFonts w:ascii="Arial" w:cs="Arial" w:eastAsia="Arial" w:hAnsi="Arial"/>
            <w:sz w:val="18"/>
            <w:szCs w:val="18"/>
            <w:u w:val="single" w:color="auto"/>
            <w:color w:val="0000FF"/>
          </w:rPr>
          <w:t>Restated Articles of Incorporation of United Community Banks, Inc., as amended to date (incorporated herein by reference to</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Exhibit 3.1 to United Community Banks, Inc.’s Quarterly Report on Form 10-Q for the period ended June 30, 2020, filed with the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SEC on August 6, 2020).</w:t>
        </w:r>
      </w:hyperlink>
    </w:p>
    <w:p>
      <w:pPr>
        <w:spacing w:after="0" w:line="163" w:lineRule="exact"/>
        <w:rPr>
          <w:rFonts w:ascii="Arial" w:cs="Arial" w:eastAsia="Arial" w:hAnsi="Arial"/>
          <w:sz w:val="18"/>
          <w:szCs w:val="18"/>
          <w:u w:val="single" w:color="auto"/>
          <w:color w:val="0000FF"/>
        </w:rPr>
      </w:pPr>
    </w:p>
    <w:p>
      <w:pPr>
        <w:jc w:val="both"/>
        <w:ind w:left="1840" w:right="20" w:hanging="746"/>
        <w:spacing w:after="0" w:line="224" w:lineRule="auto"/>
        <w:tabs>
          <w:tab w:leader="none" w:pos="1820" w:val="left"/>
        </w:tabs>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85">
        <w:r>
          <w:rPr>
            <w:rFonts w:ascii="Arial" w:cs="Arial" w:eastAsia="Arial" w:hAnsi="Arial"/>
            <w:sz w:val="18"/>
            <w:szCs w:val="18"/>
            <w:u w:val="single" w:color="auto"/>
            <w:color w:val="0000FF"/>
          </w:rPr>
          <w:t>Amended and Restated Bylaws of United Community Banks, Inc., as amended (incorporated herein by reference to Exhibit 3.2 to</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United Community Banks, Inc.’s Quarterly Report on Form 10-Q for the period ended March 31, 2015, filed with the SEC on</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May 11, 2015).</w:t>
        </w:r>
      </w:hyperlink>
    </w:p>
    <w:p>
      <w:pPr>
        <w:spacing w:after="0" w:line="163" w:lineRule="exact"/>
        <w:rPr>
          <w:rFonts w:ascii="Arial" w:cs="Arial" w:eastAsia="Arial" w:hAnsi="Arial"/>
          <w:sz w:val="18"/>
          <w:szCs w:val="18"/>
          <w:u w:val="single" w:color="auto"/>
          <w:color w:val="0000FF"/>
        </w:rPr>
      </w:pPr>
    </w:p>
    <w:p>
      <w:pPr>
        <w:ind w:left="1840" w:right="20" w:hanging="836"/>
        <w:spacing w:after="0" w:line="235" w:lineRule="auto"/>
        <w:tabs>
          <w:tab w:leader="none" w:pos="1820" w:val="left"/>
        </w:tabs>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53">
        <w:r>
          <w:rPr>
            <w:rFonts w:ascii="Arial" w:cs="Arial" w:eastAsia="Arial" w:hAnsi="Arial"/>
            <w:sz w:val="18"/>
            <w:szCs w:val="18"/>
            <w:u w:val="single" w:color="auto"/>
            <w:color w:val="0000FF"/>
          </w:rPr>
          <w:t>Certification by H. Lynn Harton, President and Chief Executive Officer of United Community Banks, Inc., pursuant to Exchange</w:t>
        </w:r>
      </w:hyperlink>
      <w:r>
        <w:rPr>
          <w:rFonts w:ascii="Arial" w:cs="Arial" w:eastAsia="Arial" w:hAnsi="Arial"/>
          <w:sz w:val="18"/>
          <w:szCs w:val="18"/>
          <w:u w:val="single" w:color="auto"/>
          <w:color w:val="0000FF"/>
        </w:rPr>
        <w:t xml:space="preserve"> </w:t>
      </w:r>
      <w:hyperlink w:anchor="page53">
        <w:r>
          <w:rPr>
            <w:rFonts w:ascii="Arial" w:cs="Arial" w:eastAsia="Arial" w:hAnsi="Arial"/>
            <w:sz w:val="18"/>
            <w:szCs w:val="18"/>
            <w:u w:val="single" w:color="auto"/>
            <w:color w:val="0000FF"/>
          </w:rPr>
          <w:t>Act Rule 13a-14(a).</w:t>
        </w:r>
      </w:hyperlink>
    </w:p>
    <w:p>
      <w:pPr>
        <w:spacing w:after="0" w:line="162" w:lineRule="exact"/>
        <w:rPr>
          <w:rFonts w:ascii="Arial" w:cs="Arial" w:eastAsia="Arial" w:hAnsi="Arial"/>
          <w:sz w:val="18"/>
          <w:szCs w:val="18"/>
          <w:u w:val="single" w:color="auto"/>
          <w:color w:val="0000FF"/>
        </w:rPr>
      </w:pPr>
    </w:p>
    <w:p>
      <w:pPr>
        <w:ind w:left="1840" w:right="20" w:hanging="836"/>
        <w:spacing w:after="0" w:line="235" w:lineRule="auto"/>
        <w:tabs>
          <w:tab w:leader="none" w:pos="1820" w:val="left"/>
        </w:tabs>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54">
        <w:r>
          <w:rPr>
            <w:rFonts w:ascii="Arial" w:cs="Arial" w:eastAsia="Arial" w:hAnsi="Arial"/>
            <w:sz w:val="18"/>
            <w:szCs w:val="18"/>
            <w:u w:val="single" w:color="auto"/>
            <w:color w:val="0000FF"/>
          </w:rPr>
          <w:t>Certification by Jefferson L. Harralson, Executive Vice President and Chief Financial Officer of United Community Banks, Inc.,</w:t>
        </w:r>
      </w:hyperlink>
      <w:r>
        <w:rPr>
          <w:rFonts w:ascii="Arial" w:cs="Arial" w:eastAsia="Arial" w:hAnsi="Arial"/>
          <w:sz w:val="18"/>
          <w:szCs w:val="18"/>
          <w:u w:val="single" w:color="auto"/>
          <w:color w:val="0000FF"/>
        </w:rPr>
        <w:t xml:space="preserve"> </w:t>
      </w:r>
      <w:hyperlink w:anchor="page54">
        <w:r>
          <w:rPr>
            <w:rFonts w:ascii="Arial" w:cs="Arial" w:eastAsia="Arial" w:hAnsi="Arial"/>
            <w:sz w:val="18"/>
            <w:szCs w:val="18"/>
            <w:u w:val="single" w:color="auto"/>
            <w:color w:val="0000FF"/>
          </w:rPr>
          <w:t>pursuant to Exchange Act Rule 13a-14(a).</w:t>
        </w:r>
      </w:hyperlink>
    </w:p>
    <w:p>
      <w:pPr>
        <w:spacing w:after="0" w:line="162" w:lineRule="exact"/>
        <w:rPr>
          <w:rFonts w:ascii="Arial" w:cs="Arial" w:eastAsia="Arial" w:hAnsi="Arial"/>
          <w:sz w:val="18"/>
          <w:szCs w:val="18"/>
          <w:u w:val="single" w:color="auto"/>
          <w:color w:val="0000FF"/>
        </w:rPr>
      </w:pPr>
    </w:p>
    <w:p>
      <w:pPr>
        <w:ind w:left="1140"/>
        <w:spacing w:after="0"/>
        <w:tabs>
          <w:tab w:leader="none" w:pos="182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32</w:t>
      </w:r>
      <w:r>
        <w:rPr>
          <w:sz w:val="20"/>
          <w:szCs w:val="20"/>
          <w:color w:val="auto"/>
        </w:rPr>
        <w:tab/>
      </w:r>
      <w:hyperlink w:anchor="page55">
        <w:r>
          <w:rPr>
            <w:rFonts w:ascii="Arial" w:cs="Arial" w:eastAsia="Arial" w:hAnsi="Arial"/>
            <w:sz w:val="18"/>
            <w:szCs w:val="18"/>
            <w:u w:val="single" w:color="auto"/>
            <w:color w:val="0000FF"/>
          </w:rPr>
          <w:t>Certification of CEO and CFO pursuant to 18 U.S.C. Section 1350.</w:t>
        </w:r>
      </w:hyperlink>
    </w:p>
    <w:p>
      <w:pPr>
        <w:spacing w:after="0" w:line="185" w:lineRule="exact"/>
        <w:rPr>
          <w:rFonts w:ascii="Arial" w:cs="Arial" w:eastAsia="Arial" w:hAnsi="Arial"/>
          <w:sz w:val="18"/>
          <w:szCs w:val="18"/>
          <w:u w:val="single" w:color="auto"/>
          <w:color w:val="0000FF"/>
        </w:rPr>
      </w:pPr>
    </w:p>
    <w:p>
      <w:pPr>
        <w:jc w:val="both"/>
        <w:ind w:left="1840" w:right="20" w:hanging="797"/>
        <w:spacing w:after="0" w:line="216" w:lineRule="auto"/>
        <w:tabs>
          <w:tab w:leader="none" w:pos="1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Interactive data files for United Community Bank, Inc.’s Quarterly Report on Form 10-Q for the quarter ended March 31, 2021, formatted in Inline XBRL: </w:t>
      </w:r>
      <w:r>
        <w:rPr>
          <w:rFonts w:ascii="Arial" w:cs="Arial" w:eastAsia="Arial" w:hAnsi="Arial"/>
          <w:sz w:val="18"/>
          <w:szCs w:val="18"/>
          <w:color w:val="212529"/>
        </w:rPr>
        <w:t>(i) the Consolidated Balance Sheets (unaudited); (ii) the Consolidated Statements of Income</w:t>
      </w:r>
      <w:r>
        <w:rPr>
          <w:rFonts w:ascii="Arial" w:cs="Arial" w:eastAsia="Arial" w:hAnsi="Arial"/>
          <w:sz w:val="18"/>
          <w:szCs w:val="18"/>
          <w:color w:val="auto"/>
        </w:rPr>
        <w:t xml:space="preserve"> </w:t>
      </w:r>
      <w:r>
        <w:rPr>
          <w:rFonts w:ascii="Arial" w:cs="Arial" w:eastAsia="Arial" w:hAnsi="Arial"/>
          <w:sz w:val="18"/>
          <w:szCs w:val="18"/>
          <w:color w:val="212529"/>
        </w:rPr>
        <w:t>(unaudited); (iii) the Consolidated Statements of Comprehensive Income (unaudited); (iv) the Consolidated Statements in Shareholders’ Equity (unaudited); (v) the Consolidated Statements of Cash Flows (unaudited); and (vi) the Notes to Consolidated Financial Statements (unaudited)</w:t>
      </w:r>
      <w:r>
        <w:rPr>
          <w:rFonts w:ascii="Arial" w:cs="Arial" w:eastAsia="Arial" w:hAnsi="Arial"/>
          <w:sz w:val="18"/>
          <w:szCs w:val="18"/>
          <w:color w:val="000000"/>
        </w:rPr>
        <w:t>.</w:t>
      </w:r>
    </w:p>
    <w:p>
      <w:pPr>
        <w:spacing w:after="0" w:line="162" w:lineRule="exact"/>
        <w:rPr>
          <w:rFonts w:ascii="Arial" w:cs="Arial" w:eastAsia="Arial" w:hAnsi="Arial"/>
          <w:sz w:val="18"/>
          <w:szCs w:val="18"/>
          <w:u w:val="single" w:color="auto"/>
          <w:color w:val="0000FF"/>
        </w:rPr>
      </w:pPr>
    </w:p>
    <w:p>
      <w:pPr>
        <w:ind w:left="1840" w:right="20" w:hanging="797"/>
        <w:spacing w:after="0" w:line="235" w:lineRule="auto"/>
        <w:tabs>
          <w:tab w:leader="none" w:pos="1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cover page from United Community Bank’s Quarterly Report on Form 10-Q for the quarter ended March 31, 2021 (formatted in Inline XBRL and included in Exhibit 101)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931" w:right="339"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2021</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 of the Registrant</w:t>
      </w:r>
    </w:p>
    <w:p>
      <w:pPr>
        <w:sectPr>
          <w:pgSz w:w="11900" w:h="16838" w:orient="portrait"/>
          <w:cols w:equalWidth="0" w:num="1">
            <w:col w:w="11240"/>
          </w:cols>
          <w:pgMar w:left="320" w:top="891" w:right="339" w:bottom="1440" w:gutter="0" w:footer="0" w:header="0"/>
        </w:sectPr>
      </w:pPr>
    </w:p>
    <w:bookmarkStart w:id="53" w:name="page54"/>
    <w:bookmarkEnd w:id="5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2021</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Executive Vice President and Chief Financial Officer of the Registrant</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March 31, 2021 filed with the Securities and Exchange Commission on the date hereof (the “Report”), each of the undersigned officers of United certifies, pursuant to 18 U.S.C. Section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w:t>
      </w:r>
    </w:p>
    <w:p>
      <w:pPr>
        <w:spacing w:after="0" w:line="130"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 Lynn Harton</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H. Lynn Harton</w:t>
            </w: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May 7, 2021</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Jefferson L. Harralson</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Jefferson L. Harralson</w:t>
            </w: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May 7,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1"/>
    </w:lvl>
    <w:lvl w:ilvl="1">
      <w:lvlJc w:val="left"/>
      <w:lvlText w:val="(%2)"/>
      <w:numFmt w:val="lowerLetter"/>
      <w:start w:val="2"/>
    </w:lvl>
  </w:abstractNum>
  <w:abstractNum w:abstractNumId="9">
    <w:nsid w:val="140E0F76"/>
    <w:multiLevelType w:val="hybridMultilevel"/>
    <w:lvl w:ilvl="0">
      <w:lvlJc w:val="left"/>
      <w:lvlText w:val="(%1)"/>
      <w:numFmt w:val="lowerLetter"/>
      <w:start w:val="4"/>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4" Type="http://schemas.openxmlformats.org/officeDocument/2006/relationships/hyperlink" Target="http://www.sec.gov/Archives/edgar/data/857855/000085785520000051/ucbi6302010-qexhibit31.htm" TargetMode="External"/><Relationship Id="rId85" Type="http://schemas.openxmlformats.org/officeDocument/2006/relationships/hyperlink" Target="http://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2021-05-07T13:56:29Z</dcterms:created>
  <dcterms:modified xsi:type="dcterms:W3CDTF">2021-05-07T13:56:29Z</dcterms:modified>
</cp:coreProperties>
</file>