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57"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spacing w:after="0" w:line="31" w:lineRule="exact"/>
        <w:rPr>
          <w:rFonts w:ascii="MS PGothic" w:cs="MS PGothic" w:eastAsia="MS PGothic" w:hAnsi="MS PGothic"/>
          <w:sz w:val="18"/>
          <w:szCs w:val="18"/>
          <w:color w:val="auto"/>
        </w:rPr>
      </w:pP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spacing w:after="0" w:line="31" w:lineRule="exact"/>
        <w:rPr>
          <w:rFonts w:ascii="MS PGothic" w:cs="MS PGothic" w:eastAsia="MS PGothic" w:hAnsi="MS PGothic"/>
          <w:sz w:val="18"/>
          <w:szCs w:val="18"/>
          <w:color w:val="auto"/>
        </w:rPr>
      </w:pP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55"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001-35095</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COMMUNITY BANKS,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22" w:lineRule="exact"/>
        <w:rPr>
          <w:sz w:val="24"/>
          <w:szCs w:val="24"/>
          <w:color w:val="auto"/>
        </w:rPr>
      </w:pPr>
    </w:p>
    <w:tbl>
      <w:tblPr>
        <w:tblLayout w:type="fixed"/>
        <w:tblInd w:w="7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60" w:type="dxa"/>
            <w:vAlign w:val="bottom"/>
            <w:gridSpan w:val="3"/>
          </w:tcPr>
          <w:p>
            <w:pPr>
              <w:jc w:val="center"/>
              <w:ind w:right="2240"/>
              <w:spacing w:after="0"/>
              <w:rPr>
                <w:sz w:val="20"/>
                <w:szCs w:val="20"/>
                <w:color w:val="auto"/>
              </w:rPr>
            </w:pPr>
            <w:r>
              <w:rPr>
                <w:rFonts w:ascii="Arial" w:cs="Arial" w:eastAsia="Arial" w:hAnsi="Arial"/>
                <w:sz w:val="16"/>
                <w:szCs w:val="16"/>
                <w:b w:val="1"/>
                <w:bCs w:val="1"/>
                <w:color w:val="auto"/>
                <w:w w:val="92"/>
              </w:rPr>
              <w:t>Georgia</w:t>
            </w:r>
          </w:p>
        </w:tc>
        <w:tc>
          <w:tcPr>
            <w:tcW w:w="3740" w:type="dxa"/>
            <w:vAlign w:val="bottom"/>
            <w:gridSpan w:val="2"/>
          </w:tcPr>
          <w:p>
            <w:pPr>
              <w:jc w:val="right"/>
              <w:ind w:right="1399"/>
              <w:spacing w:after="0"/>
              <w:rPr>
                <w:sz w:val="20"/>
                <w:szCs w:val="20"/>
                <w:color w:val="auto"/>
              </w:rPr>
            </w:pPr>
            <w:r>
              <w:rPr>
                <w:rFonts w:ascii="Arial" w:cs="Arial" w:eastAsia="Arial" w:hAnsi="Arial"/>
                <w:sz w:val="16"/>
                <w:szCs w:val="16"/>
                <w:b w:val="1"/>
                <w:bCs w:val="1"/>
                <w:color w:val="auto"/>
              </w:rPr>
              <w:t>58-1807304</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5960" w:type="dxa"/>
            <w:vAlign w:val="bottom"/>
            <w:gridSpan w:val="3"/>
          </w:tcPr>
          <w:p>
            <w:pPr>
              <w:jc w:val="center"/>
              <w:ind w:right="2260"/>
              <w:spacing w:after="0"/>
              <w:rPr>
                <w:sz w:val="20"/>
                <w:szCs w:val="20"/>
                <w:color w:val="auto"/>
              </w:rPr>
            </w:pPr>
            <w:r>
              <w:rPr>
                <w:rFonts w:ascii="Arial" w:cs="Arial" w:eastAsia="Arial" w:hAnsi="Arial"/>
                <w:sz w:val="16"/>
                <w:szCs w:val="16"/>
                <w:b w:val="1"/>
                <w:bCs w:val="1"/>
                <w:color w:val="auto"/>
                <w:w w:val="91"/>
              </w:rPr>
              <w:t>(State of incorporation)</w:t>
            </w:r>
          </w:p>
        </w:tc>
        <w:tc>
          <w:tcPr>
            <w:tcW w:w="80" w:type="dxa"/>
            <w:vAlign w:val="bottom"/>
          </w:tcPr>
          <w:p>
            <w:pPr>
              <w:spacing w:after="0"/>
              <w:rPr>
                <w:sz w:val="18"/>
                <w:szCs w:val="18"/>
                <w:color w:val="auto"/>
              </w:rPr>
            </w:pPr>
          </w:p>
        </w:tc>
        <w:tc>
          <w:tcPr>
            <w:tcW w:w="36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(I.R.S. Employer Identification No.)</w:t>
            </w:r>
          </w:p>
        </w:tc>
        <w:tc>
          <w:tcPr>
            <w:tcW w:w="2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5960" w:type="dxa"/>
            <w:vAlign w:val="bottom"/>
            <w:gridSpan w:val="3"/>
          </w:tcPr>
          <w:p>
            <w:pPr>
              <w:jc w:val="center"/>
              <w:ind w:right="2160"/>
              <w:spacing w:after="0"/>
              <w:rPr>
                <w:sz w:val="20"/>
                <w:szCs w:val="20"/>
                <w:color w:val="auto"/>
              </w:rPr>
            </w:pPr>
            <w:r>
              <w:rPr>
                <w:rFonts w:ascii="Arial" w:cs="Arial" w:eastAsia="Arial" w:hAnsi="Arial"/>
                <w:sz w:val="16"/>
                <w:szCs w:val="16"/>
                <w:b w:val="1"/>
                <w:bCs w:val="1"/>
                <w:color w:val="auto"/>
                <w:w w:val="91"/>
              </w:rPr>
              <w:t>125 Highway 515 East</w:t>
            </w: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5960" w:type="dxa"/>
            <w:vAlign w:val="bottom"/>
            <w:gridSpan w:val="3"/>
          </w:tcPr>
          <w:p>
            <w:pPr>
              <w:jc w:val="center"/>
              <w:ind w:right="2180"/>
              <w:spacing w:after="0"/>
              <w:rPr>
                <w:sz w:val="20"/>
                <w:szCs w:val="20"/>
                <w:color w:val="auto"/>
              </w:rPr>
            </w:pPr>
            <w:r>
              <w:rPr>
                <w:rFonts w:ascii="Arial" w:cs="Arial" w:eastAsia="Arial" w:hAnsi="Arial"/>
                <w:sz w:val="16"/>
                <w:szCs w:val="16"/>
                <w:b w:val="1"/>
                <w:bCs w:val="1"/>
                <w:color w:val="auto"/>
                <w:w w:val="97"/>
              </w:rPr>
              <w:t>Blairsville , Georgia</w:t>
            </w:r>
          </w:p>
        </w:tc>
        <w:tc>
          <w:tcPr>
            <w:tcW w:w="3740" w:type="dxa"/>
            <w:vAlign w:val="bottom"/>
            <w:gridSpan w:val="2"/>
          </w:tcPr>
          <w:p>
            <w:pPr>
              <w:jc w:val="right"/>
              <w:ind w:right="1539"/>
              <w:spacing w:after="0"/>
              <w:rPr>
                <w:sz w:val="20"/>
                <w:szCs w:val="20"/>
                <w:color w:val="auto"/>
              </w:rPr>
            </w:pPr>
            <w:r>
              <w:rPr>
                <w:rFonts w:ascii="Arial" w:cs="Arial" w:eastAsia="Arial" w:hAnsi="Arial"/>
                <w:sz w:val="16"/>
                <w:szCs w:val="16"/>
                <w:b w:val="1"/>
                <w:bCs w:val="1"/>
                <w:color w:val="auto"/>
              </w:rPr>
              <w:t>30512</w:t>
            </w:r>
          </w:p>
        </w:tc>
        <w:tc>
          <w:tcPr>
            <w:tcW w:w="20" w:type="dxa"/>
            <w:vAlign w:val="bottom"/>
          </w:tcPr>
          <w:p>
            <w:pPr>
              <w:spacing w:after="0"/>
              <w:rPr>
                <w:sz w:val="22"/>
                <w:szCs w:val="22"/>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5960" w:type="dxa"/>
            <w:vAlign w:val="bottom"/>
            <w:gridSpan w:val="3"/>
          </w:tcPr>
          <w:p>
            <w:pPr>
              <w:jc w:val="center"/>
              <w:ind w:right="21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8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6"/>
                <w:szCs w:val="16"/>
                <w:b w:val="1"/>
                <w:bCs w:val="1"/>
                <w:color w:val="auto"/>
                <w:w w:val="94"/>
              </w:rPr>
              <w:t>(Zip code)</w:t>
            </w:r>
          </w:p>
        </w:tc>
        <w:tc>
          <w:tcPr>
            <w:tcW w:w="20" w:type="dxa"/>
            <w:vAlign w:val="bottom"/>
          </w:tcPr>
          <w:p>
            <w:pPr>
              <w:spacing w:after="0"/>
              <w:rPr>
                <w:sz w:val="18"/>
                <w:szCs w:val="18"/>
                <w:color w:val="auto"/>
              </w:rPr>
            </w:pPr>
          </w:p>
        </w:tc>
      </w:tr>
    </w:tbl>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(706) 781-2265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4"/>
                <w:szCs w:val="24"/>
                <w:color w:val="auto"/>
              </w:rPr>
            </w:pPr>
          </w:p>
        </w:tc>
        <w:tc>
          <w:tcPr>
            <w:tcW w:w="3180" w:type="dxa"/>
            <w:vAlign w:val="bottom"/>
            <w:gridSpan w:val="2"/>
          </w:tcPr>
          <w:p>
            <w:pPr>
              <w:jc w:val="center"/>
              <w:ind w:right="2040"/>
              <w:spacing w:after="0"/>
              <w:rPr>
                <w:sz w:val="20"/>
                <w:szCs w:val="20"/>
                <w:color w:val="auto"/>
              </w:rPr>
            </w:pPr>
            <w:r>
              <w:rPr>
                <w:rFonts w:ascii="Arial" w:cs="Arial" w:eastAsia="Arial" w:hAnsi="Arial"/>
                <w:sz w:val="14"/>
                <w:szCs w:val="14"/>
                <w:b w:val="1"/>
                <w:bCs w:val="1"/>
                <w:color w:val="auto"/>
                <w:w w:val="91"/>
              </w:rPr>
              <w:t>Title of Each Class</w:t>
            </w:r>
          </w:p>
        </w:tc>
        <w:tc>
          <w:tcPr>
            <w:tcW w:w="17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Trading Symbol(s)</w:t>
            </w:r>
          </w:p>
        </w:tc>
        <w:tc>
          <w:tcPr>
            <w:tcW w:w="340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Common stock, par value $1 per share</w:t>
            </w:r>
          </w:p>
        </w:tc>
        <w:tc>
          <w:tcPr>
            <w:tcW w:w="17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UCBI</w:t>
            </w:r>
          </w:p>
        </w:tc>
        <w:tc>
          <w:tcPr>
            <w:tcW w:w="58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65"/>
        </w:trPr>
        <w:tc>
          <w:tcPr>
            <w:tcW w:w="5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Depositary shares, each representing 1/1000th interest in a share of</w:t>
            </w:r>
          </w:p>
        </w:tc>
        <w:tc>
          <w:tcPr>
            <w:tcW w:w="17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rPr>
              <w:t>UCBIO</w:t>
            </w:r>
          </w:p>
        </w:tc>
        <w:tc>
          <w:tcPr>
            <w:tcW w:w="580" w:type="dxa"/>
            <w:vAlign w:val="bottom"/>
          </w:tcPr>
          <w:p>
            <w:pPr>
              <w:spacing w:after="0"/>
              <w:rPr>
                <w:sz w:val="14"/>
                <w:szCs w:val="14"/>
                <w:color w:val="auto"/>
              </w:rPr>
            </w:pP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86"/>
        </w:trPr>
        <w:tc>
          <w:tcPr>
            <w:tcW w:w="5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Series I Non-Cumulative Preferred Stock</w:t>
            </w:r>
          </w:p>
        </w:tc>
        <w:tc>
          <w:tcPr>
            <w:tcW w:w="17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6" w:lineRule="exact"/>
        <w:rPr>
          <w:sz w:val="24"/>
          <w:szCs w:val="24"/>
          <w:color w:val="auto"/>
        </w:rPr>
      </w:pPr>
    </w:p>
    <w:p>
      <w:pPr>
        <w:jc w:val="both"/>
        <w:spacing w:after="0" w:line="250"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ind w:right="20"/>
        <w:spacing w:after="0" w:line="269"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22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1" w:lineRule="exact"/>
        <w:rPr>
          <w:sz w:val="24"/>
          <w:szCs w:val="24"/>
          <w:color w:val="auto"/>
        </w:rPr>
      </w:pPr>
    </w:p>
    <w:p>
      <w:pPr>
        <w:spacing w:after="0" w:line="219"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180"/>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86,472,479 shares outstanding as of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5"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1000"/>
        <w:spacing w:after="0"/>
        <w:tabs>
          <w:tab w:leader="none" w:pos="1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0" w:lineRule="exact"/>
        <w:rPr>
          <w:sz w:val="20"/>
          <w:szCs w:val="20"/>
          <w:color w:val="auto"/>
        </w:rPr>
      </w:pPr>
    </w:p>
    <w:p>
      <w:pPr>
        <w:ind w:left="200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Consolidated Balance Sheets (unaudited) at June 30, 2020 and December 31,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2000"/>
        <w:spacing w:after="0"/>
        <w:rPr>
          <w:rFonts w:ascii="Arial" w:cs="Arial" w:eastAsia="Arial" w:hAnsi="Arial"/>
          <w:sz w:val="16"/>
          <w:szCs w:val="16"/>
          <w:b w:val="1"/>
          <w:bCs w:val="1"/>
          <w:u w:val="single" w:color="auto"/>
          <w:color w:val="0000FF"/>
        </w:rPr>
      </w:pPr>
      <w:hyperlink w:anchor="page5">
        <w:r>
          <w:rPr>
            <w:rFonts w:ascii="Arial" w:cs="Arial" w:eastAsia="Arial" w:hAnsi="Arial"/>
            <w:sz w:val="16"/>
            <w:szCs w:val="16"/>
            <w:b w:val="1"/>
            <w:bCs w:val="1"/>
            <w:u w:val="single" w:color="auto"/>
            <w:color w:val="0000FF"/>
          </w:rPr>
          <w:t>Consolidated Statements of Income (unaudited) for the Three and Six Months Ended June 30, 2020 and 2019</w:t>
        </w:r>
      </w:hyperlink>
    </w:p>
    <w:p>
      <w:pPr>
        <w:spacing w:after="0" w:line="316" w:lineRule="exact"/>
        <w:rPr>
          <w:sz w:val="20"/>
          <w:szCs w:val="20"/>
          <w:color w:val="auto"/>
        </w:rPr>
      </w:pPr>
    </w:p>
    <w:p>
      <w:pPr>
        <w:ind w:left="2000" w:right="40"/>
        <w:spacing w:after="0" w:line="237" w:lineRule="auto"/>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Consolidated Statements of Comprehensive Income (unaudited) for the Three and Six Months Ended June 30,</w:t>
        </w:r>
      </w:hyperlink>
      <w:r>
        <w:rPr>
          <w:rFonts w:ascii="Arial" w:cs="Arial" w:eastAsia="Arial" w:hAnsi="Arial"/>
          <w:sz w:val="18"/>
          <w:szCs w:val="18"/>
          <w:b w:val="1"/>
          <w:bCs w:val="1"/>
          <w:u w:val="single" w:color="auto"/>
          <w:color w:val="0000FF"/>
        </w:rPr>
        <w:t xml:space="preserve"> </w:t>
      </w:r>
      <w:hyperlink w:anchor="page6">
        <w:r>
          <w:rPr>
            <w:rFonts w:ascii="Arial" w:cs="Arial" w:eastAsia="Arial" w:hAnsi="Arial"/>
            <w:sz w:val="18"/>
            <w:szCs w:val="18"/>
            <w:b w:val="1"/>
            <w:bCs w:val="1"/>
            <w:u w:val="single" w:color="auto"/>
            <w:color w:val="0000FF"/>
          </w:rPr>
          <w:t>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46" w:lineRule="exact"/>
        <w:rPr>
          <w:sz w:val="20"/>
          <w:szCs w:val="20"/>
          <w:color w:val="auto"/>
        </w:rPr>
      </w:pPr>
    </w:p>
    <w:p>
      <w:pPr>
        <w:ind w:left="2000"/>
        <w:spacing w:after="0" w:line="237" w:lineRule="auto"/>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Consolidated Statements of Changes in Shareholders’ Equity (unaudited) for the Three and Six Months Ended</w:t>
        </w:r>
      </w:hyperlink>
      <w:r>
        <w:rPr>
          <w:rFonts w:ascii="Arial" w:cs="Arial" w:eastAsia="Arial" w:hAnsi="Arial"/>
          <w:sz w:val="18"/>
          <w:szCs w:val="18"/>
          <w:b w:val="1"/>
          <w:bCs w:val="1"/>
          <w:u w:val="single" w:color="auto"/>
          <w:color w:val="0000FF"/>
        </w:rPr>
        <w:t xml:space="preserve"> </w:t>
      </w:r>
      <w:hyperlink w:anchor="page7">
        <w:r>
          <w:rPr>
            <w:rFonts w:ascii="Arial" w:cs="Arial" w:eastAsia="Arial" w:hAnsi="Arial"/>
            <w:sz w:val="18"/>
            <w:szCs w:val="18"/>
            <w:b w:val="1"/>
            <w:bCs w:val="1"/>
            <w:u w:val="single" w:color="auto"/>
            <w:color w:val="0000FF"/>
          </w:rPr>
          <w:t>June 30,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7" w:lineRule="exact"/>
        <w:rPr>
          <w:sz w:val="20"/>
          <w:szCs w:val="20"/>
          <w:color w:val="auto"/>
        </w:rPr>
      </w:pPr>
    </w:p>
    <w:p>
      <w:pPr>
        <w:ind w:left="2000"/>
        <w:spacing w:after="0"/>
        <w:rPr>
          <w:rFonts w:ascii="Arial" w:cs="Arial" w:eastAsia="Arial" w:hAnsi="Arial"/>
          <w:sz w:val="17"/>
          <w:szCs w:val="17"/>
          <w:b w:val="1"/>
          <w:bCs w:val="1"/>
          <w:u w:val="single" w:color="auto"/>
          <w:color w:val="0000FF"/>
        </w:rPr>
      </w:pPr>
      <w:hyperlink w:anchor="page8">
        <w:r>
          <w:rPr>
            <w:rFonts w:ascii="Arial" w:cs="Arial" w:eastAsia="Arial" w:hAnsi="Arial"/>
            <w:sz w:val="17"/>
            <w:szCs w:val="17"/>
            <w:b w:val="1"/>
            <w:bCs w:val="1"/>
            <w:u w:val="single" w:color="auto"/>
            <w:color w:val="0000FF"/>
          </w:rPr>
          <w:t>Consolidated Statements of Cash Flows (unaudited) for the Six Months Ended June 30, 2020 and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25" w:lineRule="exact"/>
        <w:rPr>
          <w:sz w:val="20"/>
          <w:szCs w:val="20"/>
          <w:color w:val="auto"/>
        </w:rPr>
      </w:pPr>
    </w:p>
    <w:p>
      <w:pPr>
        <w:ind w:left="2000"/>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FF"/>
        </w:rPr>
      </w:pPr>
      <w:hyperlink w:anchor="page41">
        <w:r>
          <w:rPr>
            <w:rFonts w:ascii="Arial" w:cs="Arial" w:eastAsia="Arial" w:hAnsi="Arial"/>
            <w:sz w:val="18"/>
            <w:szCs w:val="18"/>
            <w:b w:val="1"/>
            <w:bCs w:val="1"/>
            <w:u w:val="single" w:color="auto"/>
            <w:color w:val="0000FF"/>
          </w:rPr>
          <w:t>Item 2.</w:t>
        </w:r>
      </w:hyperlink>
      <w:r>
        <w:rPr>
          <w:rFonts w:ascii="Arial" w:cs="Arial" w:eastAsia="Arial" w:hAnsi="Arial"/>
          <w:sz w:val="18"/>
          <w:szCs w:val="18"/>
          <w:b w:val="1"/>
          <w:bCs w:val="1"/>
          <w:u w:val="single" w:color="auto"/>
          <w:color w:val="0000FF"/>
        </w:rPr>
        <w:tab/>
      </w:r>
      <w:hyperlink w:anchor="page41">
        <w:r>
          <w:rPr>
            <w:rFonts w:ascii="Arial" w:cs="Arial" w:eastAsia="Arial" w:hAnsi="Arial"/>
            <w:sz w:val="16"/>
            <w:szCs w:val="16"/>
            <w:b w:val="1"/>
            <w:bCs w:val="1"/>
            <w:u w:val="single" w:color="auto"/>
            <w:color w:val="0000FF"/>
          </w:rPr>
          <w:t>Management’s Discussion and Analysis of Financial Condition and Results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FF"/>
        </w:rPr>
      </w:pPr>
      <w:hyperlink w:anchor="page63">
        <w:r>
          <w:rPr>
            <w:rFonts w:ascii="Arial" w:cs="Arial" w:eastAsia="Arial" w:hAnsi="Arial"/>
            <w:sz w:val="18"/>
            <w:szCs w:val="18"/>
            <w:b w:val="1"/>
            <w:bCs w:val="1"/>
            <w:u w:val="single" w:color="auto"/>
            <w:color w:val="0000FF"/>
          </w:rPr>
          <w:t>Item 3.</w:t>
        </w:r>
      </w:hyperlink>
      <w:r>
        <w:rPr>
          <w:rFonts w:ascii="Arial" w:cs="Arial" w:eastAsia="Arial" w:hAnsi="Arial"/>
          <w:sz w:val="18"/>
          <w:szCs w:val="18"/>
          <w:b w:val="1"/>
          <w:bCs w:val="1"/>
          <w:u w:val="single" w:color="auto"/>
          <w:color w:val="0000FF"/>
        </w:rPr>
        <w:tab/>
      </w:r>
      <w:hyperlink w:anchor="page63">
        <w:r>
          <w:rPr>
            <w:rFonts w:ascii="Arial" w:cs="Arial" w:eastAsia="Arial" w:hAnsi="Arial"/>
            <w:sz w:val="16"/>
            <w:szCs w:val="16"/>
            <w:b w:val="1"/>
            <w:bCs w:val="1"/>
            <w:u w:val="single" w:color="auto"/>
            <w:color w:val="0000FF"/>
          </w:rPr>
          <w:t>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FF"/>
        </w:rPr>
      </w:pPr>
      <w:hyperlink w:anchor="page64">
        <w:r>
          <w:rPr>
            <w:rFonts w:ascii="Arial" w:cs="Arial" w:eastAsia="Arial" w:hAnsi="Arial"/>
            <w:sz w:val="18"/>
            <w:szCs w:val="18"/>
            <w:b w:val="1"/>
            <w:bCs w:val="1"/>
            <w:u w:val="single" w:color="auto"/>
            <w:color w:val="0000FF"/>
          </w:rPr>
          <w:t>Item 4.</w:t>
        </w:r>
      </w:hyperlink>
      <w:r>
        <w:rPr>
          <w:rFonts w:ascii="Arial" w:cs="Arial" w:eastAsia="Arial" w:hAnsi="Arial"/>
          <w:sz w:val="18"/>
          <w:szCs w:val="18"/>
          <w:b w:val="1"/>
          <w:bCs w:val="1"/>
          <w:u w:val="single" w:color="auto"/>
          <w:color w:val="0000FF"/>
        </w:rPr>
        <w:tab/>
      </w:r>
      <w:hyperlink w:anchor="page64">
        <w:r>
          <w:rPr>
            <w:rFonts w:ascii="Arial" w:cs="Arial" w:eastAsia="Arial" w:hAnsi="Arial"/>
            <w:sz w:val="16"/>
            <w:szCs w:val="16"/>
            <w:b w:val="1"/>
            <w:bCs w:val="1"/>
            <w:u w:val="single" w:color="auto"/>
            <w:color w:val="0000FF"/>
          </w:rPr>
          <w:t>Controls and Procedures.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64">
        <w:r>
          <w:rPr>
            <w:rFonts w:ascii="Arial" w:cs="Arial" w:eastAsia="Arial" w:hAnsi="Arial"/>
            <w:sz w:val="18"/>
            <w:szCs w:val="18"/>
            <w:b w:val="1"/>
            <w:bCs w:val="1"/>
            <w:u w:val="single" w:color="auto"/>
            <w:color w:val="0000FF"/>
          </w:rPr>
          <w:t>PART II - 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3" w:lineRule="exact"/>
        <w:rPr>
          <w:sz w:val="20"/>
          <w:szCs w:val="20"/>
          <w:color w:val="auto"/>
        </w:rPr>
      </w:pPr>
    </w:p>
    <w:p>
      <w:pPr>
        <w:ind w:left="1000"/>
        <w:spacing w:after="0"/>
        <w:tabs>
          <w:tab w:leader="none" w:pos="1980" w:val="left"/>
        </w:tabs>
        <w:rPr>
          <w:rFonts w:ascii="Arial" w:cs="Arial" w:eastAsia="Arial" w:hAnsi="Arial"/>
          <w:sz w:val="15"/>
          <w:szCs w:val="15"/>
          <w:b w:val="1"/>
          <w:bCs w:val="1"/>
          <w:u w:val="single" w:color="auto"/>
          <w:color w:val="0000FF"/>
        </w:rPr>
      </w:pPr>
      <w:hyperlink w:anchor="page65">
        <w:r>
          <w:rPr>
            <w:rFonts w:ascii="Arial" w:cs="Arial" w:eastAsia="Arial" w:hAnsi="Arial"/>
            <w:sz w:val="18"/>
            <w:szCs w:val="18"/>
            <w:b w:val="1"/>
            <w:bCs w:val="1"/>
            <w:u w:val="single" w:color="auto"/>
            <w:color w:val="0000FF"/>
          </w:rPr>
          <w:t>Item 1.</w:t>
        </w:r>
      </w:hyperlink>
      <w:r>
        <w:rPr>
          <w:rFonts w:ascii="Arial" w:cs="Arial" w:eastAsia="Arial" w:hAnsi="Arial"/>
          <w:sz w:val="18"/>
          <w:szCs w:val="18"/>
          <w:b w:val="1"/>
          <w:bCs w:val="1"/>
          <w:color w:val="0000FF"/>
        </w:rPr>
        <w:tab/>
      </w:r>
      <w:hyperlink w:anchor="page65">
        <w:r>
          <w:rPr>
            <w:rFonts w:ascii="Arial" w:cs="Arial" w:eastAsia="Arial" w:hAnsi="Arial"/>
            <w:sz w:val="15"/>
            <w:szCs w:val="15"/>
            <w:b w:val="1"/>
            <w:bCs w:val="1"/>
            <w:u w:val="single" w:color="auto"/>
            <w:color w:val="0000FF"/>
          </w:rPr>
          <w:t>Legal Proceedings</w:t>
        </w:r>
        <w:r>
          <w:rPr>
            <w:rFonts w:ascii="Arial" w:cs="Arial" w:eastAsia="Arial" w:hAnsi="Arial"/>
            <w:sz w:val="15"/>
            <w:szCs w:val="15"/>
            <w:b w:val="1"/>
            <w:bCs w:val="1"/>
            <w:color w:val="0000FF"/>
          </w:rPr>
          <w:t>.</w:t>
        </w:r>
      </w:hyperlink>
    </w:p>
    <w:p>
      <w:pPr>
        <w:spacing w:after="0" w:line="63"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FF"/>
        </w:rPr>
      </w:pPr>
      <w:hyperlink w:anchor="page65">
        <w:r>
          <w:rPr>
            <w:rFonts w:ascii="Arial" w:cs="Arial" w:eastAsia="Arial" w:hAnsi="Arial"/>
            <w:sz w:val="18"/>
            <w:szCs w:val="18"/>
            <w:b w:val="1"/>
            <w:bCs w:val="1"/>
            <w:u w:val="single" w:color="auto"/>
            <w:color w:val="0000FF"/>
          </w:rPr>
          <w:t>Item 1A.</w:t>
        </w:r>
      </w:hyperlink>
      <w:r>
        <w:rPr>
          <w:rFonts w:ascii="Arial" w:cs="Arial" w:eastAsia="Arial" w:hAnsi="Arial"/>
          <w:sz w:val="18"/>
          <w:szCs w:val="18"/>
          <w:b w:val="1"/>
          <w:bCs w:val="1"/>
          <w:u w:val="single" w:color="auto"/>
          <w:color w:val="0000FF"/>
        </w:rPr>
        <w:tab/>
      </w:r>
      <w:hyperlink w:anchor="page65">
        <w:r>
          <w:rPr>
            <w:rFonts w:ascii="Arial" w:cs="Arial" w:eastAsia="Arial" w:hAnsi="Arial"/>
            <w:sz w:val="16"/>
            <w:szCs w:val="16"/>
            <w:b w:val="1"/>
            <w:bCs w:val="1"/>
            <w:u w:val="single" w:color="auto"/>
            <w:color w:val="0000FF"/>
          </w:rPr>
          <w:t>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000"/>
        <w:spacing w:after="0"/>
        <w:tabs>
          <w:tab w:leader="none" w:pos="1980" w:val="left"/>
        </w:tabs>
        <w:rPr>
          <w:rFonts w:ascii="Arial" w:cs="Arial" w:eastAsia="Arial" w:hAnsi="Arial"/>
          <w:sz w:val="16"/>
          <w:szCs w:val="16"/>
          <w:b w:val="1"/>
          <w:bCs w:val="1"/>
          <w:u w:val="single" w:color="auto"/>
          <w:color w:val="0000FF"/>
        </w:rPr>
      </w:pPr>
      <w:hyperlink w:anchor="page65">
        <w:r>
          <w:rPr>
            <w:rFonts w:ascii="Arial" w:cs="Arial" w:eastAsia="Arial" w:hAnsi="Arial"/>
            <w:sz w:val="18"/>
            <w:szCs w:val="18"/>
            <w:b w:val="1"/>
            <w:bCs w:val="1"/>
            <w:u w:val="single" w:color="auto"/>
            <w:color w:val="0000FF"/>
          </w:rPr>
          <w:t>Item 6.</w:t>
        </w:r>
      </w:hyperlink>
      <w:r>
        <w:rPr>
          <w:rFonts w:ascii="Arial" w:cs="Arial" w:eastAsia="Arial" w:hAnsi="Arial"/>
          <w:sz w:val="18"/>
          <w:szCs w:val="18"/>
          <w:b w:val="1"/>
          <w:bCs w:val="1"/>
          <w:u w:val="single" w:color="auto"/>
          <w:color w:val="0000FF"/>
        </w:rPr>
        <w:tab/>
      </w:r>
      <w:hyperlink w:anchor="page65">
        <w:r>
          <w:rPr>
            <w:rFonts w:ascii="Arial" w:cs="Arial" w:eastAsia="Arial" w:hAnsi="Arial"/>
            <w:sz w:val="16"/>
            <w:szCs w:val="16"/>
            <w:b w:val="1"/>
            <w:bCs w:val="1"/>
            <w:u w:val="single" w:color="auto"/>
            <w:color w:val="0000FF"/>
          </w:rPr>
          <w:t>Exhibits.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7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p>
      <w:pPr>
        <w:spacing w:after="0" w:line="33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200" w:lineRule="exact"/>
        <w:rPr>
          <w:sz w:val="20"/>
          <w:szCs w:val="20"/>
          <w:color w:val="auto"/>
        </w:rPr>
      </w:pPr>
    </w:p>
    <w:p>
      <w:pPr>
        <w:spacing w:after="0" w:line="268"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p>
      <w:pPr>
        <w:spacing w:after="0" w:line="200" w:lineRule="exact"/>
        <w:rPr>
          <w:sz w:val="20"/>
          <w:szCs w:val="20"/>
          <w:color w:val="auto"/>
        </w:rPr>
      </w:pPr>
    </w:p>
    <w:p>
      <w:pPr>
        <w:spacing w:after="0" w:line="268"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p>
      <w:pPr>
        <w:spacing w:after="0" w:line="333" w:lineRule="exact"/>
        <w:rPr>
          <w:sz w:val="20"/>
          <w:szCs w:val="20"/>
          <w:color w:val="auto"/>
        </w:rPr>
      </w:pPr>
    </w:p>
    <w:p>
      <w:pPr>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10</w:t>
        </w:r>
      </w:hyperlink>
    </w:p>
    <w:p>
      <w:pPr>
        <w:spacing w:after="0" w:line="356" w:lineRule="exact"/>
        <w:rPr>
          <w:sz w:val="20"/>
          <w:szCs w:val="20"/>
          <w:color w:val="auto"/>
        </w:rPr>
      </w:pPr>
    </w:p>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42</w:t>
        </w:r>
      </w:hyperlink>
    </w:p>
    <w:p>
      <w:pPr>
        <w:spacing w:after="0" w:line="356" w:lineRule="exact"/>
        <w:rPr>
          <w:sz w:val="20"/>
          <w:szCs w:val="20"/>
          <w:color w:val="auto"/>
        </w:rPr>
      </w:pPr>
    </w:p>
    <w:p>
      <w:pPr>
        <w:spacing w:after="0"/>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64</w:t>
        </w:r>
      </w:hyperlink>
    </w:p>
    <w:p>
      <w:pPr>
        <w:spacing w:after="0" w:line="356" w:lineRule="exact"/>
        <w:rPr>
          <w:sz w:val="20"/>
          <w:szCs w:val="20"/>
          <w:color w:val="auto"/>
        </w:rPr>
      </w:pPr>
    </w:p>
    <w:p>
      <w:pPr>
        <w:spacing w:after="0"/>
        <w:rPr>
          <w:rFonts w:ascii="Arial" w:cs="Arial" w:eastAsia="Arial" w:hAnsi="Arial"/>
          <w:sz w:val="16"/>
          <w:szCs w:val="16"/>
          <w:u w:val="single" w:color="auto"/>
          <w:color w:val="0000FF"/>
        </w:rPr>
      </w:pPr>
      <w:hyperlink w:anchor="page64">
        <w:r>
          <w:rPr>
            <w:rFonts w:ascii="Arial" w:cs="Arial" w:eastAsia="Arial" w:hAnsi="Arial"/>
            <w:sz w:val="16"/>
            <w:szCs w:val="16"/>
            <w:u w:val="single" w:color="auto"/>
            <w:color w:val="0000FF"/>
          </w:rPr>
          <w:t>64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65</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65</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65">
        <w:r>
          <w:rPr>
            <w:rFonts w:ascii="Arial" w:cs="Arial" w:eastAsia="Arial" w:hAnsi="Arial"/>
            <w:sz w:val="16"/>
            <w:szCs w:val="16"/>
            <w:u w:val="single" w:color="auto"/>
            <w:color w:val="0000FF"/>
          </w:rPr>
          <w:t>66</w:t>
        </w:r>
      </w:hyperlink>
    </w:p>
    <w:p>
      <w:pPr>
        <w:sectPr>
          <w:pgSz w:w="11900" w:h="16838" w:orient="portrait"/>
          <w:cols w:equalWidth="0" w:num="2">
            <w:col w:w="10480" w:space="560"/>
            <w:col w:w="180"/>
          </w:cols>
          <w:pgMar w:left="320" w:top="93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Statements regarding the potential effects of the COVID-19 pandemic on our business, operations, financial performance and prospects are forward-looking statements. Also, any statement that does not describe historical or current facts is a forward-looking statement. These statements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Community Banks, Inc. (the “Holding Company”) and its subsidiaries (collectively referred to in this report as “United”).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Part II, Item 1A of this Report - “Risk Factors” - include, but are not limited to the following:</w:t>
      </w:r>
    </w:p>
    <w:p>
      <w:pPr>
        <w:spacing w:after="0" w:line="222"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 of non-performing assets, charge-offs and provision expense;</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effects on the economic and business environments in which we operate;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continuation of historically low interest rates coupled with other potential fluctuations or unanticipated changes in the interest rate environment, including interest rate changes made by the Federal Reserve, the discontinuation of London Interbank Offered Rate (“LIBOR”) as an interest rate benchmark,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future mergers or acquisitions, including our ability to successfully expand and complete acquisitions and integrate businesses and operations that we acquire;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financial technology providers and our ability to attract customers from other financial institutions;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allowance for credit losses resulting from the Current Expected Credit Loss (“CECL”) methodology, either alone or as that may be affected by conditions arising out of the COVID-19 pandemic;</w:t>
      </w:r>
    </w:p>
    <w:p>
      <w:pPr>
        <w:ind w:left="340" w:right="20" w:hanging="332"/>
        <w:spacing w:after="0" w:line="290"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w:t>
      </w:r>
    </w:p>
    <w:p>
      <w:pPr>
        <w:spacing w:after="0" w:line="23"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our ability to make dividends and other distributions from the Bank to the Holding Company, which could affect Holding Company liquidity, including the ability to pay dividends to shareholders or take other capital actions;</w:t>
      </w:r>
    </w:p>
    <w:p>
      <w:pPr>
        <w:ind w:left="340" w:hanging="332"/>
        <w:spacing w:after="0" w:line="26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readers that the foregoing list of factors is not exclusive, is not necessarily in order of importance and not to place undue reliance on forward-looking statements. Additional factors that may cause actual results to differ materially from those contemplated by any forward-looking statements also may be found in our Annual Report on Form 10-K, Quarterly Reports on Form 10-Q, and Current Reports on Form 8-K filed with the Securities and Exchange Commission (the “SEC”) and available at the SEC’s website at http://www.sec.gov. We do not intend to and hereby disclaim any obligation to update or revise any forward-looking statement contained in this Form 10-Q, which speak only as of the date hereof, whether as a result of new information, future events, or otherwise. The financial statements and information contained herein have not been reviewed, or confirmed for accuracy or relevance, by the Federal Deposit Insurance Corporation (the “FDIC”) or any other regulator.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84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 except share data)</w:t>
            </w:r>
          </w:p>
        </w:tc>
        <w:tc>
          <w:tcPr>
            <w:tcW w:w="240" w:type="dxa"/>
            <w:vAlign w:val="bottom"/>
          </w:tcPr>
          <w:p>
            <w:pPr>
              <w:spacing w:after="0"/>
              <w:rPr>
                <w:sz w:val="18"/>
                <w:szCs w:val="18"/>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Cash and due from banks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125,255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125,844</w:t>
            </w:r>
          </w:p>
        </w:tc>
        <w:tc>
          <w:tcPr>
            <w:tcW w:w="0" w:type="dxa"/>
            <w:vAlign w:val="bottom"/>
          </w:tcPr>
          <w:p>
            <w:pPr>
              <w:spacing w:after="0"/>
              <w:rPr>
                <w:sz w:val="1"/>
                <w:szCs w:val="1"/>
                <w:color w:val="auto"/>
              </w:rPr>
            </w:pPr>
          </w:p>
        </w:tc>
      </w:tr>
      <w:tr>
        <w:trPr>
          <w:trHeight w:val="223"/>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Interest-bearing deposits in banks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1,203,706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389,362</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1,328,961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515,206</w:t>
            </w:r>
          </w:p>
        </w:tc>
        <w:tc>
          <w:tcPr>
            <w:tcW w:w="0" w:type="dxa"/>
            <w:vAlign w:val="bottom"/>
          </w:tcPr>
          <w:p>
            <w:pPr>
              <w:spacing w:after="0"/>
              <w:rPr>
                <w:sz w:val="1"/>
                <w:szCs w:val="1"/>
                <w:color w:val="auto"/>
              </w:rPr>
            </w:pPr>
          </w:p>
        </w:tc>
      </w:tr>
      <w:tr>
        <w:trPr>
          <w:trHeight w:val="224"/>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Debt securities available-for-sale</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2,125,209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2,274,581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Debt securities held-to-maturity (fair value $320,253 and $287,904)</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306,638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283,533</w:t>
            </w:r>
          </w:p>
        </w:tc>
        <w:tc>
          <w:tcPr>
            <w:tcW w:w="0" w:type="dxa"/>
            <w:vAlign w:val="bottom"/>
          </w:tcPr>
          <w:p>
            <w:pPr>
              <w:spacing w:after="0"/>
              <w:rPr>
                <w:sz w:val="1"/>
                <w:szCs w:val="1"/>
                <w:color w:val="auto"/>
              </w:rPr>
            </w:pPr>
          </w:p>
        </w:tc>
      </w:tr>
      <w:tr>
        <w:trPr>
          <w:trHeight w:val="224"/>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Loans held for sale at fair value</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99,477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58,484</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Loans and leases held for investment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10,132,510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8,812,553</w:t>
            </w:r>
          </w:p>
        </w:tc>
        <w:tc>
          <w:tcPr>
            <w:tcW w:w="0" w:type="dxa"/>
            <w:vAlign w:val="bottom"/>
          </w:tcPr>
          <w:p>
            <w:pPr>
              <w:spacing w:after="0"/>
              <w:rPr>
                <w:sz w:val="1"/>
                <w:szCs w:val="1"/>
                <w:color w:val="auto"/>
              </w:rPr>
            </w:pPr>
          </w:p>
        </w:tc>
      </w:tr>
      <w:tr>
        <w:trPr>
          <w:trHeight w:val="223"/>
        </w:trPr>
        <w:tc>
          <w:tcPr>
            <w:tcW w:w="8460" w:type="dxa"/>
            <w:vAlign w:val="bottom"/>
            <w:gridSpan w:val="2"/>
          </w:tcPr>
          <w:p>
            <w:pPr>
              <w:ind w:left="340"/>
              <w:spacing w:after="0"/>
              <w:rPr>
                <w:sz w:val="20"/>
                <w:szCs w:val="20"/>
                <w:color w:val="auto"/>
              </w:rPr>
            </w:pPr>
            <w:r>
              <w:rPr>
                <w:rFonts w:ascii="Arial" w:cs="Arial" w:eastAsia="Arial" w:hAnsi="Arial"/>
                <w:sz w:val="16"/>
                <w:szCs w:val="16"/>
                <w:color w:val="auto"/>
              </w:rPr>
              <w:t>Less allowance for credit losses - loans and leases</w:t>
            </w:r>
          </w:p>
        </w:tc>
        <w:tc>
          <w:tcPr>
            <w:tcW w:w="2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(103,669)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(62,089)</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Loans and leases, net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10,028,841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8,750,464</w:t>
            </w:r>
          </w:p>
        </w:tc>
        <w:tc>
          <w:tcPr>
            <w:tcW w:w="0" w:type="dxa"/>
            <w:vAlign w:val="bottom"/>
          </w:tcPr>
          <w:p>
            <w:pPr>
              <w:spacing w:after="0"/>
              <w:rPr>
                <w:sz w:val="1"/>
                <w:szCs w:val="1"/>
                <w:color w:val="auto"/>
              </w:rPr>
            </w:pPr>
          </w:p>
        </w:tc>
      </w:tr>
      <w:tr>
        <w:trPr>
          <w:trHeight w:val="224"/>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Premises and equipment, net</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211,972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215,976</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Bank owned life insurance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200,699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202,664</w:t>
            </w:r>
          </w:p>
        </w:tc>
        <w:tc>
          <w:tcPr>
            <w:tcW w:w="0" w:type="dxa"/>
            <w:vAlign w:val="bottom"/>
          </w:tcPr>
          <w:p>
            <w:pPr>
              <w:spacing w:after="0"/>
              <w:rPr>
                <w:sz w:val="1"/>
                <w:szCs w:val="1"/>
                <w:color w:val="auto"/>
              </w:rPr>
            </w:pPr>
          </w:p>
        </w:tc>
      </w:tr>
      <w:tr>
        <w:trPr>
          <w:trHeight w:val="223"/>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Accrued interest receivable</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37,774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32,660</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deferred tax asset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27,362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34,059</w:t>
            </w:r>
          </w:p>
        </w:tc>
        <w:tc>
          <w:tcPr>
            <w:tcW w:w="0" w:type="dxa"/>
            <w:vAlign w:val="bottom"/>
          </w:tcPr>
          <w:p>
            <w:pPr>
              <w:spacing w:after="0"/>
              <w:rPr>
                <w:sz w:val="1"/>
                <w:szCs w:val="1"/>
                <w:color w:val="auto"/>
              </w:rPr>
            </w:pPr>
          </w:p>
        </w:tc>
      </w:tr>
      <w:tr>
        <w:trPr>
          <w:trHeight w:val="224"/>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Derivative financial instruments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94,434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35,007</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Goodwill and other intangible assets, net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340,220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342,247</w:t>
            </w:r>
          </w:p>
        </w:tc>
        <w:tc>
          <w:tcPr>
            <w:tcW w:w="0" w:type="dxa"/>
            <w:vAlign w:val="bottom"/>
          </w:tcPr>
          <w:p>
            <w:pPr>
              <w:spacing w:after="0"/>
              <w:rPr>
                <w:sz w:val="1"/>
                <w:szCs w:val="1"/>
                <w:color w:val="auto"/>
              </w:rPr>
            </w:pPr>
          </w:p>
        </w:tc>
      </w:tr>
      <w:tr>
        <w:trPr>
          <w:trHeight w:val="223"/>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203,300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171,135</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8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15,004,887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12,916,016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Deposits: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Noninterest-bearing demand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4,689,545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3,477,979</w:t>
            </w:r>
          </w:p>
        </w:tc>
        <w:tc>
          <w:tcPr>
            <w:tcW w:w="0" w:type="dxa"/>
            <w:vAlign w:val="bottom"/>
          </w:tcPr>
          <w:p>
            <w:pPr>
              <w:spacing w:after="0"/>
              <w:rPr>
                <w:sz w:val="1"/>
                <w:szCs w:val="1"/>
                <w:color w:val="auto"/>
              </w:rPr>
            </w:pPr>
          </w:p>
        </w:tc>
      </w:tr>
      <w:tr>
        <w:trPr>
          <w:trHeight w:val="223"/>
        </w:trPr>
        <w:tc>
          <w:tcPr>
            <w:tcW w:w="8460" w:type="dxa"/>
            <w:vAlign w:val="bottom"/>
            <w:gridSpan w:val="2"/>
          </w:tcPr>
          <w:p>
            <w:pPr>
              <w:ind w:left="220"/>
              <w:spacing w:after="0"/>
              <w:rPr>
                <w:sz w:val="20"/>
                <w:szCs w:val="20"/>
                <w:color w:val="auto"/>
              </w:rPr>
            </w:pPr>
            <w:r>
              <w:rPr>
                <w:rFonts w:ascii="Arial" w:cs="Arial" w:eastAsia="Arial" w:hAnsi="Arial"/>
                <w:sz w:val="16"/>
                <w:szCs w:val="16"/>
                <w:color w:val="auto"/>
              </w:rPr>
              <w:t>Interest-bearing deposits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8,012,540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7,419,265</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deposits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12,702,085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10,897,244</w:t>
            </w:r>
          </w:p>
        </w:tc>
        <w:tc>
          <w:tcPr>
            <w:tcW w:w="0" w:type="dxa"/>
            <w:vAlign w:val="bottom"/>
          </w:tcPr>
          <w:p>
            <w:pPr>
              <w:spacing w:after="0"/>
              <w:rPr>
                <w:sz w:val="1"/>
                <w:szCs w:val="1"/>
                <w:color w:val="auto"/>
              </w:rPr>
            </w:pPr>
          </w:p>
        </w:tc>
      </w:tr>
      <w:tr>
        <w:trPr>
          <w:trHeight w:val="223"/>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311,631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212,664</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Derivative financial 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23"/>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194,841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154,900</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13,233,242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11,280,324</w:t>
            </w:r>
          </w:p>
        </w:tc>
        <w:tc>
          <w:tcPr>
            <w:tcW w:w="0" w:type="dxa"/>
            <w:vAlign w:val="bottom"/>
          </w:tcPr>
          <w:p>
            <w:pPr>
              <w:spacing w:after="0"/>
              <w:rPr>
                <w:sz w:val="1"/>
                <w:szCs w:val="1"/>
                <w:color w:val="auto"/>
              </w:rPr>
            </w:pPr>
          </w:p>
        </w:tc>
      </w:tr>
      <w:tr>
        <w:trPr>
          <w:trHeight w:val="203"/>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Shareholders' equity:</w:t>
            </w: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46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6"/>
                <w:szCs w:val="16"/>
                <w:color w:val="auto"/>
              </w:rPr>
              <w:t>Preferred stock; $1 par value; 10,000,000 shares authorized;</w:t>
            </w:r>
          </w:p>
        </w:tc>
        <w:tc>
          <w:tcPr>
            <w:tcW w:w="2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96,660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Series I, $25,000 per share liquidation preference; 4,000 shares issued and outstanding</w:t>
            </w:r>
          </w:p>
        </w:tc>
        <w:tc>
          <w:tcPr>
            <w:tcW w:w="2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60" w:type="dxa"/>
            <w:vAlign w:val="bottom"/>
            <w:gridSpan w:val="2"/>
          </w:tcPr>
          <w:p>
            <w:pPr>
              <w:ind w:left="140"/>
              <w:spacing w:after="0" w:line="166" w:lineRule="exact"/>
              <w:rPr>
                <w:sz w:val="20"/>
                <w:szCs w:val="20"/>
                <w:color w:val="auto"/>
              </w:rPr>
            </w:pPr>
            <w:r>
              <w:rPr>
                <w:rFonts w:ascii="Arial" w:cs="Arial" w:eastAsia="Arial" w:hAnsi="Arial"/>
                <w:sz w:val="16"/>
                <w:szCs w:val="16"/>
                <w:color w:val="auto"/>
              </w:rPr>
              <w:t>Common stock, $1 par value; 150,000,000 shares authorized;</w:t>
            </w:r>
          </w:p>
        </w:tc>
        <w:tc>
          <w:tcPr>
            <w:tcW w:w="240" w:type="dxa"/>
            <w:vAlign w:val="bottom"/>
          </w:tcPr>
          <w:p>
            <w:pPr>
              <w:spacing w:after="0"/>
              <w:rPr>
                <w:sz w:val="14"/>
                <w:szCs w:val="14"/>
                <w:color w:val="auto"/>
              </w:rPr>
            </w:pPr>
          </w:p>
        </w:tc>
        <w:tc>
          <w:tcPr>
            <w:tcW w:w="1080" w:type="dxa"/>
            <w:vAlign w:val="bottom"/>
            <w:vMerge w:val="restart"/>
          </w:tcPr>
          <w:p>
            <w:pPr>
              <w:jc w:val="right"/>
              <w:ind w:right="59"/>
              <w:spacing w:after="0"/>
              <w:rPr>
                <w:sz w:val="20"/>
                <w:szCs w:val="20"/>
                <w:color w:val="auto"/>
              </w:rPr>
            </w:pPr>
            <w:r>
              <w:rPr>
                <w:rFonts w:ascii="Arial" w:cs="Arial" w:eastAsia="Arial" w:hAnsi="Arial"/>
                <w:sz w:val="16"/>
                <w:szCs w:val="16"/>
                <w:color w:val="auto"/>
              </w:rPr>
              <w:t>78,335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right"/>
              <w:ind w:right="79"/>
              <w:spacing w:after="0"/>
              <w:rPr>
                <w:sz w:val="20"/>
                <w:szCs w:val="20"/>
                <w:color w:val="auto"/>
              </w:rPr>
            </w:pPr>
            <w:r>
              <w:rPr>
                <w:rFonts w:ascii="Arial" w:cs="Arial" w:eastAsia="Arial" w:hAnsi="Arial"/>
                <w:sz w:val="16"/>
                <w:szCs w:val="16"/>
                <w:color w:val="auto"/>
              </w:rPr>
              <w:t>79,014</w:t>
            </w:r>
          </w:p>
        </w:tc>
        <w:tc>
          <w:tcPr>
            <w:tcW w:w="0" w:type="dxa"/>
            <w:vAlign w:val="bottom"/>
          </w:tcPr>
          <w:p>
            <w:pPr>
              <w:spacing w:after="0"/>
              <w:rPr>
                <w:sz w:val="1"/>
                <w:szCs w:val="1"/>
                <w:color w:val="auto"/>
              </w:rPr>
            </w:pPr>
          </w:p>
        </w:tc>
      </w:tr>
      <w:tr>
        <w:trPr>
          <w:trHeight w:val="209"/>
        </w:trPr>
        <w:tc>
          <w:tcPr>
            <w:tcW w:w="8460" w:type="dxa"/>
            <w:vAlign w:val="bottom"/>
            <w:gridSpan w:val="2"/>
          </w:tcPr>
          <w:p>
            <w:pPr>
              <w:ind w:left="220"/>
              <w:spacing w:after="0"/>
              <w:rPr>
                <w:sz w:val="20"/>
                <w:szCs w:val="20"/>
                <w:color w:val="auto"/>
              </w:rPr>
            </w:pPr>
            <w:r>
              <w:rPr>
                <w:rFonts w:ascii="Arial" w:cs="Arial" w:eastAsia="Arial" w:hAnsi="Arial"/>
                <w:sz w:val="16"/>
                <w:szCs w:val="16"/>
                <w:color w:val="auto"/>
              </w:rPr>
              <w:t>78,335,127 and 79,013,729 shares issued and outstanding</w:t>
            </w:r>
          </w:p>
        </w:tc>
        <w:tc>
          <w:tcPr>
            <w:tcW w:w="2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issuable; 596,785 and 664,640 shares</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10,646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11,491</w:t>
            </w:r>
          </w:p>
        </w:tc>
        <w:tc>
          <w:tcPr>
            <w:tcW w:w="0" w:type="dxa"/>
            <w:vAlign w:val="bottom"/>
          </w:tcPr>
          <w:p>
            <w:pPr>
              <w:spacing w:after="0"/>
              <w:rPr>
                <w:sz w:val="1"/>
                <w:szCs w:val="1"/>
                <w:color w:val="auto"/>
              </w:rPr>
            </w:pPr>
          </w:p>
        </w:tc>
      </w:tr>
      <w:tr>
        <w:trPr>
          <w:trHeight w:val="223"/>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Capital surplus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1,480,464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1,496,641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64,990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40,152</w:t>
            </w:r>
          </w:p>
        </w:tc>
        <w:tc>
          <w:tcPr>
            <w:tcW w:w="0" w:type="dxa"/>
            <w:vAlign w:val="bottom"/>
          </w:tcPr>
          <w:p>
            <w:pPr>
              <w:spacing w:after="0"/>
              <w:rPr>
                <w:sz w:val="1"/>
                <w:szCs w:val="1"/>
                <w:color w:val="auto"/>
              </w:rPr>
            </w:pPr>
          </w:p>
        </w:tc>
      </w:tr>
      <w:tr>
        <w:trPr>
          <w:trHeight w:val="224"/>
        </w:trPr>
        <w:tc>
          <w:tcPr>
            <w:tcW w:w="846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40,550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8,394</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1,771,645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1,635,692</w:t>
            </w:r>
          </w:p>
        </w:tc>
        <w:tc>
          <w:tcPr>
            <w:tcW w:w="0" w:type="dxa"/>
            <w:vAlign w:val="bottom"/>
          </w:tcPr>
          <w:p>
            <w:pPr>
              <w:spacing w:after="0"/>
              <w:rPr>
                <w:sz w:val="1"/>
                <w:szCs w:val="1"/>
                <w:color w:val="auto"/>
              </w:rPr>
            </w:pPr>
          </w:p>
        </w:tc>
      </w:tr>
      <w:tr>
        <w:trPr>
          <w:trHeight w:val="247"/>
        </w:trPr>
        <w:tc>
          <w:tcPr>
            <w:tcW w:w="846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15,004,887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12,916,016</w:t>
            </w:r>
          </w:p>
        </w:tc>
        <w:tc>
          <w:tcPr>
            <w:tcW w:w="0" w:type="dxa"/>
            <w:vAlign w:val="bottom"/>
          </w:tcPr>
          <w:p>
            <w:pPr>
              <w:spacing w:after="0"/>
              <w:rPr>
                <w:sz w:val="1"/>
                <w:szCs w:val="1"/>
                <w:color w:val="auto"/>
              </w:rPr>
            </w:pPr>
          </w:p>
        </w:tc>
      </w:tr>
      <w:tr>
        <w:trPr>
          <w:trHeight w:val="24"/>
        </w:trPr>
        <w:tc>
          <w:tcPr>
            <w:tcW w:w="8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20"/>
          </w:cols>
          <w:pgMar w:left="320" w:top="936"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5"/>
          </w:tcPr>
          <w:p>
            <w:pPr>
              <w:ind w:left="24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508"/>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5"/>
                <w:szCs w:val="15"/>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5"/>
                <w:szCs w:val="15"/>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21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(in thousands, except per share data)</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5"/>
                <w:szCs w:val="15"/>
                <w:b w:val="1"/>
                <w:bCs w:val="1"/>
                <w:color w:val="auto"/>
              </w:rPr>
              <w:t>2019</w:t>
            </w:r>
          </w:p>
        </w:tc>
      </w:tr>
      <w:tr>
        <w:trPr>
          <w:trHeight w:val="194"/>
        </w:trPr>
        <w:tc>
          <w:tcPr>
            <w:tcW w:w="6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revenue: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9"/>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Loans, including fees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107,862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119,671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225,925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234,930</w:t>
            </w:r>
          </w:p>
        </w:tc>
      </w:tr>
      <w:tr>
        <w:trPr>
          <w:trHeight w:val="196"/>
        </w:trPr>
        <w:tc>
          <w:tcPr>
            <w:tcW w:w="6440" w:type="dxa"/>
            <w:vAlign w:val="bottom"/>
            <w:gridSpan w:val="2"/>
          </w:tcPr>
          <w:p>
            <w:pPr>
              <w:ind w:left="140"/>
              <w:spacing w:after="0"/>
              <w:rPr>
                <w:sz w:val="20"/>
                <w:szCs w:val="20"/>
                <w:color w:val="auto"/>
              </w:rPr>
            </w:pPr>
            <w:r>
              <w:rPr>
                <w:rFonts w:ascii="Arial" w:cs="Arial" w:eastAsia="Arial" w:hAnsi="Arial"/>
                <w:sz w:val="14"/>
                <w:szCs w:val="14"/>
                <w:color w:val="auto"/>
              </w:rPr>
              <w:t>Investment securities, including tax exempt of $1,570 and $1,122 and $3,093 and $2,291</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15,615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19,076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33,009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39,894</w:t>
            </w:r>
          </w:p>
        </w:tc>
      </w:tr>
      <w:tr>
        <w:trPr>
          <w:trHeight w:val="203"/>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Deposits in banks and short-term investments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848</w:t>
            </w:r>
          </w:p>
        </w:tc>
      </w:tr>
      <w:tr>
        <w:trPr>
          <w:trHeight w:val="196"/>
        </w:trPr>
        <w:tc>
          <w:tcPr>
            <w:tcW w:w="6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interest revenue</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123,605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139,156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260,152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275,672</w:t>
            </w:r>
          </w:p>
        </w:tc>
      </w:tr>
      <w:tr>
        <w:trPr>
          <w:trHeight w:val="188"/>
        </w:trPr>
        <w:tc>
          <w:tcPr>
            <w:tcW w:w="6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7"/>
        </w:trPr>
        <w:tc>
          <w:tcPr>
            <w:tcW w:w="6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8"/>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26,346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33,072</w:t>
            </w:r>
          </w:p>
        </w:tc>
      </w:tr>
      <w:tr>
        <w:trPr>
          <w:trHeight w:val="197"/>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Short-term borrowings</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409</w:t>
            </w:r>
          </w:p>
        </w:tc>
      </w:tr>
      <w:tr>
        <w:trPr>
          <w:trHeight w:val="208"/>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Federal Home Loan Bank advances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2,174</w:t>
            </w:r>
          </w:p>
        </w:tc>
      </w:tr>
      <w:tr>
        <w:trPr>
          <w:trHeight w:val="197"/>
        </w:trPr>
        <w:tc>
          <w:tcPr>
            <w:tcW w:w="6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Long-term debt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3,257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5,894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6,599</w:t>
            </w:r>
          </w:p>
        </w:tc>
      </w:tr>
      <w:tr>
        <w:trPr>
          <w:trHeight w:val="196"/>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interest expense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14,301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21,372</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32,242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42,254</w:t>
            </w:r>
          </w:p>
        </w:tc>
      </w:tr>
      <w:tr>
        <w:trPr>
          <w:trHeight w:val="196"/>
        </w:trPr>
        <w:tc>
          <w:tcPr>
            <w:tcW w:w="6440" w:type="dxa"/>
            <w:vAlign w:val="bottom"/>
            <w:gridSpan w:val="2"/>
          </w:tcPr>
          <w:p>
            <w:pPr>
              <w:ind w:left="220"/>
              <w:spacing w:after="0"/>
              <w:rPr>
                <w:sz w:val="20"/>
                <w:szCs w:val="20"/>
                <w:color w:val="auto"/>
              </w:rPr>
            </w:pPr>
            <w:r>
              <w:rPr>
                <w:rFonts w:ascii="Arial" w:cs="Arial" w:eastAsia="Arial" w:hAnsi="Arial"/>
                <w:sz w:val="14"/>
                <w:szCs w:val="14"/>
                <w:color w:val="auto"/>
              </w:rPr>
              <w:t>Net interest revenue</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109,304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117,784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227,910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233,418</w:t>
            </w:r>
          </w:p>
        </w:tc>
      </w:tr>
      <w:tr>
        <w:trPr>
          <w:trHeight w:val="203"/>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credit losses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33,543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3,250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55,734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6,550</w:t>
            </w:r>
          </w:p>
        </w:tc>
      </w:tr>
      <w:tr>
        <w:trPr>
          <w:trHeight w:val="196"/>
        </w:trPr>
        <w:tc>
          <w:tcPr>
            <w:tcW w:w="6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Net interest revenue after provision for credit losses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75,761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114,534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172,176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226,868</w:t>
            </w:r>
          </w:p>
        </w:tc>
      </w:tr>
      <w:tr>
        <w:trPr>
          <w:trHeight w:val="189"/>
        </w:trPr>
        <w:tc>
          <w:tcPr>
            <w:tcW w:w="6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6"/>
        </w:trPr>
        <w:tc>
          <w:tcPr>
            <w:tcW w:w="64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 charges and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15,633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17,513</w:t>
            </w:r>
          </w:p>
        </w:tc>
      </w:tr>
      <w:tr>
        <w:trPr>
          <w:trHeight w:val="196"/>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Mortgage loan gains and other related fees</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23,659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5,344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31,969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9,092</w:t>
            </w:r>
          </w:p>
        </w:tc>
      </w:tr>
      <w:tr>
        <w:trPr>
          <w:trHeight w:val="209"/>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Brokerage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2,925</w:t>
            </w:r>
          </w:p>
        </w:tc>
      </w:tr>
      <w:tr>
        <w:trPr>
          <w:trHeight w:val="197"/>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Gains from sales of other loans, net</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2,773</w:t>
            </w:r>
          </w:p>
        </w:tc>
      </w:tr>
      <w:tr>
        <w:trPr>
          <w:trHeight w:val="208"/>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gains (losses), net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197"/>
        </w:trPr>
        <w:tc>
          <w:tcPr>
            <w:tcW w:w="6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6,920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12,772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13,314</w:t>
            </w:r>
          </w:p>
        </w:tc>
      </w:tr>
      <w:tr>
        <w:trPr>
          <w:trHeight w:val="202"/>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noninterest income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40,238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24,531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66,052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45,499</w:t>
            </w:r>
          </w:p>
        </w:tc>
      </w:tr>
      <w:tr>
        <w:trPr>
          <w:trHeight w:val="190"/>
        </w:trPr>
        <w:tc>
          <w:tcPr>
            <w:tcW w:w="6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115,999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139,065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238,228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272,367</w:t>
            </w:r>
          </w:p>
        </w:tc>
      </w:tr>
      <w:tr>
        <w:trPr>
          <w:trHeight w:val="189"/>
        </w:trPr>
        <w:tc>
          <w:tcPr>
            <w:tcW w:w="6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6"/>
        </w:trPr>
        <w:tc>
          <w:tcPr>
            <w:tcW w:w="64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Salaries and employee benefits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51,811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48,157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103,169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95,660</w:t>
            </w:r>
          </w:p>
        </w:tc>
      </w:tr>
      <w:tr>
        <w:trPr>
          <w:trHeight w:val="196"/>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Communications and equipment</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6,556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6,222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12,502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12,010</w:t>
            </w:r>
          </w:p>
        </w:tc>
      </w:tr>
      <w:tr>
        <w:trPr>
          <w:trHeight w:val="209"/>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Occupancy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11,503</w:t>
            </w:r>
          </w:p>
        </w:tc>
      </w:tr>
      <w:tr>
        <w:trPr>
          <w:trHeight w:val="196"/>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Advertising and public relations</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3,534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2,882</w:t>
            </w:r>
          </w:p>
        </w:tc>
      </w:tr>
      <w:tr>
        <w:trPr>
          <w:trHeight w:val="208"/>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Postage, printing and supplies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3,115</w:t>
            </w:r>
          </w:p>
        </w:tc>
      </w:tr>
      <w:tr>
        <w:trPr>
          <w:trHeight w:val="197"/>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Professional fees</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4,823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4,054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8,920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7,215</w:t>
            </w:r>
          </w:p>
        </w:tc>
      </w:tr>
      <w:tr>
        <w:trPr>
          <w:trHeight w:val="208"/>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Lending and loan servicing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4,953</w:t>
            </w:r>
          </w:p>
        </w:tc>
      </w:tr>
      <w:tr>
        <w:trPr>
          <w:trHeight w:val="197"/>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Outside services - electronic banking</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1,796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3,628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3,167</w:t>
            </w:r>
          </w:p>
        </w:tc>
      </w:tr>
      <w:tr>
        <w:trPr>
          <w:trHeight w:val="208"/>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FDIC assessments and other regulatory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3,257</w:t>
            </w:r>
          </w:p>
        </w:tc>
      </w:tr>
      <w:tr>
        <w:trPr>
          <w:trHeight w:val="197"/>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Amortization of intangibles</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1,342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2,635</w:t>
            </w:r>
          </w:p>
        </w:tc>
      </w:tr>
      <w:tr>
        <w:trPr>
          <w:trHeight w:val="208"/>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Merger-related and other charges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4,440</w:t>
            </w:r>
          </w:p>
        </w:tc>
      </w:tr>
      <w:tr>
        <w:trPr>
          <w:trHeight w:val="197"/>
        </w:trPr>
        <w:tc>
          <w:tcPr>
            <w:tcW w:w="6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3,376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7,067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7,060</w:t>
            </w:r>
          </w:p>
        </w:tc>
      </w:tr>
      <w:tr>
        <w:trPr>
          <w:trHeight w:val="196"/>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noninterest expenses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83,980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81,813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165,518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157,897</w:t>
            </w:r>
          </w:p>
        </w:tc>
      </w:tr>
      <w:tr>
        <w:trPr>
          <w:trHeight w:val="196"/>
        </w:trPr>
        <w:tc>
          <w:tcPr>
            <w:tcW w:w="6440" w:type="dxa"/>
            <w:vAlign w:val="bottom"/>
            <w:gridSpan w:val="2"/>
          </w:tcPr>
          <w:p>
            <w:pPr>
              <w:ind w:left="220"/>
              <w:spacing w:after="0"/>
              <w:rPr>
                <w:sz w:val="20"/>
                <w:szCs w:val="20"/>
                <w:color w:val="auto"/>
              </w:rPr>
            </w:pPr>
            <w:r>
              <w:rPr>
                <w:rFonts w:ascii="Arial" w:cs="Arial" w:eastAsia="Arial" w:hAnsi="Arial"/>
                <w:sz w:val="14"/>
                <w:szCs w:val="14"/>
                <w:color w:val="auto"/>
              </w:rPr>
              <w:t>Net income before income taxes</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32,019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57,252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72,710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114,470</w:t>
            </w:r>
          </w:p>
        </w:tc>
      </w:tr>
      <w:tr>
        <w:trPr>
          <w:trHeight w:val="203"/>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13,167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15,730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26,123</w:t>
            </w:r>
          </w:p>
        </w:tc>
      </w:tr>
      <w:tr>
        <w:trPr>
          <w:trHeight w:val="202"/>
        </w:trPr>
        <w:tc>
          <w:tcPr>
            <w:tcW w:w="644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25,096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44,085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56,980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88,347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0"/>
        </w:trPr>
        <w:tc>
          <w:tcPr>
            <w:tcW w:w="6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3"/>
        </w:trPr>
        <w:tc>
          <w:tcPr>
            <w:tcW w:w="64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available to common shareholders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24,913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43,769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56,554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87,716</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9"/>
        </w:trPr>
        <w:tc>
          <w:tcPr>
            <w:tcW w:w="6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96"/>
        </w:trPr>
        <w:tc>
          <w:tcPr>
            <w:tcW w:w="6440" w:type="dxa"/>
            <w:vAlign w:val="bottom"/>
            <w:gridSpan w:val="2"/>
          </w:tcPr>
          <w:p>
            <w:pPr>
              <w:ind w:left="20"/>
              <w:spacing w:after="0"/>
              <w:rPr>
                <w:sz w:val="20"/>
                <w:szCs w:val="20"/>
                <w:color w:val="auto"/>
              </w:rPr>
            </w:pPr>
            <w:r>
              <w:rPr>
                <w:rFonts w:ascii="Arial" w:cs="Arial" w:eastAsia="Arial" w:hAnsi="Arial"/>
                <w:sz w:val="14"/>
                <w:szCs w:val="14"/>
                <w:color w:val="auto"/>
              </w:rPr>
              <w:t>Net income per common share: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w:t>
            </w:r>
          </w:p>
        </w:tc>
      </w:tr>
      <w:tr>
        <w:trPr>
          <w:trHeight w:val="196"/>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1.10</w:t>
            </w:r>
          </w:p>
        </w:tc>
      </w:tr>
      <w:tr>
        <w:trPr>
          <w:trHeight w:val="209"/>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96"/>
        </w:trPr>
        <w:tc>
          <w:tcPr>
            <w:tcW w:w="644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78,920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79,673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79,130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79,739</w:t>
            </w:r>
          </w:p>
        </w:tc>
      </w:tr>
      <w:tr>
        <w:trPr>
          <w:trHeight w:val="209"/>
        </w:trPr>
        <w:tc>
          <w:tcPr>
            <w:tcW w:w="6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78,924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79,678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79,745</w:t>
            </w:r>
          </w:p>
        </w:tc>
      </w:tr>
    </w:tbl>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089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330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1"/>
              </w:rPr>
              <w:t>Three Months Ended June 30,</w:t>
            </w:r>
          </w:p>
        </w:tc>
        <w:tc>
          <w:tcPr>
            <w:tcW w:w="120" w:type="dxa"/>
            <w:vAlign w:val="bottom"/>
          </w:tcPr>
          <w:p>
            <w:pPr>
              <w:spacing w:after="0"/>
              <w:rPr>
                <w:sz w:val="18"/>
                <w:szCs w:val="18"/>
                <w:color w:val="auto"/>
              </w:rPr>
            </w:pPr>
          </w:p>
        </w:tc>
        <w:tc>
          <w:tcPr>
            <w:tcW w:w="3140" w:type="dxa"/>
            <w:vAlign w:val="bottom"/>
            <w:gridSpan w:val="7"/>
          </w:tcPr>
          <w:p>
            <w:pPr>
              <w:jc w:val="center"/>
              <w:ind w:right="41"/>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Net of Tax</w:t>
            </w: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5"/>
                <w:szCs w:val="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(Expense)</w:t>
            </w:r>
          </w:p>
        </w:tc>
        <w:tc>
          <w:tcPr>
            <w:tcW w:w="120" w:type="dxa"/>
            <w:vAlign w:val="bottom"/>
          </w:tcPr>
          <w:p>
            <w:pPr>
              <w:spacing w:after="0"/>
              <w:rPr>
                <w:sz w:val="5"/>
                <w:szCs w:val="5"/>
                <w:color w:val="auto"/>
              </w:rPr>
            </w:pPr>
          </w:p>
        </w:tc>
        <w:tc>
          <w:tcPr>
            <w:tcW w:w="9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93"/>
              </w:rPr>
              <w:t>Net of Tax</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(Expense)</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2"/>
                <w:szCs w:val="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2"/>
                <w:szCs w:val="2"/>
                <w:color w:val="auto"/>
              </w:rPr>
            </w:pPr>
          </w:p>
        </w:tc>
        <w:tc>
          <w:tcPr>
            <w:tcW w:w="9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line="20" w:lineRule="exact"/>
              <w:rPr>
                <w:sz w:val="1"/>
                <w:szCs w:val="1"/>
                <w:color w:val="auto"/>
              </w:rPr>
            </w:pPr>
          </w:p>
        </w:tc>
      </w:tr>
      <w:tr>
        <w:trPr>
          <w:trHeight w:val="210"/>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32,019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(6,923)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25,096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72,710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56,980</w:t>
            </w:r>
          </w:p>
        </w:tc>
        <w:tc>
          <w:tcPr>
            <w:tcW w:w="0" w:type="dxa"/>
            <w:vAlign w:val="bottom"/>
          </w:tcPr>
          <w:p>
            <w:pPr>
              <w:spacing w:after="0"/>
              <w:rPr>
                <w:sz w:val="1"/>
                <w:szCs w:val="1"/>
                <w:color w:val="auto"/>
              </w:rPr>
            </w:pPr>
          </w:p>
        </w:tc>
      </w:tr>
      <w:tr>
        <w:trPr>
          <w:trHeight w:val="208"/>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Unrealized gains on available-for-sale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28,985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(6,969)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22,016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42,670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32,268</w:t>
            </w:r>
          </w:p>
        </w:tc>
        <w:tc>
          <w:tcPr>
            <w:tcW w:w="0" w:type="dxa"/>
            <w:vAlign w:val="bottom"/>
          </w:tcPr>
          <w:p>
            <w:pPr>
              <w:spacing w:after="0"/>
              <w:rPr>
                <w:sz w:val="1"/>
                <w:szCs w:val="1"/>
                <w:color w:val="auto"/>
              </w:rPr>
            </w:pPr>
          </w:p>
        </w:tc>
      </w:tr>
      <w:tr>
        <w:trPr>
          <w:trHeight w:val="183"/>
        </w:trPr>
        <w:tc>
          <w:tcPr>
            <w:tcW w:w="4500" w:type="dxa"/>
            <w:vAlign w:val="bottom"/>
            <w:gridSpan w:val="2"/>
          </w:tcPr>
          <w:p>
            <w:pPr>
              <w:ind w:left="120"/>
              <w:spacing w:after="0"/>
              <w:rPr>
                <w:sz w:val="20"/>
                <w:szCs w:val="20"/>
                <w:color w:val="auto"/>
              </w:rPr>
            </w:pPr>
            <w:r>
              <w:rPr>
                <w:rFonts w:ascii="Arial" w:cs="Arial" w:eastAsia="Arial" w:hAnsi="Arial"/>
                <w:sz w:val="16"/>
                <w:szCs w:val="16"/>
                <w:color w:val="auto"/>
                <w:w w:val="93"/>
              </w:rPr>
              <w:t>Amortization of losses included in net income on available-for-sale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gridSpan w:val="2"/>
          </w:tcPr>
          <w:p>
            <w:pPr>
              <w:ind w:left="120"/>
              <w:spacing w:after="0"/>
              <w:rPr>
                <w:sz w:val="20"/>
                <w:szCs w:val="20"/>
                <w:color w:val="auto"/>
              </w:rPr>
            </w:pPr>
            <w:r>
              <w:rPr>
                <w:rFonts w:ascii="Arial" w:cs="Arial" w:eastAsia="Arial" w:hAnsi="Arial"/>
                <w:sz w:val="16"/>
                <w:szCs w:val="16"/>
                <w:color w:val="auto"/>
              </w:rPr>
              <w:t>securities transferred to held-to-maturity</w:t>
            </w:r>
          </w:p>
        </w:tc>
        <w:tc>
          <w:tcPr>
            <w:tcW w:w="12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Derivative instruments designated as cash flow hedges:</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ind w:left="240"/>
              <w:spacing w:after="0"/>
              <w:rPr>
                <w:sz w:val="20"/>
                <w:szCs w:val="20"/>
                <w:color w:val="auto"/>
              </w:rPr>
            </w:pPr>
            <w:r>
              <w:rPr>
                <w:rFonts w:ascii="Arial" w:cs="Arial" w:eastAsia="Arial" w:hAnsi="Arial"/>
                <w:sz w:val="16"/>
                <w:szCs w:val="16"/>
                <w:color w:val="auto"/>
              </w:rPr>
              <w:t>Unrealized holding losses on derivatives arising during the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gridSpan w:val="2"/>
          </w:tcPr>
          <w:p>
            <w:pPr>
              <w:ind w:left="240"/>
              <w:spacing w:after="0"/>
              <w:rPr>
                <w:sz w:val="20"/>
                <w:szCs w:val="20"/>
                <w:color w:val="auto"/>
              </w:rPr>
            </w:pPr>
            <w:r>
              <w:rPr>
                <w:rFonts w:ascii="Arial" w:cs="Arial" w:eastAsia="Arial" w:hAnsi="Arial"/>
                <w:sz w:val="16"/>
                <w:szCs w:val="16"/>
                <w:color w:val="auto"/>
              </w:rPr>
              <w:t>period</w:t>
            </w: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8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6"/>
              </w:rPr>
              <w:t>Reclassification of losses on derivative instruments realized in</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2"/>
        </w:trPr>
        <w:tc>
          <w:tcPr>
            <w:tcW w:w="4500" w:type="dxa"/>
            <w:vAlign w:val="bottom"/>
            <w:gridSpan w:val="2"/>
          </w:tcPr>
          <w:p>
            <w:pPr>
              <w:ind w:left="340"/>
              <w:spacing w:after="0"/>
              <w:rPr>
                <w:sz w:val="20"/>
                <w:szCs w:val="20"/>
                <w:color w:val="auto"/>
              </w:rPr>
            </w:pPr>
            <w:r>
              <w:rPr>
                <w:rFonts w:ascii="Arial" w:cs="Arial" w:eastAsia="Arial" w:hAnsi="Arial"/>
                <w:sz w:val="16"/>
                <w:szCs w:val="16"/>
                <w:color w:val="auto"/>
              </w:rPr>
              <w:t>Net cash flow hedge activity</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5"/>
              </w:rPr>
              <w:t>Amortization of prior service cost and actuarial losses included in</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periodic pension cost for defined benefit pension plan</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other comprehensive income</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28,534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21,681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42,516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32,156</w:t>
            </w:r>
          </w:p>
        </w:tc>
        <w:tc>
          <w:tcPr>
            <w:tcW w:w="0" w:type="dxa"/>
            <w:vAlign w:val="bottom"/>
          </w:tcPr>
          <w:p>
            <w:pPr>
              <w:spacing w:after="0"/>
              <w:rPr>
                <w:sz w:val="1"/>
                <w:szCs w:val="1"/>
                <w:color w:val="auto"/>
              </w:rPr>
            </w:pPr>
          </w:p>
        </w:tc>
      </w:tr>
      <w:tr>
        <w:trPr>
          <w:trHeight w:val="223"/>
        </w:trPr>
        <w:tc>
          <w:tcPr>
            <w:tcW w:w="4500" w:type="dxa"/>
            <w:vAlign w:val="bottom"/>
            <w:gridSpan w:val="2"/>
          </w:tcPr>
          <w:p>
            <w:pPr>
              <w:ind w:left="340"/>
              <w:spacing w:after="0"/>
              <w:rPr>
                <w:sz w:val="20"/>
                <w:szCs w:val="20"/>
                <w:color w:val="auto"/>
              </w:rPr>
            </w:pPr>
            <w:r>
              <w:rPr>
                <w:rFonts w:ascii="Arial" w:cs="Arial" w:eastAsia="Arial" w:hAnsi="Arial"/>
                <w:sz w:val="16"/>
                <w:szCs w:val="16"/>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60,553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(13,776)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46,777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115,226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(26,090)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89,136</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57,252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(13,167)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44,085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114,470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(26,123)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88,347</w:t>
            </w:r>
          </w:p>
        </w:tc>
        <w:tc>
          <w:tcPr>
            <w:tcW w:w="0" w:type="dxa"/>
            <w:vAlign w:val="bottom"/>
          </w:tcPr>
          <w:p>
            <w:pPr>
              <w:spacing w:after="0"/>
              <w:rPr>
                <w:sz w:val="1"/>
                <w:szCs w:val="1"/>
                <w:color w:val="auto"/>
              </w:rPr>
            </w:pPr>
          </w:p>
        </w:tc>
      </w:tr>
      <w:tr>
        <w:trPr>
          <w:trHeight w:val="208"/>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Unrealized gains on available-for-sale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00" w:type="dxa"/>
            <w:vAlign w:val="bottom"/>
            <w:gridSpan w:val="2"/>
          </w:tcPr>
          <w:p>
            <w:pPr>
              <w:ind w:left="220"/>
              <w:spacing w:after="0"/>
              <w:rPr>
                <w:sz w:val="20"/>
                <w:szCs w:val="20"/>
                <w:color w:val="auto"/>
              </w:rPr>
            </w:pPr>
            <w:r>
              <w:rPr>
                <w:rFonts w:ascii="Arial" w:cs="Arial" w:eastAsia="Arial" w:hAnsi="Arial"/>
                <w:sz w:val="16"/>
                <w:szCs w:val="16"/>
                <w:color w:val="auto"/>
              </w:rPr>
              <w:t>Unrealized holding gains arising during period</w:t>
            </w:r>
          </w:p>
        </w:tc>
        <w:tc>
          <w:tcPr>
            <w:tcW w:w="120" w:type="dxa"/>
            <w:vAlign w:val="bottom"/>
          </w:tcPr>
          <w:p>
            <w:pPr>
              <w:spacing w:after="0"/>
              <w:rPr>
                <w:sz w:val="18"/>
                <w:szCs w:val="18"/>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29,756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(7,248)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22,508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62,930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(15,297)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47,633</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9"/>
              </w:rPr>
              <w:t>Reclassification adjustment for (gains) losses included in net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income</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1"/>
        </w:trPr>
        <w:tc>
          <w:tcPr>
            <w:tcW w:w="4500" w:type="dxa"/>
            <w:vAlign w:val="bottom"/>
            <w:gridSpan w:val="2"/>
          </w:tcPr>
          <w:p>
            <w:pPr>
              <w:ind w:left="340"/>
              <w:spacing w:after="0"/>
              <w:rPr>
                <w:sz w:val="20"/>
                <w:szCs w:val="20"/>
                <w:color w:val="auto"/>
              </w:rPr>
            </w:pPr>
            <w:r>
              <w:rPr>
                <w:rFonts w:ascii="Arial" w:cs="Arial" w:eastAsia="Arial" w:hAnsi="Arial"/>
                <w:sz w:val="16"/>
                <w:szCs w:val="16"/>
                <w:color w:val="auto"/>
              </w:rPr>
              <w:t>Net unrealized gains</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29,607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(7,210)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22,397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63,048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(15,327)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47,721</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3"/>
              </w:rPr>
              <w:t>Amortization of losses included in net income on available-for-sale</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securities transferred to held-to-maturity</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3"/>
        </w:trPr>
        <w:tc>
          <w:tcPr>
            <w:tcW w:w="4500" w:type="dxa"/>
            <w:vAlign w:val="bottom"/>
            <w:gridSpan w:val="2"/>
          </w:tcPr>
          <w:p>
            <w:pPr>
              <w:ind w:left="120"/>
              <w:spacing w:after="0"/>
              <w:rPr>
                <w:sz w:val="20"/>
                <w:szCs w:val="20"/>
                <w:color w:val="auto"/>
              </w:rPr>
            </w:pPr>
            <w:r>
              <w:rPr>
                <w:rFonts w:ascii="Arial" w:cs="Arial" w:eastAsia="Arial" w:hAnsi="Arial"/>
                <w:sz w:val="16"/>
                <w:szCs w:val="16"/>
                <w:color w:val="auto"/>
              </w:rPr>
              <w:t>Amortization of losses included in net income on terminated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gridSpan w:val="2"/>
          </w:tcPr>
          <w:p>
            <w:pPr>
              <w:ind w:left="120"/>
              <w:spacing w:after="0" w:line="175" w:lineRule="exact"/>
              <w:rPr>
                <w:sz w:val="20"/>
                <w:szCs w:val="20"/>
                <w:color w:val="auto"/>
              </w:rPr>
            </w:pPr>
            <w:r>
              <w:rPr>
                <w:rFonts w:ascii="Arial" w:cs="Arial" w:eastAsia="Arial" w:hAnsi="Arial"/>
                <w:sz w:val="16"/>
                <w:szCs w:val="16"/>
                <w:color w:val="auto"/>
                <w:w w:val="93"/>
              </w:rPr>
              <w:t>derivative financial instruments that were previously accounted for</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500" w:type="dxa"/>
            <w:vAlign w:val="bottom"/>
            <w:gridSpan w:val="2"/>
          </w:tcPr>
          <w:p>
            <w:pPr>
              <w:ind w:left="120"/>
              <w:spacing w:after="0"/>
              <w:rPr>
                <w:sz w:val="20"/>
                <w:szCs w:val="20"/>
                <w:color w:val="auto"/>
              </w:rPr>
            </w:pPr>
            <w:r>
              <w:rPr>
                <w:rFonts w:ascii="Arial" w:cs="Arial" w:eastAsia="Arial" w:hAnsi="Arial"/>
                <w:sz w:val="16"/>
                <w:szCs w:val="16"/>
                <w:color w:val="auto"/>
              </w:rPr>
              <w:t>as cash flow hedges</w:t>
            </w:r>
          </w:p>
        </w:tc>
        <w:tc>
          <w:tcPr>
            <w:tcW w:w="12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5"/>
              </w:rPr>
              <w:t>Amortization of prior service cost and actuarial losses included in</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periodic pension cost for defined benefit pension plan</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other comprehensive income</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30,108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22,772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63,909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(15,543)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48,366</w:t>
            </w:r>
          </w:p>
        </w:tc>
        <w:tc>
          <w:tcPr>
            <w:tcW w:w="0" w:type="dxa"/>
            <w:vAlign w:val="bottom"/>
          </w:tcPr>
          <w:p>
            <w:pPr>
              <w:spacing w:after="0"/>
              <w:rPr>
                <w:sz w:val="1"/>
                <w:szCs w:val="1"/>
                <w:color w:val="auto"/>
              </w:rPr>
            </w:pPr>
          </w:p>
        </w:tc>
      </w:tr>
      <w:tr>
        <w:trPr>
          <w:trHeight w:val="223"/>
        </w:trPr>
        <w:tc>
          <w:tcPr>
            <w:tcW w:w="4500" w:type="dxa"/>
            <w:vAlign w:val="bottom"/>
            <w:gridSpan w:val="2"/>
          </w:tcPr>
          <w:p>
            <w:pPr>
              <w:ind w:left="340"/>
              <w:spacing w:after="0"/>
              <w:rPr>
                <w:sz w:val="20"/>
                <w:szCs w:val="20"/>
                <w:color w:val="auto"/>
              </w:rPr>
            </w:pPr>
            <w:r>
              <w:rPr>
                <w:rFonts w:ascii="Arial" w:cs="Arial" w:eastAsia="Arial" w:hAnsi="Arial"/>
                <w:sz w:val="16"/>
                <w:szCs w:val="16"/>
                <w:color w:val="auto"/>
              </w:rPr>
              <w:t>Comprehensive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87,360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(20,503)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66,857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178,379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(41,666)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136,713</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t>UNITED COMMUNITY BANKS, INC.</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 of Changes in Shareholders’ Equity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8"/>
          </w:tcPr>
          <w:p>
            <w:pPr>
              <w:spacing w:after="0"/>
              <w:rPr>
                <w:sz w:val="20"/>
                <w:szCs w:val="20"/>
                <w:color w:val="auto"/>
              </w:rPr>
            </w:pPr>
            <w:r>
              <w:rPr>
                <w:rFonts w:ascii="Arial" w:cs="Arial" w:eastAsia="Arial" w:hAnsi="Arial"/>
                <w:sz w:val="11"/>
                <w:szCs w:val="11"/>
                <w:b w:val="1"/>
                <w:bCs w:val="1"/>
                <w:color w:val="auto"/>
              </w:rPr>
              <w:t>Three Months Ended June 30,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7"/>
          </w:tcPr>
          <w:p>
            <w:pPr>
              <w:spacing w:after="0"/>
              <w:rPr>
                <w:sz w:val="20"/>
                <w:szCs w:val="20"/>
                <w:color w:val="auto"/>
              </w:rPr>
            </w:pPr>
            <w:r>
              <w:rPr>
                <w:rFonts w:ascii="Arial" w:cs="Arial" w:eastAsia="Arial" w:hAnsi="Arial"/>
                <w:sz w:val="11"/>
                <w:szCs w:val="11"/>
                <w:b w:val="1"/>
                <w:bCs w:val="1"/>
                <w:color w:val="auto"/>
              </w:rPr>
              <w:t>Six Months Ended June 30,</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Retained</w:t>
            </w:r>
          </w:p>
        </w:tc>
        <w:tc>
          <w:tcPr>
            <w:tcW w:w="8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Earnings</w:t>
            </w:r>
          </w:p>
        </w:tc>
        <w:tc>
          <w:tcPr>
            <w:tcW w:w="16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Common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Earnings</w:t>
            </w:r>
          </w:p>
        </w:tc>
        <w:tc>
          <w:tcPr>
            <w:tcW w:w="14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60" w:type="dxa"/>
            <w:vAlign w:val="bottom"/>
            <w:gridSpan w:val="2"/>
          </w:tcPr>
          <w:p>
            <w:pPr>
              <w:ind w:left="20"/>
              <w:spacing w:after="0" w:line="122" w:lineRule="exact"/>
              <w:rPr>
                <w:sz w:val="20"/>
                <w:szCs w:val="20"/>
                <w:color w:val="auto"/>
              </w:rPr>
            </w:pPr>
            <w:r>
              <w:rPr>
                <w:rFonts w:ascii="Arial" w:cs="Arial" w:eastAsia="Arial" w:hAnsi="Arial"/>
                <w:sz w:val="11"/>
                <w:szCs w:val="11"/>
                <w:i w:val="1"/>
                <w:iCs w:val="1"/>
                <w:color w:val="auto"/>
              </w:rPr>
              <w:t>(in thousands, except share</w:t>
            </w:r>
          </w:p>
        </w:tc>
        <w:tc>
          <w:tcPr>
            <w:tcW w:w="62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Preferred</w:t>
            </w:r>
          </w:p>
        </w:tc>
        <w:tc>
          <w:tcPr>
            <w:tcW w:w="62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92"/>
              </w:rPr>
              <w:t>Common</w:t>
            </w:r>
          </w:p>
        </w:tc>
        <w:tc>
          <w:tcPr>
            <w:tcW w:w="8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Capital</w:t>
            </w:r>
          </w:p>
        </w:tc>
        <w:tc>
          <w:tcPr>
            <w:tcW w:w="7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6"/>
              </w:rPr>
              <w:t>(Accumulated</w:t>
            </w:r>
          </w:p>
        </w:tc>
        <w:tc>
          <w:tcPr>
            <w:tcW w:w="8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4"/>
              </w:rPr>
              <w:t>Comprehensive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Preferred</w:t>
            </w:r>
          </w:p>
        </w:tc>
        <w:tc>
          <w:tcPr>
            <w:tcW w:w="6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Common</w:t>
            </w:r>
          </w:p>
        </w:tc>
        <w:tc>
          <w:tcPr>
            <w:tcW w:w="80" w:type="dxa"/>
            <w:vAlign w:val="bottom"/>
          </w:tcPr>
          <w:p>
            <w:pPr>
              <w:spacing w:after="0"/>
              <w:rPr>
                <w:sz w:val="10"/>
                <w:szCs w:val="10"/>
                <w:color w:val="auto"/>
              </w:rPr>
            </w:pPr>
          </w:p>
        </w:tc>
        <w:tc>
          <w:tcPr>
            <w:tcW w:w="4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Capital</w:t>
            </w:r>
          </w:p>
        </w:tc>
        <w:tc>
          <w:tcPr>
            <w:tcW w:w="7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6"/>
              </w:rPr>
              <w:t>(Accumulated</w:t>
            </w:r>
          </w:p>
        </w:tc>
        <w:tc>
          <w:tcPr>
            <w:tcW w:w="8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2"/>
              </w:rPr>
              <w:t>Comprehensive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60" w:type="dxa"/>
            <w:vAlign w:val="bottom"/>
            <w:gridSpan w:val="2"/>
          </w:tcPr>
          <w:p>
            <w:pPr>
              <w:ind w:left="20"/>
              <w:spacing w:after="0"/>
              <w:rPr>
                <w:sz w:val="20"/>
                <w:szCs w:val="20"/>
                <w:color w:val="auto"/>
              </w:rPr>
            </w:pPr>
            <w:r>
              <w:rPr>
                <w:rFonts w:ascii="Arial" w:cs="Arial" w:eastAsia="Arial" w:hAnsi="Arial"/>
                <w:sz w:val="11"/>
                <w:szCs w:val="11"/>
                <w:i w:val="1"/>
                <w:iCs w:val="1"/>
                <w:color w:val="auto"/>
              </w:rPr>
              <w:t>and per share data)</w:t>
            </w:r>
          </w:p>
        </w:tc>
        <w:tc>
          <w:tcPr>
            <w:tcW w:w="10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420" w:type="dxa"/>
            <w:vAlign w:val="bottom"/>
          </w:tcPr>
          <w:p>
            <w:pPr>
              <w:jc w:val="center"/>
              <w:spacing w:after="0"/>
              <w:rPr>
                <w:sz w:val="20"/>
                <w:szCs w:val="20"/>
                <w:color w:val="auto"/>
              </w:rPr>
            </w:pPr>
            <w:r>
              <w:rPr>
                <w:rFonts w:ascii="Arial" w:cs="Arial" w:eastAsia="Arial" w:hAnsi="Arial"/>
                <w:sz w:val="11"/>
                <w:szCs w:val="11"/>
                <w:b w:val="1"/>
                <w:bCs w:val="1"/>
                <w:color w:val="auto"/>
                <w:w w:val="86"/>
              </w:rPr>
              <w:t>Issuable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Surplus</w:t>
            </w:r>
          </w:p>
        </w:tc>
        <w:tc>
          <w:tcPr>
            <w:tcW w:w="10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460" w:type="dxa"/>
            <w:vAlign w:val="bottom"/>
          </w:tcPr>
          <w:p>
            <w:pPr>
              <w:jc w:val="center"/>
              <w:ind w:right="26"/>
              <w:spacing w:after="0"/>
              <w:rPr>
                <w:sz w:val="20"/>
                <w:szCs w:val="20"/>
                <w:color w:val="auto"/>
              </w:rPr>
            </w:pPr>
            <w:r>
              <w:rPr>
                <w:rFonts w:ascii="Arial" w:cs="Arial" w:eastAsia="Arial" w:hAnsi="Arial"/>
                <w:sz w:val="11"/>
                <w:szCs w:val="11"/>
                <w:b w:val="1"/>
                <w:bCs w:val="1"/>
                <w:color w:val="auto"/>
                <w:w w:val="86"/>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Surplus</w:t>
            </w:r>
          </w:p>
        </w:tc>
        <w:tc>
          <w:tcPr>
            <w:tcW w:w="8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Deficit)</w:t>
            </w:r>
          </w:p>
        </w:tc>
        <w:tc>
          <w:tcPr>
            <w:tcW w:w="80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5"/>
              </w:rPr>
              <w:t>Income (Loss)</w:t>
            </w:r>
          </w:p>
        </w:tc>
        <w:tc>
          <w:tcPr>
            <w:tcW w:w="100" w:type="dxa"/>
            <w:vAlign w:val="bottom"/>
          </w:tcPr>
          <w:p>
            <w:pPr>
              <w:spacing w:after="0"/>
              <w:rPr>
                <w:sz w:val="12"/>
                <w:szCs w:val="12"/>
                <w:color w:val="auto"/>
              </w:rPr>
            </w:pPr>
          </w:p>
        </w:tc>
        <w:tc>
          <w:tcPr>
            <w:tcW w:w="580" w:type="dxa"/>
            <w:vAlign w:val="bottom"/>
          </w:tcPr>
          <w:p>
            <w:pPr>
              <w:jc w:val="right"/>
              <w:ind w:right="1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380" w:type="dxa"/>
            <w:vAlign w:val="bottom"/>
          </w:tcPr>
          <w:p>
            <w:pPr>
              <w:ind w:left="2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w w:val="95"/>
              </w:rPr>
              <w:t>Balance at beginning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78,284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4"/>
              </w:rPr>
              <w:t>10,534</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1,478,719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54,206</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18,869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1,640,612</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79,014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4"/>
              </w:rPr>
              <w:t>11,491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1,496,641</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40,152</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8,394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9"/>
              </w:rPr>
              <w:t>1,635,692</w:t>
            </w:r>
          </w:p>
        </w:tc>
        <w:tc>
          <w:tcPr>
            <w:tcW w:w="0" w:type="dxa"/>
            <w:vAlign w:val="bottom"/>
          </w:tcPr>
          <w:p>
            <w:pPr>
              <w:spacing w:after="0"/>
              <w:rPr>
                <w:sz w:val="1"/>
                <w:szCs w:val="1"/>
                <w:color w:val="auto"/>
              </w:rPr>
            </w:pPr>
          </w:p>
        </w:tc>
      </w:tr>
      <w:tr>
        <w:trPr>
          <w:trHeight w:val="153"/>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25,096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25,096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56,980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56,980</w:t>
            </w: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w w:val="98"/>
              </w:rPr>
              <w:t>Other comprehensive income</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21,681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21,681</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32,156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32,156</w:t>
            </w:r>
          </w:p>
        </w:tc>
        <w:tc>
          <w:tcPr>
            <w:tcW w:w="0" w:type="dxa"/>
            <w:vAlign w:val="bottom"/>
          </w:tcPr>
          <w:p>
            <w:pPr>
              <w:spacing w:after="0"/>
              <w:rPr>
                <w:sz w:val="1"/>
                <w:szCs w:val="1"/>
                <w:color w:val="auto"/>
              </w:rPr>
            </w:pPr>
          </w:p>
        </w:tc>
      </w:tr>
      <w:tr>
        <w:trPr>
          <w:trHeight w:val="112"/>
        </w:trPr>
        <w:tc>
          <w:tcPr>
            <w:tcW w:w="14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Issuance of preferred stock</w:t>
            </w:r>
          </w:p>
        </w:tc>
        <w:tc>
          <w:tcPr>
            <w:tcW w:w="10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color w:val="auto"/>
                <w:w w:val="89"/>
              </w:rPr>
              <w:t>96,660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96,660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color w:val="auto"/>
                <w:w w:val="89"/>
              </w:rPr>
              <w:t>96,660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96,660</w:t>
            </w: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(4,000 shares), net</w:t>
            </w: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4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Common stock issued to</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dividend reinvestment plan</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and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1"/>
                <w:szCs w:val="11"/>
                <w:color w:val="auto"/>
              </w:rPr>
              <w:t>employee benefit plans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(12,906 and 21,592 shares,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404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138"/>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Amortization of restricted</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stock unit awards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1,764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4,256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4,256</w:t>
            </w: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4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6"/>
              </w:rPr>
              <w:t>Vesting of restricted stock unit</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awards, net of shares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surrendered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1"/>
                <w:szCs w:val="11"/>
                <w:color w:val="auto"/>
              </w:rPr>
              <w:t>to cover payroll taxes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(38,247 and 62,252 shares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issued,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1"/>
                <w:szCs w:val="11"/>
                <w:color w:val="auto"/>
              </w:rPr>
              <w:t>respectively, and 378 and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24,345 shares deferred,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11</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(240)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(191)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676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(1,417)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(679)</w:t>
            </w:r>
          </w:p>
        </w:tc>
        <w:tc>
          <w:tcPr>
            <w:tcW w:w="0" w:type="dxa"/>
            <w:vAlign w:val="bottom"/>
          </w:tcPr>
          <w:p>
            <w:pPr>
              <w:spacing w:after="0"/>
              <w:rPr>
                <w:sz w:val="1"/>
                <w:szCs w:val="1"/>
                <w:color w:val="auto"/>
              </w:rPr>
            </w:pPr>
          </w:p>
        </w:tc>
      </w:tr>
      <w:tr>
        <w:trPr>
          <w:trHeight w:val="138"/>
        </w:trPr>
        <w:tc>
          <w:tcPr>
            <w:tcW w:w="1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4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Purchases of common stock</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ind w:right="46"/>
              <w:spacing w:after="0"/>
              <w:rPr>
                <w:sz w:val="20"/>
                <w:szCs w:val="20"/>
                <w:color w:val="auto"/>
              </w:rPr>
            </w:pPr>
            <w:r>
              <w:rPr>
                <w:rFonts w:ascii="Arial" w:cs="Arial" w:eastAsia="Arial" w:hAnsi="Arial"/>
                <w:sz w:val="11"/>
                <w:szCs w:val="11"/>
                <w:color w:val="auto"/>
              </w:rPr>
              <w:t>(827)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(19,955)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(20,782)</w:t>
            </w: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(826,482 shares)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Deferred compensation plan,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net, including dividend</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equivalents</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111</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267</w:t>
            </w:r>
          </w:p>
        </w:tc>
        <w:tc>
          <w:tcPr>
            <w:tcW w:w="0" w:type="dxa"/>
            <w:vAlign w:val="bottom"/>
          </w:tcPr>
          <w:p>
            <w:pPr>
              <w:spacing w:after="0"/>
              <w:rPr>
                <w:sz w:val="1"/>
                <w:szCs w:val="1"/>
                <w:color w:val="auto"/>
              </w:rPr>
            </w:pPr>
          </w:p>
        </w:tc>
      </w:tr>
      <w:tr>
        <w:trPr>
          <w:trHeight w:val="112"/>
        </w:trPr>
        <w:tc>
          <w:tcPr>
            <w:tcW w:w="14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Shares issued from deferred</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compensation plan, net of</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100"/>
              <w:spacing w:after="0" w:line="108" w:lineRule="exact"/>
              <w:rPr>
                <w:sz w:val="20"/>
                <w:szCs w:val="20"/>
                <w:color w:val="auto"/>
              </w:rPr>
            </w:pPr>
            <w:r>
              <w:rPr>
                <w:rFonts w:ascii="Arial" w:cs="Arial" w:eastAsia="Arial" w:hAnsi="Arial"/>
                <w:sz w:val="11"/>
                <w:szCs w:val="11"/>
                <w:color w:val="auto"/>
                <w:w w:val="97"/>
              </w:rPr>
              <w:t>shares surrendered to cover</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w w:val="97"/>
              </w:rPr>
              <w:t>payroll taxes (430 and 64,036</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46"/>
              <w:spacing w:after="0"/>
              <w:rPr>
                <w:sz w:val="20"/>
                <w:szCs w:val="20"/>
                <w:color w:val="auto"/>
              </w:rPr>
            </w:pPr>
            <w:r>
              <w:rPr>
                <w:rFonts w:ascii="Arial" w:cs="Arial" w:eastAsia="Arial" w:hAnsi="Arial"/>
                <w:sz w:val="11"/>
                <w:szCs w:val="11"/>
                <w:color w:val="auto"/>
                <w:w w:val="97"/>
              </w:rPr>
              <w:t>(1,788)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535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(1,189)</w:t>
            </w:r>
          </w:p>
        </w:tc>
        <w:tc>
          <w:tcPr>
            <w:tcW w:w="0" w:type="dxa"/>
            <w:vAlign w:val="bottom"/>
          </w:tcPr>
          <w:p>
            <w:pPr>
              <w:spacing w:after="0"/>
              <w:rPr>
                <w:sz w:val="1"/>
                <w:szCs w:val="1"/>
                <w:color w:val="auto"/>
              </w:rPr>
            </w:pPr>
          </w:p>
        </w:tc>
      </w:tr>
      <w:tr>
        <w:trPr>
          <w:trHeight w:val="136"/>
        </w:trPr>
        <w:tc>
          <w:tcPr>
            <w:tcW w:w="1460" w:type="dxa"/>
            <w:vAlign w:val="bottom"/>
            <w:gridSpan w:val="2"/>
          </w:tcPr>
          <w:p>
            <w:pPr>
              <w:ind w:left="100"/>
              <w:spacing w:after="0"/>
              <w:rPr>
                <w:sz w:val="20"/>
                <w:szCs w:val="20"/>
                <w:color w:val="auto"/>
              </w:rPr>
            </w:pPr>
            <w:r>
              <w:rPr>
                <w:rFonts w:ascii="Arial" w:cs="Arial" w:eastAsia="Arial" w:hAnsi="Arial"/>
                <w:sz w:val="11"/>
                <w:szCs w:val="11"/>
                <w:color w:val="auto"/>
              </w:rPr>
              <w:t>shares, respectively)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4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Common stock dividends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($0.18 and $0.36 per share,</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92"/>
              </w:rPr>
              <w:t>(14,312)</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(14,312)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(28,613)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(28,613)</w:t>
            </w:r>
          </w:p>
        </w:tc>
        <w:tc>
          <w:tcPr>
            <w:tcW w:w="0" w:type="dxa"/>
            <w:vAlign w:val="bottom"/>
          </w:tcPr>
          <w:p>
            <w:pPr>
              <w:spacing w:after="0"/>
              <w:rPr>
                <w:sz w:val="1"/>
                <w:szCs w:val="1"/>
                <w:color w:val="auto"/>
              </w:rPr>
            </w:pPr>
          </w:p>
        </w:tc>
      </w:tr>
      <w:tr>
        <w:trPr>
          <w:trHeight w:val="138"/>
        </w:trPr>
        <w:tc>
          <w:tcPr>
            <w:tcW w:w="14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Adoption of new accounting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standard</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(3,529)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(3,529)</w:t>
            </w:r>
          </w:p>
        </w:tc>
        <w:tc>
          <w:tcPr>
            <w:tcW w:w="0" w:type="dxa"/>
            <w:vAlign w:val="bottom"/>
          </w:tcPr>
          <w:p>
            <w:pPr>
              <w:spacing w:after="0"/>
              <w:rPr>
                <w:sz w:val="1"/>
                <w:szCs w:val="1"/>
                <w:color w:val="auto"/>
              </w:rPr>
            </w:pPr>
          </w:p>
        </w:tc>
      </w:tr>
      <w:tr>
        <w:trPr>
          <w:trHeight w:val="22"/>
        </w:trPr>
        <w:tc>
          <w:tcPr>
            <w:tcW w:w="1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June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9"/>
              </w:rPr>
              <w:t>96,660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9"/>
              </w:rPr>
              <w:t>78,335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4"/>
              </w:rPr>
              <w:t>10,646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9"/>
              </w:rPr>
              <w:t>1,480,464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64,990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40,550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9"/>
              </w:rPr>
              <w:t>1,771,645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9"/>
              </w:rPr>
              <w:t>96,660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9"/>
              </w:rPr>
              <w:t>78,335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4"/>
              </w:rPr>
              <w:t>10,646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9"/>
              </w:rPr>
              <w:t>1,480,464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64,990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40,550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9"/>
              </w:rPr>
              <w:t>1,771,645</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460" w:type="dxa"/>
            <w:vAlign w:val="bottom"/>
            <w:gridSpan w:val="2"/>
          </w:tcPr>
          <w:p>
            <w:pPr>
              <w:ind w:left="20"/>
              <w:spacing w:after="0"/>
              <w:rPr>
                <w:sz w:val="20"/>
                <w:szCs w:val="20"/>
                <w:color w:val="auto"/>
              </w:rPr>
            </w:pPr>
            <w:r>
              <w:rPr>
                <w:rFonts w:ascii="Arial" w:cs="Arial" w:eastAsia="Arial" w:hAnsi="Arial"/>
                <w:sz w:val="11"/>
                <w:szCs w:val="11"/>
                <w:color w:val="auto"/>
                <w:w w:val="95"/>
              </w:rPr>
              <w:t>Balance at beginning of period</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79,035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26"/>
              <w:spacing w:after="0"/>
              <w:rPr>
                <w:sz w:val="20"/>
                <w:szCs w:val="20"/>
                <w:color w:val="auto"/>
              </w:rPr>
            </w:pPr>
            <w:r>
              <w:rPr>
                <w:rFonts w:ascii="Arial" w:cs="Arial" w:eastAsia="Arial" w:hAnsi="Arial"/>
                <w:sz w:val="11"/>
                <w:szCs w:val="11"/>
                <w:color w:val="auto"/>
                <w:w w:val="94"/>
              </w:rPr>
              <w:t>10,291</w:t>
            </w: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w w:val="89"/>
              </w:rPr>
              <w:t>1,494,400</w:t>
            </w:r>
          </w:p>
        </w:tc>
        <w:tc>
          <w:tcPr>
            <w:tcW w:w="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Pr>
          <w:p>
            <w:pPr>
              <w:jc w:val="center"/>
              <w:spacing w:after="0"/>
              <w:rPr>
                <w:sz w:val="20"/>
                <w:szCs w:val="20"/>
                <w:color w:val="auto"/>
              </w:rPr>
            </w:pPr>
            <w:r>
              <w:rPr>
                <w:rFonts w:ascii="Arial" w:cs="Arial" w:eastAsia="Arial" w:hAnsi="Arial"/>
                <w:sz w:val="11"/>
                <w:szCs w:val="11"/>
                <w:color w:val="auto"/>
                <w:w w:val="92"/>
              </w:rPr>
              <w:t>(59,573)</w:t>
            </w:r>
          </w:p>
        </w:tc>
        <w:tc>
          <w:tcPr>
            <w:tcW w:w="8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(15,995)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w w:val="89"/>
              </w:rPr>
              <w:t>1,508,158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w w:val="89"/>
              </w:rPr>
              <w:t>79,234</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ind w:right="66"/>
              <w:spacing w:after="0"/>
              <w:rPr>
                <w:sz w:val="20"/>
                <w:szCs w:val="20"/>
                <w:color w:val="auto"/>
              </w:rPr>
            </w:pPr>
            <w:r>
              <w:rPr>
                <w:rFonts w:ascii="Arial" w:cs="Arial" w:eastAsia="Arial" w:hAnsi="Arial"/>
                <w:sz w:val="11"/>
                <w:szCs w:val="11"/>
                <w:color w:val="auto"/>
                <w:w w:val="94"/>
              </w:rPr>
              <w:t>10,744</w:t>
            </w:r>
          </w:p>
        </w:tc>
        <w:tc>
          <w:tcPr>
            <w:tcW w:w="1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w w:val="89"/>
              </w:rPr>
              <w:t>1,499,584</w:t>
            </w:r>
          </w:p>
        </w:tc>
        <w:tc>
          <w:tcPr>
            <w:tcW w:w="8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(90,419)</w:t>
            </w:r>
          </w:p>
        </w:tc>
        <w:tc>
          <w:tcPr>
            <w:tcW w:w="8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(41,589)</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w w:val="89"/>
              </w:rPr>
              <w:t>1,457,554</w:t>
            </w: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44,085</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44,085</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88,347</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88,347</w:t>
            </w:r>
          </w:p>
        </w:tc>
        <w:tc>
          <w:tcPr>
            <w:tcW w:w="0" w:type="dxa"/>
            <w:vAlign w:val="bottom"/>
          </w:tcPr>
          <w:p>
            <w:pPr>
              <w:spacing w:after="0"/>
              <w:rPr>
                <w:sz w:val="1"/>
                <w:szCs w:val="1"/>
                <w:color w:val="auto"/>
              </w:rPr>
            </w:pPr>
          </w:p>
        </w:tc>
      </w:tr>
      <w:tr>
        <w:trPr>
          <w:trHeight w:val="154"/>
        </w:trPr>
        <w:tc>
          <w:tcPr>
            <w:tcW w:w="1460" w:type="dxa"/>
            <w:vAlign w:val="bottom"/>
            <w:gridSpan w:val="2"/>
          </w:tcPr>
          <w:p>
            <w:pPr>
              <w:ind w:left="20"/>
              <w:spacing w:after="0"/>
              <w:rPr>
                <w:sz w:val="20"/>
                <w:szCs w:val="20"/>
                <w:color w:val="auto"/>
              </w:rPr>
            </w:pPr>
            <w:r>
              <w:rPr>
                <w:rFonts w:ascii="Arial" w:cs="Arial" w:eastAsia="Arial" w:hAnsi="Arial"/>
                <w:sz w:val="11"/>
                <w:szCs w:val="11"/>
                <w:color w:val="auto"/>
                <w:w w:val="98"/>
              </w:rPr>
              <w:t>Other comprehensive income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22,772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22,772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48,366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48,366</w:t>
            </w: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4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Exercise of stock options</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185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38"/>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(12,000 shares)</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4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Common stock issued to</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dividend reinvestment plan</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and</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80"/>
              <w:spacing w:after="0" w:line="108" w:lineRule="exact"/>
              <w:rPr>
                <w:sz w:val="20"/>
                <w:szCs w:val="20"/>
                <w:color w:val="auto"/>
              </w:rPr>
            </w:pPr>
            <w:r>
              <w:rPr>
                <w:rFonts w:ascii="Arial" w:cs="Arial" w:eastAsia="Arial" w:hAnsi="Arial"/>
                <w:sz w:val="11"/>
                <w:szCs w:val="11"/>
                <w:color w:val="auto"/>
              </w:rPr>
              <w:t>employee benefit plans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(33,978 and 42,423 shares,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color w:val="auto"/>
              </w:rPr>
              <w:t>34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871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905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1,049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1,091</w:t>
            </w:r>
          </w:p>
        </w:tc>
        <w:tc>
          <w:tcPr>
            <w:tcW w:w="0" w:type="dxa"/>
            <w:vAlign w:val="bottom"/>
          </w:tcPr>
          <w:p>
            <w:pPr>
              <w:spacing w:after="0"/>
              <w:rPr>
                <w:sz w:val="1"/>
                <w:szCs w:val="1"/>
                <w:color w:val="auto"/>
              </w:rPr>
            </w:pPr>
          </w:p>
        </w:tc>
      </w:tr>
      <w:tr>
        <w:trPr>
          <w:trHeight w:val="136"/>
        </w:trPr>
        <w:tc>
          <w:tcPr>
            <w:tcW w:w="1460" w:type="dxa"/>
            <w:vAlign w:val="bottom"/>
            <w:gridSpan w:val="2"/>
          </w:tcPr>
          <w:p>
            <w:pPr>
              <w:ind w:left="80"/>
              <w:spacing w:after="0"/>
              <w:rPr>
                <w:sz w:val="20"/>
                <w:szCs w:val="20"/>
                <w:color w:val="auto"/>
              </w:rPr>
            </w:pPr>
            <w:r>
              <w:rPr>
                <w:rFonts w:ascii="Arial" w:cs="Arial" w:eastAsia="Arial" w:hAnsi="Arial"/>
                <w:sz w:val="11"/>
                <w:szCs w:val="11"/>
                <w:color w:val="auto"/>
              </w:rPr>
              <w:t>respectively)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Amortization of restricted</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stock unit awards</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4,017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4,017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6,002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6,002</w:t>
            </w:r>
          </w:p>
        </w:tc>
        <w:tc>
          <w:tcPr>
            <w:tcW w:w="0" w:type="dxa"/>
            <w:vAlign w:val="bottom"/>
          </w:tcPr>
          <w:p>
            <w:pPr>
              <w:spacing w:after="0"/>
              <w:rPr>
                <w:sz w:val="1"/>
                <w:szCs w:val="1"/>
                <w:color w:val="auto"/>
              </w:rPr>
            </w:pPr>
          </w:p>
        </w:tc>
      </w:tr>
      <w:tr>
        <w:trPr>
          <w:trHeight w:val="112"/>
        </w:trPr>
        <w:tc>
          <w:tcPr>
            <w:tcW w:w="146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6"/>
              </w:rPr>
              <w:t>Vesting of restricted stock unit</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awards, net of shares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surrendered</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100"/>
              <w:spacing w:after="0" w:line="108" w:lineRule="exact"/>
              <w:rPr>
                <w:sz w:val="20"/>
                <w:szCs w:val="20"/>
                <w:color w:val="auto"/>
              </w:rPr>
            </w:pPr>
            <w:r>
              <w:rPr>
                <w:rFonts w:ascii="Arial" w:cs="Arial" w:eastAsia="Arial" w:hAnsi="Arial"/>
                <w:sz w:val="11"/>
                <w:szCs w:val="11"/>
                <w:color w:val="auto"/>
                <w:w w:val="96"/>
              </w:rPr>
              <w:t>to cover payroll taxes (5,034</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and 20,979 shares issued,</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100"/>
              <w:spacing w:after="0" w:line="108" w:lineRule="exact"/>
              <w:rPr>
                <w:sz w:val="20"/>
                <w:szCs w:val="20"/>
                <w:color w:val="auto"/>
              </w:rPr>
            </w:pPr>
            <w:r>
              <w:rPr>
                <w:rFonts w:ascii="Arial" w:cs="Arial" w:eastAsia="Arial" w:hAnsi="Arial"/>
                <w:sz w:val="11"/>
                <w:szCs w:val="11"/>
                <w:color w:val="auto"/>
                <w:w w:val="95"/>
              </w:rPr>
              <w:t>respectively, and 17,211 and</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36,661 shares deferred,</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restart"/>
          </w:tcPr>
          <w:p>
            <w:pPr>
              <w:jc w:val="right"/>
              <w:ind w:right="26"/>
              <w:spacing w:after="0"/>
              <w:rPr>
                <w:sz w:val="20"/>
                <w:szCs w:val="20"/>
                <w:color w:val="auto"/>
              </w:rPr>
            </w:pPr>
            <w:r>
              <w:rPr>
                <w:rFonts w:ascii="Arial" w:cs="Arial" w:eastAsia="Arial" w:hAnsi="Arial"/>
                <w:sz w:val="11"/>
                <w:szCs w:val="11"/>
                <w:color w:val="auto"/>
              </w:rPr>
              <w:t>477</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(557)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restart"/>
          </w:tcPr>
          <w:p>
            <w:pPr>
              <w:jc w:val="right"/>
              <w:ind w:right="66"/>
              <w:spacing w:after="0"/>
              <w:rPr>
                <w:sz w:val="20"/>
                <w:szCs w:val="20"/>
                <w:color w:val="auto"/>
              </w:rPr>
            </w:pPr>
            <w:r>
              <w:rPr>
                <w:rFonts w:ascii="Arial" w:cs="Arial" w:eastAsia="Arial" w:hAnsi="Arial"/>
                <w:sz w:val="11"/>
                <w:szCs w:val="11"/>
                <w:color w:val="auto"/>
              </w:rPr>
              <w:t>1,009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(1,422)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(392)</w:t>
            </w:r>
          </w:p>
        </w:tc>
        <w:tc>
          <w:tcPr>
            <w:tcW w:w="0" w:type="dxa"/>
            <w:vAlign w:val="bottom"/>
          </w:tcPr>
          <w:p>
            <w:pPr>
              <w:spacing w:after="0"/>
              <w:rPr>
                <w:sz w:val="1"/>
                <w:szCs w:val="1"/>
                <w:color w:val="auto"/>
              </w:rPr>
            </w:pPr>
          </w:p>
        </w:tc>
      </w:tr>
      <w:tr>
        <w:trPr>
          <w:trHeight w:val="136"/>
        </w:trPr>
        <w:tc>
          <w:tcPr>
            <w:tcW w:w="1460" w:type="dxa"/>
            <w:vAlign w:val="bottom"/>
            <w:gridSpan w:val="2"/>
          </w:tcPr>
          <w:p>
            <w:pPr>
              <w:ind w:left="100"/>
              <w:spacing w:after="0"/>
              <w:rPr>
                <w:sz w:val="20"/>
                <w:szCs w:val="20"/>
                <w:color w:val="auto"/>
              </w:rPr>
            </w:pPr>
            <w:r>
              <w:rPr>
                <w:rFonts w:ascii="Arial" w:cs="Arial" w:eastAsia="Arial" w:hAnsi="Arial"/>
                <w:sz w:val="11"/>
                <w:szCs w:val="11"/>
                <w:color w:val="auto"/>
              </w:rPr>
              <w:t>respectively)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4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Purchases of common stock</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(305)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(7,535)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(7,840)</w:t>
            </w:r>
          </w:p>
        </w:tc>
        <w:tc>
          <w:tcPr>
            <w:tcW w:w="0" w:type="dxa"/>
            <w:vAlign w:val="bottom"/>
          </w:tcPr>
          <w:p>
            <w:pPr>
              <w:spacing w:after="0"/>
              <w:rPr>
                <w:sz w:val="1"/>
                <w:szCs w:val="1"/>
                <w:color w:val="auto"/>
              </w:rPr>
            </w:pPr>
          </w:p>
        </w:tc>
      </w:tr>
      <w:tr>
        <w:trPr>
          <w:trHeight w:val="138"/>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(305,052 shares)</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Deferred compensation plan,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4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net, including dividend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rPr>
                <w:sz w:val="20"/>
                <w:szCs w:val="20"/>
                <w:color w:val="auto"/>
              </w:rPr>
            </w:pPr>
            <w:r>
              <w:rPr>
                <w:rFonts w:ascii="Arial" w:cs="Arial" w:eastAsia="Arial" w:hAnsi="Arial"/>
                <w:sz w:val="11"/>
                <w:szCs w:val="11"/>
                <w:color w:val="auto"/>
              </w:rPr>
              <w:t>equivalents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26"/>
              <w:spacing w:after="0"/>
              <w:rPr>
                <w:sz w:val="20"/>
                <w:szCs w:val="20"/>
                <w:color w:val="auto"/>
              </w:rPr>
            </w:pPr>
            <w:r>
              <w:rPr>
                <w:rFonts w:ascii="Arial" w:cs="Arial" w:eastAsia="Arial" w:hAnsi="Arial"/>
                <w:sz w:val="11"/>
                <w:szCs w:val="11"/>
                <w:color w:val="auto"/>
              </w:rPr>
              <w:t>107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color w:val="auto"/>
              </w:rPr>
              <w:t>292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292</w:t>
            </w: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4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Shares issued from deferred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compensation plan, net of</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80"/>
              <w:spacing w:after="0" w:line="108" w:lineRule="exact"/>
              <w:rPr>
                <w:sz w:val="20"/>
                <w:szCs w:val="20"/>
                <w:color w:val="auto"/>
              </w:rPr>
            </w:pPr>
            <w:r>
              <w:rPr>
                <w:rFonts w:ascii="Arial" w:cs="Arial" w:eastAsia="Arial" w:hAnsi="Arial"/>
                <w:sz w:val="11"/>
                <w:szCs w:val="11"/>
                <w:color w:val="auto"/>
                <w:w w:val="98"/>
              </w:rPr>
              <w:t>shares surrendered to cover</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payroll taxes (748 and</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71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7"/>
              </w:rPr>
              <w:t>(1,187)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877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38"/>
        </w:trPr>
        <w:tc>
          <w:tcPr>
            <w:tcW w:w="1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w w:val="98"/>
              </w:rPr>
              <w:t>70,792 shares, 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4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Common stock dividends</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6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($0.17 and $0.33 per share,</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center"/>
              <w:spacing w:after="0"/>
              <w:rPr>
                <w:sz w:val="20"/>
                <w:szCs w:val="20"/>
                <w:color w:val="auto"/>
              </w:rPr>
            </w:pPr>
            <w:r>
              <w:rPr>
                <w:rFonts w:ascii="Arial" w:cs="Arial" w:eastAsia="Arial" w:hAnsi="Arial"/>
                <w:sz w:val="11"/>
                <w:szCs w:val="11"/>
                <w:color w:val="auto"/>
                <w:w w:val="92"/>
              </w:rPr>
              <w:t>(13,628)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(13,628)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color w:val="auto"/>
              </w:rPr>
              <w:t>(26,495)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(26,495)</w:t>
            </w:r>
          </w:p>
        </w:tc>
        <w:tc>
          <w:tcPr>
            <w:tcW w:w="0" w:type="dxa"/>
            <w:vAlign w:val="bottom"/>
          </w:tcPr>
          <w:p>
            <w:pPr>
              <w:spacing w:after="0"/>
              <w:rPr>
                <w:sz w:val="1"/>
                <w:szCs w:val="1"/>
                <w:color w:val="auto"/>
              </w:rPr>
            </w:pPr>
          </w:p>
        </w:tc>
      </w:tr>
      <w:tr>
        <w:trPr>
          <w:trHeight w:val="136"/>
        </w:trPr>
        <w:tc>
          <w:tcPr>
            <w:tcW w:w="1460" w:type="dxa"/>
            <w:vAlign w:val="bottom"/>
            <w:gridSpan w:val="2"/>
          </w:tcPr>
          <w:p>
            <w:pPr>
              <w:ind w:left="80"/>
              <w:spacing w:after="0"/>
              <w:rPr>
                <w:sz w:val="20"/>
                <w:szCs w:val="20"/>
                <w:color w:val="auto"/>
              </w:rPr>
            </w:pPr>
            <w:r>
              <w:rPr>
                <w:rFonts w:ascii="Arial" w:cs="Arial" w:eastAsia="Arial" w:hAnsi="Arial"/>
                <w:sz w:val="11"/>
                <w:szCs w:val="11"/>
                <w:color w:val="auto"/>
              </w:rPr>
              <w:t>respectively)</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Adoption of new accounting</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standard</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(549)</w:t>
            </w:r>
          </w:p>
        </w:tc>
        <w:tc>
          <w:tcPr>
            <w:tcW w:w="0" w:type="dxa"/>
            <w:vAlign w:val="bottom"/>
          </w:tcPr>
          <w:p>
            <w:pPr>
              <w:spacing w:after="0"/>
              <w:rPr>
                <w:sz w:val="1"/>
                <w:szCs w:val="1"/>
                <w:color w:val="auto"/>
              </w:rPr>
            </w:pPr>
          </w:p>
        </w:tc>
      </w:tr>
      <w:tr>
        <w:trPr>
          <w:trHeight w:val="169"/>
        </w:trPr>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Balance,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9"/>
              </w:rPr>
              <w:t>79,075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4"/>
              </w:rPr>
              <w:t>10,858</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9"/>
              </w:rPr>
              <w:t>1,498,740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7"/>
              </w:rPr>
              <w:t>(29,116)</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6,777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9"/>
              </w:rPr>
              <w:t>1,566,334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9"/>
              </w:rPr>
              <w:t>79,075</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4"/>
              </w:rPr>
              <w:t>10,858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9"/>
              </w:rPr>
              <w:t>1,498,740</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(29,116)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6,777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89"/>
              </w:rPr>
              <w:t>1,566,334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990"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3"/>
                <w:szCs w:val="13"/>
                <w:b w:val="1"/>
                <w:bCs w:val="1"/>
                <w:color w:val="auto"/>
              </w:rPr>
              <w:t>Six Months Ended June 30,</w:t>
            </w:r>
          </w:p>
        </w:tc>
      </w:tr>
      <w:tr>
        <w:trPr>
          <w:trHeight w:val="196"/>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2019</w:t>
            </w:r>
          </w:p>
        </w:tc>
      </w:tr>
      <w:tr>
        <w:trPr>
          <w:trHeight w:val="203"/>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56,980</w:t>
            </w:r>
          </w:p>
        </w:tc>
        <w:tc>
          <w:tcPr>
            <w:tcW w:w="120" w:type="dxa"/>
            <w:vAlign w:val="bottom"/>
          </w:tcPr>
          <w:p>
            <w:pPr>
              <w:spacing w:after="0"/>
              <w:rPr>
                <w:sz w:val="17"/>
                <w:szCs w:val="17"/>
                <w:color w:val="auto"/>
              </w:rPr>
            </w:pPr>
          </w:p>
        </w:tc>
        <w:tc>
          <w:tcPr>
            <w:tcW w:w="280" w:type="dxa"/>
            <w:vAlign w:val="bottom"/>
          </w:tcPr>
          <w:p>
            <w:pPr>
              <w:jc w:val="right"/>
              <w:ind w:right="133"/>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88,347</w:t>
            </w:r>
          </w:p>
        </w:tc>
      </w:tr>
      <w:tr>
        <w:trPr>
          <w:trHeight w:val="209"/>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8640" w:type="dxa"/>
            <w:vAlign w:val="bottom"/>
            <w:gridSpan w:val="2"/>
          </w:tcPr>
          <w:p>
            <w:pPr>
              <w:ind w:left="220"/>
              <w:spacing w:after="0"/>
              <w:rPr>
                <w:sz w:val="20"/>
                <w:szCs w:val="20"/>
                <w:color w:val="auto"/>
              </w:rPr>
            </w:pPr>
            <w:r>
              <w:rPr>
                <w:rFonts w:ascii="Arial" w:cs="Arial" w:eastAsia="Arial" w:hAnsi="Arial"/>
                <w:sz w:val="13"/>
                <w:szCs w:val="13"/>
                <w:color w:val="auto"/>
              </w:rPr>
              <w:t>Depreciation, amortization and accretion</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5,205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12,549</w:t>
            </w:r>
          </w:p>
        </w:tc>
      </w:tr>
      <w:tr>
        <w:trPr>
          <w:trHeight w:val="209"/>
        </w:trPr>
        <w:tc>
          <w:tcPr>
            <w:tcW w:w="8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Provision for credit losses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55,734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6,550</w:t>
            </w:r>
          </w:p>
        </w:tc>
      </w:tr>
      <w:tr>
        <w:trPr>
          <w:trHeight w:val="196"/>
        </w:trPr>
        <w:tc>
          <w:tcPr>
            <w:tcW w:w="8640" w:type="dxa"/>
            <w:vAlign w:val="bottom"/>
            <w:gridSpan w:val="2"/>
          </w:tcPr>
          <w:p>
            <w:pPr>
              <w:ind w:left="220"/>
              <w:spacing w:after="0"/>
              <w:rPr>
                <w:sz w:val="20"/>
                <w:szCs w:val="20"/>
                <w:color w:val="auto"/>
              </w:rPr>
            </w:pPr>
            <w:r>
              <w:rPr>
                <w:rFonts w:ascii="Arial" w:cs="Arial" w:eastAsia="Arial" w:hAnsi="Arial"/>
                <w:sz w:val="13"/>
                <w:szCs w:val="13"/>
                <w:color w:val="auto"/>
              </w:rPr>
              <w:t>Stock based compensation</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4,256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6,002</w:t>
            </w:r>
          </w:p>
        </w:tc>
      </w:tr>
      <w:tr>
        <w:trPr>
          <w:trHeight w:val="209"/>
        </w:trPr>
        <w:tc>
          <w:tcPr>
            <w:tcW w:w="8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Deferred income tax (benefit)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(2,356)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1,341</w:t>
            </w:r>
          </w:p>
        </w:tc>
      </w:tr>
      <w:tr>
        <w:trPr>
          <w:trHeight w:val="196"/>
        </w:trPr>
        <w:tc>
          <w:tcPr>
            <w:tcW w:w="8640" w:type="dxa"/>
            <w:vAlign w:val="bottom"/>
            <w:gridSpan w:val="2"/>
          </w:tcPr>
          <w:p>
            <w:pPr>
              <w:ind w:left="220"/>
              <w:spacing w:after="0"/>
              <w:rPr>
                <w:sz w:val="20"/>
                <w:szCs w:val="20"/>
                <w:color w:val="auto"/>
              </w:rPr>
            </w:pPr>
            <w:r>
              <w:rPr>
                <w:rFonts w:ascii="Arial" w:cs="Arial" w:eastAsia="Arial" w:hAnsi="Arial"/>
                <w:sz w:val="13"/>
                <w:szCs w:val="13"/>
                <w:color w:val="auto"/>
              </w:rPr>
              <w:t>Securities losses, net</w:t>
            </w:r>
          </w:p>
        </w:tc>
        <w:tc>
          <w:tcPr>
            <w:tcW w:w="2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118</w:t>
            </w:r>
          </w:p>
        </w:tc>
      </w:tr>
      <w:tr>
        <w:trPr>
          <w:trHeight w:val="209"/>
        </w:trPr>
        <w:tc>
          <w:tcPr>
            <w:tcW w:w="8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Gains from sales of other loans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(2,773)</w:t>
            </w:r>
          </w:p>
        </w:tc>
      </w:tr>
      <w:tr>
        <w:trPr>
          <w:trHeight w:val="196"/>
        </w:trPr>
        <w:tc>
          <w:tcPr>
            <w:tcW w:w="8640" w:type="dxa"/>
            <w:vAlign w:val="bottom"/>
            <w:gridSpan w:val="2"/>
          </w:tcPr>
          <w:p>
            <w:pPr>
              <w:ind w:left="220"/>
              <w:spacing w:after="0"/>
              <w:rPr>
                <w:sz w:val="20"/>
                <w:szCs w:val="20"/>
                <w:color w:val="auto"/>
              </w:rPr>
            </w:pPr>
            <w:r>
              <w:rPr>
                <w:rFonts w:ascii="Arial" w:cs="Arial" w:eastAsia="Arial" w:hAnsi="Arial"/>
                <w:sz w:val="13"/>
                <w:szCs w:val="13"/>
                <w:color w:val="auto"/>
              </w:rPr>
              <w:t>Changes in assets and liabilities: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8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Other assets and accrued interest receivable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(76,407)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(40,876)</w:t>
            </w:r>
          </w:p>
        </w:tc>
      </w:tr>
      <w:tr>
        <w:trPr>
          <w:trHeight w:val="196"/>
        </w:trPr>
        <w:tc>
          <w:tcPr>
            <w:tcW w:w="8640" w:type="dxa"/>
            <w:vAlign w:val="bottom"/>
            <w:gridSpan w:val="2"/>
          </w:tcPr>
          <w:p>
            <w:pPr>
              <w:ind w:left="340"/>
              <w:spacing w:after="0"/>
              <w:rPr>
                <w:sz w:val="20"/>
                <w:szCs w:val="20"/>
                <w:color w:val="auto"/>
              </w:rPr>
            </w:pPr>
            <w:r>
              <w:rPr>
                <w:rFonts w:ascii="Arial" w:cs="Arial" w:eastAsia="Arial" w:hAnsi="Arial"/>
                <w:sz w:val="13"/>
                <w:szCs w:val="13"/>
                <w:color w:val="auto"/>
              </w:rPr>
              <w:t>Accrued expenses and other liabilities</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15,929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4,787</w:t>
            </w:r>
          </w:p>
        </w:tc>
      </w:tr>
      <w:tr>
        <w:trPr>
          <w:trHeight w:val="209"/>
        </w:trPr>
        <w:tc>
          <w:tcPr>
            <w:tcW w:w="8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Loans held for sale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(40,993)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(27,350)</w:t>
            </w:r>
          </w:p>
        </w:tc>
      </w:tr>
      <w:tr>
        <w:trPr>
          <w:trHeight w:val="190"/>
        </w:trPr>
        <w:tc>
          <w:tcPr>
            <w:tcW w:w="86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15,634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48,695</w:t>
            </w:r>
          </w:p>
        </w:tc>
      </w:tr>
      <w:tr>
        <w:trPr>
          <w:trHeight w:val="148"/>
        </w:trPr>
        <w:tc>
          <w:tcPr>
            <w:tcW w:w="8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96"/>
        </w:trPr>
        <w:tc>
          <w:tcPr>
            <w:tcW w:w="864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Debt securities held-to-maturity: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8640" w:type="dxa"/>
            <w:vAlign w:val="bottom"/>
            <w:gridSpan w:val="2"/>
          </w:tcPr>
          <w:p>
            <w:pPr>
              <w:ind w:left="220"/>
              <w:spacing w:after="0"/>
              <w:rPr>
                <w:sz w:val="20"/>
                <w:szCs w:val="20"/>
                <w:color w:val="auto"/>
              </w:rPr>
            </w:pPr>
            <w:r>
              <w:rPr>
                <w:rFonts w:ascii="Arial" w:cs="Arial" w:eastAsia="Arial" w:hAnsi="Arial"/>
                <w:sz w:val="13"/>
                <w:szCs w:val="13"/>
                <w:color w:val="auto"/>
              </w:rPr>
              <w:t>Proceeds from maturities and calls</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19,889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29,453</w:t>
            </w:r>
          </w:p>
        </w:tc>
      </w:tr>
      <w:tr>
        <w:trPr>
          <w:trHeight w:val="209"/>
        </w:trPr>
        <w:tc>
          <w:tcPr>
            <w:tcW w:w="8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Purchases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(43,118)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(8,499)</w:t>
            </w:r>
          </w:p>
        </w:tc>
      </w:tr>
      <w:tr>
        <w:trPr>
          <w:trHeight w:val="196"/>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Debt securities available-for-sale and equity securities: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8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Proceeds from sales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225,883</w:t>
            </w:r>
          </w:p>
        </w:tc>
      </w:tr>
      <w:tr>
        <w:trPr>
          <w:trHeight w:val="196"/>
        </w:trPr>
        <w:tc>
          <w:tcPr>
            <w:tcW w:w="8640" w:type="dxa"/>
            <w:vAlign w:val="bottom"/>
            <w:gridSpan w:val="2"/>
          </w:tcPr>
          <w:p>
            <w:pPr>
              <w:ind w:left="220"/>
              <w:spacing w:after="0"/>
              <w:rPr>
                <w:sz w:val="20"/>
                <w:szCs w:val="20"/>
                <w:color w:val="auto"/>
              </w:rPr>
            </w:pPr>
            <w:r>
              <w:rPr>
                <w:rFonts w:ascii="Arial" w:cs="Arial" w:eastAsia="Arial" w:hAnsi="Arial"/>
                <w:sz w:val="13"/>
                <w:szCs w:val="13"/>
                <w:color w:val="auto"/>
              </w:rPr>
              <w:t>Proceeds from maturities and calls</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296,744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138,741</w:t>
            </w:r>
          </w:p>
        </w:tc>
      </w:tr>
      <w:tr>
        <w:trPr>
          <w:trHeight w:val="209"/>
        </w:trPr>
        <w:tc>
          <w:tcPr>
            <w:tcW w:w="8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Purchases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(110,481)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(45,629)</w:t>
            </w:r>
          </w:p>
        </w:tc>
      </w:tr>
      <w:tr>
        <w:trPr>
          <w:trHeight w:val="195"/>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Net increase in loans</w:t>
            </w:r>
          </w:p>
        </w:tc>
        <w:tc>
          <w:tcPr>
            <w:tcW w:w="28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(1,306,120)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(242,584)</w:t>
            </w: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sales of premises and equipment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1,028</w:t>
            </w:r>
          </w:p>
        </w:tc>
      </w:tr>
      <w:tr>
        <w:trPr>
          <w:trHeight w:val="195"/>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Purchases of premises and equipment</w:t>
            </w:r>
          </w:p>
        </w:tc>
        <w:tc>
          <w:tcPr>
            <w:tcW w:w="28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(3,655)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(13,879)</w:t>
            </w: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cash paid for acquisition</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(19,545)</w:t>
            </w:r>
          </w:p>
        </w:tc>
      </w:tr>
      <w:tr>
        <w:trPr>
          <w:trHeight w:val="195"/>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Proceeds from sale of other real estate</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278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2,260</w:t>
            </w: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investing activities,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(5,853)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190"/>
        </w:trPr>
        <w:tc>
          <w:tcPr>
            <w:tcW w:w="86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(1,151,214)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67,229</w:t>
            </w:r>
          </w:p>
        </w:tc>
      </w:tr>
      <w:tr>
        <w:trPr>
          <w:trHeight w:val="148"/>
        </w:trPr>
        <w:tc>
          <w:tcPr>
            <w:tcW w:w="8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95"/>
        </w:trPr>
        <w:tc>
          <w:tcPr>
            <w:tcW w:w="864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increase (decrease) in deposits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1,805,016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(154,876)</w:t>
            </w:r>
          </w:p>
        </w:tc>
      </w:tr>
      <w:tr>
        <w:trPr>
          <w:trHeight w:val="195"/>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Net increase in short-term borrowings</w:t>
            </w:r>
          </w:p>
        </w:tc>
        <w:tc>
          <w:tcPr>
            <w:tcW w:w="2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40,000</w:t>
            </w: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Repayment of long-term debt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(19,608)</w:t>
            </w:r>
          </w:p>
        </w:tc>
      </w:tr>
      <w:tr>
        <w:trPr>
          <w:trHeight w:val="195"/>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Proceeds from FHLB advances</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5,000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1,365,000</w:t>
            </w: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Repayment of FHLB advances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(1,365,000)</w:t>
            </w:r>
          </w:p>
        </w:tc>
      </w:tr>
      <w:tr>
        <w:trPr>
          <w:trHeight w:val="195"/>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Proceeds from issuance of senior debentures, net of issuance costs</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98,638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issuance of common stock for dividend reinvestment and employee benefit plans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1,091</w:t>
            </w:r>
          </w:p>
        </w:tc>
      </w:tr>
      <w:tr>
        <w:trPr>
          <w:trHeight w:val="195"/>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Proceeds from exercise of stock options</w:t>
            </w:r>
          </w:p>
        </w:tc>
        <w:tc>
          <w:tcPr>
            <w:tcW w:w="2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197</w:t>
            </w: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paid for shares withheld to cover payroll taxes upon vesting of restricted stock units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(1,868)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(631)</w:t>
            </w:r>
          </w:p>
        </w:tc>
      </w:tr>
      <w:tr>
        <w:trPr>
          <w:trHeight w:val="195"/>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Proceeds from issuance of Series I preferred stock, net of issuance costs</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96,660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10"/>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Repurchase of common stock</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(20,782)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(7,840)</w:t>
            </w:r>
          </w:p>
        </w:tc>
      </w:tr>
      <w:tr>
        <w:trPr>
          <w:trHeight w:val="196"/>
        </w:trPr>
        <w:tc>
          <w:tcPr>
            <w:tcW w:w="8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Cash dividends on common stock</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(28,755)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(25,743)</w:t>
            </w:r>
          </w:p>
        </w:tc>
      </w:tr>
      <w:tr>
        <w:trPr>
          <w:trHeight w:val="196"/>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1,949,335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(167,410)</w:t>
            </w:r>
          </w:p>
        </w:tc>
      </w:tr>
      <w:tr>
        <w:trPr>
          <w:trHeight w:val="149"/>
        </w:trPr>
        <w:tc>
          <w:tcPr>
            <w:tcW w:w="8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03"/>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change in cash and cash equivalents, including restricted cash</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813,755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(51,486)</w:t>
            </w:r>
          </w:p>
        </w:tc>
      </w:tr>
      <w:tr>
        <w:trPr>
          <w:trHeight w:val="162"/>
        </w:trPr>
        <w:tc>
          <w:tcPr>
            <w:tcW w:w="8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86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and cash equivalents, including restricted cash, at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515,206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327,265</w:t>
            </w:r>
          </w:p>
        </w:tc>
      </w:tr>
      <w:tr>
        <w:trPr>
          <w:trHeight w:val="148"/>
        </w:trPr>
        <w:tc>
          <w:tcPr>
            <w:tcW w:w="8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8"/>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including restricted cash, at end of period</w:t>
            </w: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1,328,961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275,779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03"/>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6"/>
        </w:trPr>
        <w:tc>
          <w:tcPr>
            <w:tcW w:w="8640" w:type="dxa"/>
            <w:vAlign w:val="bottom"/>
            <w:gridSpan w:val="2"/>
          </w:tcPr>
          <w:p>
            <w:pPr>
              <w:ind w:left="120"/>
              <w:spacing w:after="0"/>
              <w:rPr>
                <w:sz w:val="20"/>
                <w:szCs w:val="20"/>
                <w:color w:val="auto"/>
              </w:rPr>
            </w:pPr>
            <w:r>
              <w:rPr>
                <w:rFonts w:ascii="Arial" w:cs="Arial" w:eastAsia="Arial" w:hAnsi="Arial"/>
                <w:sz w:val="13"/>
                <w:szCs w:val="13"/>
                <w:color w:val="auto"/>
              </w:rPr>
              <w:t>Significant non-cash investing and financing transactions: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8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Unsettled government guaranteed loan sales</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15,331</w:t>
            </w:r>
          </w:p>
        </w:tc>
      </w:tr>
      <w:tr>
        <w:trPr>
          <w:trHeight w:val="196"/>
        </w:trPr>
        <w:tc>
          <w:tcPr>
            <w:tcW w:w="8640" w:type="dxa"/>
            <w:vAlign w:val="bottom"/>
            <w:gridSpan w:val="2"/>
          </w:tcPr>
          <w:p>
            <w:pPr>
              <w:ind w:left="220"/>
              <w:spacing w:after="0"/>
              <w:rPr>
                <w:sz w:val="20"/>
                <w:szCs w:val="20"/>
                <w:color w:val="auto"/>
              </w:rPr>
            </w:pPr>
            <w:r>
              <w:rPr>
                <w:rFonts w:ascii="Arial" w:cs="Arial" w:eastAsia="Arial" w:hAnsi="Arial"/>
                <w:sz w:val="13"/>
                <w:szCs w:val="13"/>
                <w:color w:val="auto"/>
              </w:rPr>
              <w:t>Transfers of loans to foreclosed properties</w:t>
            </w:r>
          </w:p>
        </w:tc>
        <w:tc>
          <w:tcPr>
            <w:tcW w:w="280" w:type="dxa"/>
            <w:vAlign w:val="bottom"/>
          </w:tcPr>
          <w:p>
            <w:pPr>
              <w:spacing w:after="0"/>
              <w:rPr>
                <w:sz w:val="17"/>
                <w:szCs w:val="17"/>
                <w:color w:val="auto"/>
              </w:rPr>
            </w:pPr>
          </w:p>
        </w:tc>
        <w:tc>
          <w:tcPr>
            <w:tcW w:w="940" w:type="dxa"/>
            <w:vAlign w:val="bottom"/>
          </w:tcPr>
          <w:p>
            <w:pPr>
              <w:jc w:val="right"/>
              <w:ind w:right="73"/>
              <w:spacing w:after="0"/>
              <w:rPr>
                <w:sz w:val="20"/>
                <w:szCs w:val="20"/>
                <w:color w:val="auto"/>
              </w:rPr>
            </w:pPr>
            <w:r>
              <w:rPr>
                <w:rFonts w:ascii="Arial" w:cs="Arial" w:eastAsia="Arial" w:hAnsi="Arial"/>
                <w:sz w:val="13"/>
                <w:szCs w:val="13"/>
                <w:color w:val="auto"/>
              </w:rPr>
              <w:t>355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751</w:t>
            </w:r>
          </w:p>
        </w:tc>
      </w:tr>
      <w:tr>
        <w:trPr>
          <w:trHeight w:val="209"/>
        </w:trPr>
        <w:tc>
          <w:tcPr>
            <w:tcW w:w="86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Acquisitions: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8640" w:type="dxa"/>
            <w:vAlign w:val="bottom"/>
            <w:gridSpan w:val="2"/>
          </w:tcPr>
          <w:p>
            <w:pPr>
              <w:ind w:left="340"/>
              <w:spacing w:after="0"/>
              <w:rPr>
                <w:sz w:val="20"/>
                <w:szCs w:val="20"/>
                <w:color w:val="auto"/>
              </w:rPr>
            </w:pPr>
            <w:r>
              <w:rPr>
                <w:rFonts w:ascii="Arial" w:cs="Arial" w:eastAsia="Arial" w:hAnsi="Arial"/>
                <w:sz w:val="13"/>
                <w:szCs w:val="13"/>
                <w:color w:val="auto"/>
              </w:rPr>
              <w:t>Assets acquired</w:t>
            </w:r>
          </w:p>
        </w:tc>
        <w:tc>
          <w:tcPr>
            <w:tcW w:w="2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7"/>
                <w:szCs w:val="17"/>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264,937</w:t>
            </w:r>
          </w:p>
        </w:tc>
      </w:tr>
      <w:tr>
        <w:trPr>
          <w:trHeight w:val="209"/>
        </w:trPr>
        <w:tc>
          <w:tcPr>
            <w:tcW w:w="8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Liabilities assumed</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212,844</w:t>
            </w:r>
          </w:p>
        </w:tc>
      </w:tr>
      <w:tr>
        <w:trPr>
          <w:trHeight w:val="189"/>
        </w:trPr>
        <w:tc>
          <w:tcPr>
            <w:tcW w:w="8640" w:type="dxa"/>
            <w:vAlign w:val="bottom"/>
            <w:gridSpan w:val="2"/>
          </w:tcPr>
          <w:p>
            <w:pPr>
              <w:ind w:left="340"/>
              <w:spacing w:after="0"/>
              <w:rPr>
                <w:sz w:val="20"/>
                <w:szCs w:val="20"/>
                <w:color w:val="auto"/>
              </w:rPr>
            </w:pPr>
            <w:r>
              <w:rPr>
                <w:rFonts w:ascii="Arial" w:cs="Arial" w:eastAsia="Arial" w:hAnsi="Arial"/>
                <w:sz w:val="13"/>
                <w:szCs w:val="13"/>
                <w:color w:val="auto"/>
              </w:rPr>
              <w:t>Net assets acquired</w:t>
            </w:r>
          </w:p>
        </w:tc>
        <w:tc>
          <w:tcPr>
            <w:tcW w:w="2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6"/>
                <w:szCs w:val="16"/>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52,093</w:t>
            </w:r>
          </w:p>
        </w:tc>
      </w:tr>
    </w:tbl>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20"/>
          </w:cols>
          <w:pgMar w:left="320" w:top="985" w:right="359" w:bottom="1027"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027"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and its subsidiaries (collectively referred to herein as “United”) conform to accounting principles generally accepted in the United States (“GAAP”) and reporting guidelines of banking regulatory authorities. The accompanying interim consolidated financial statements have not been audited. All material intercompany balances and transactions have been eliminated. In addition to those items mentioned below, a more detailed description of United’s accounting policies is included in its Annual Report on Form 10-K for the year ended December 31, 2019 (the “2019 10-K”).</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2019 10-K. Certain amounts reported in prior periods' consolidated financial statements have been reclassified to conform to the current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Securities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Debt securities are classified as held-to-maturity and carried at amortized cost when management has the positive intent and ability to hold them to maturity. Debt securities are classified as available-for-sale when they might be sold before maturity. Securities available-for-sale are carried at fair value, with unrealized holding gains and losses reported in other comprehensive income, net of tax.</w:t>
      </w:r>
    </w:p>
    <w:p>
      <w:pPr>
        <w:spacing w:after="0" w:line="2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income includes amortization of purchase premiums or discounts. Premiums and discounts on securities are generally amortized on the level-yield method without anticipating prepayments, except for mortgage-backed securities where prepayments are anticipated. Premiums on callable debt securities are amortized to their earliest call date. Gains and losses on sales are recorded on the trade date and determined using the specific identification method.</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Transfers of securities between categories are recorded at fair value at the date of transfer. Unrealized holding gains or losses associated with transfers of securities from available-for-sale to held-to-maturity are included in the balance of accumulated other comprehensive income in the consolidated balance sheets.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debt security is placed on nonaccrual status at the time any principal or interest payments become 90 days delinquent. Interest accrued but not received for a security placed on non-accrual is reversed against interest income.</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Allowance for Credit Losses (“ACL”) - Held-to-Maturity Securities: </w:t>
      </w:r>
      <w:r>
        <w:rPr>
          <w:rFonts w:ascii="Arial" w:cs="Arial" w:eastAsia="Arial" w:hAnsi="Arial"/>
          <w:sz w:val="18"/>
          <w:szCs w:val="18"/>
          <w:color w:val="auto"/>
        </w:rPr>
        <w:t>Management measures expected credit losses on held-to-maturity debt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on a collective basis by major security type. Accrued interest receivable on held-to-maturity debt securities totaled $1.00 million at June 30, 2020 and was excluded from the estimate of credit losses.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 of expected credit losses considers historical credit loss information that is adjusted for current conditions and reasonable and supportable forecasts. Management classifies the held-to-maturity portfolio into the following major security types: State and political subdivisions, residential mortgage-backed, agency and commercial mortgage-backed, agency.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residential and commercial mortgage-backed securities held by United are issued by U.S. government agencies. These securities are either explicitly or implicitly guaranteed by the U.S. government, are highly rated by major rating agencies and have a long history of no credit losses. The state and political subdivision securities are highly rated by major rating agencies. As a result, no ACL was recorded on the held-to-maturity portfolio at June 30, 2020.</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ACL - Available-For-Sale Securities: </w:t>
      </w:r>
      <w:r>
        <w:rPr>
          <w:rFonts w:ascii="Arial" w:cs="Arial" w:eastAsia="Arial" w:hAnsi="Arial"/>
          <w:sz w:val="17"/>
          <w:szCs w:val="17"/>
          <w:color w:val="auto"/>
        </w:rPr>
        <w:t>For available-for-sale debt securities in an unrealized loss position, United first assesses whether it intends to sell,</w:t>
      </w:r>
      <w:r>
        <w:rPr>
          <w:rFonts w:ascii="Arial" w:cs="Arial" w:eastAsia="Arial" w:hAnsi="Arial"/>
          <w:sz w:val="17"/>
          <w:szCs w:val="17"/>
          <w:b w:val="1"/>
          <w:bCs w:val="1"/>
          <w:color w:val="auto"/>
        </w:rPr>
        <w:t xml:space="preserve"> </w:t>
      </w:r>
      <w:r>
        <w:rPr>
          <w:rFonts w:ascii="Arial" w:cs="Arial" w:eastAsia="Arial" w:hAnsi="Arial"/>
          <w:sz w:val="17"/>
          <w:szCs w:val="17"/>
          <w:color w:val="auto"/>
        </w:rPr>
        <w:t>or whether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United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loss, limited by the amount that the fair value is less than the amortized cost basis. Any amount of unrealized loss that has not been recorded through an ACL is recognized in other comprehensive income.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ACL are recorded as provision for (or reversal of) credit loss expense. Losses are charged against the ACL when management believes the uncollectibility of an available-for-sale security is confirmed or when either of the criteria regarding intent or requirement to sell is met. At June 30, 2020, there was no ACL related to the available-for-sale portfolio.</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Accrued interest receivable on available-for-sale debt securities totaled $7.72 million at June 30, 2020 and was excluded from the estimate of credit losses.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and Leases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and deferred fees and costs. Accrued interest receivable related to loans totaled $28.0 million at June 30, 2020 and was reported in accrued interest receivable on the consolidated balance sheets. Interest income is accrued on the unpaid principal balance. Loan origination fees, net of certain direct origination costs, are deferred and recognized in interest income using methods that approximate a level yield without anticipating prepayments.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accrual of interest is discontinued when a loan becomes 90 days past due and is not well collateralized and in the process of collection, or when management believes, after considering economic and business conditions and collection efforts, that the principal or interest will not be collectible in the normal course of business. Past due status is based on contractual terms of the loan.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interest accrued but not received for loans placed on nonaccrual is reversed against interest income. Interest received on such loans is accounted for on the cost-recovery method, until qualifying for return to accrual. Under the cost-recovery method, interest income is not recognized until the loan balance is reduced to zero. Loans are returned to accrual status when all the principal and interest amounts contractually due are brought current, there is a sustained period of repayment performance and future payments are reasonably assured.</w:t>
      </w:r>
    </w:p>
    <w:p>
      <w:pPr>
        <w:spacing w:after="0" w:line="1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Equipment Financing Lease Receivables: </w:t>
      </w:r>
      <w:r>
        <w:rPr>
          <w:rFonts w:ascii="Arial" w:cs="Arial" w:eastAsia="Arial" w:hAnsi="Arial"/>
          <w:sz w:val="17"/>
          <w:szCs w:val="17"/>
          <w:color w:val="auto"/>
        </w:rPr>
        <w:t>Equipment financing lease receivables, which are classified as sales-type or direct financing leases, are</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the sum of the future minimum lease payments, initial deferred costs and estimated or contractual residual values less unearned income and security deposits. The determination of residual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which is included in loan interest revenue in the consolidated statements of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 These lease agreements may include options to renew and for the lessee to purchase the leased equipment at the end of the lease term. United excludes sales taxes from consideration in these lease contracts.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Purchased Credit Deteriorated (“PCD”) Loans: </w:t>
      </w:r>
      <w:r>
        <w:rPr>
          <w:rFonts w:ascii="Arial" w:cs="Arial" w:eastAsia="Arial" w:hAnsi="Arial"/>
          <w:sz w:val="18"/>
          <w:szCs w:val="18"/>
          <w:color w:val="auto"/>
        </w:rPr>
        <w:t>Upon adoption of Accounting Standards Codification (“ASC”) Topic 326, Financial Instruments -</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Losses (“ASC 326”), loans that were designated as purchased credit impaired (“PCI”) loans under the previous accounting guidance were classified as PCD loans without reassessment.</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future acquisitions, United may purchase loans, some of which have experienced more than insignificant credit deterioration since origination. In those cases, United will consider internal loan grades, delinquency status and other relevant factors in assessing whether purchased loans are PCD. PCD loans are recorded at the amount paid. An initial ACL is determined using the same methodology as other loans held for investment, but with no impact to earnings. The initial ACL determined on a collective basis is allocated to individual loans. The sum of the loan's purchase price and ACL becomes its initial amortized cost basis.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ACL - Loans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ACL is a valuation account that is deducted from the loans' amortized cost basis to present the net amount expected to be collected on the loans. Loans are charged off against the ACL when management believes the uncollectibility of a loan balance is confirmed. Expected recoveries do not exceed the aggregate of amounts previously charged-off and expected to be charged-off. Accrued interest receivable is excluded from the estimate of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determines the ACL balance using relevant available information, from internal and external sources, relating to past events, current conditions, and reasonable and supportable forecasts. Historical credit behaviors along with model judgments provide the basis for the estimation of expected credit losses. Adjustments to modeled loss estimates may be made for differences in current loan-specific risk characteristics such as differences in underwriting standards, portfolio mix, delinquency level, or term as well as for changes in environmental conditions, such as changes in economic conditions, property values, or other relevant factors.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is measured on a collective basis when similar risk characteristics exist. United has identified the following portfolio segments and calculates the ACL for each using a discounted cash flow methodology at the loan level, with loss rates, prepayment assumptions and curtailment assumptions driven by each loan’s collateral type: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Owner occupied commercial real estate - </w:t>
      </w:r>
      <w:r>
        <w:rPr>
          <w:rFonts w:ascii="Arial" w:cs="Arial" w:eastAsia="Arial" w:hAnsi="Arial"/>
          <w:sz w:val="18"/>
          <w:szCs w:val="18"/>
          <w:color w:val="auto"/>
        </w:rPr>
        <w:t>Loans in this category are susceptible to business failure and general economic conditions.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 declines in occupancy rates, and lack of suitable alternative use for the property.</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Commercial &amp; industrial - </w:t>
      </w:r>
      <w:r>
        <w:rPr>
          <w:rFonts w:ascii="Arial" w:cs="Arial" w:eastAsia="Arial" w:hAnsi="Arial"/>
          <w:sz w:val="18"/>
          <w:szCs w:val="18"/>
          <w:color w:val="auto"/>
        </w:rPr>
        <w:t>Risks to this loan category include the inability to monitor the condition of the collateral which often consists of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and other non-real estate assets. Equipment and inventory obsolescence can also pose a risk. Declines in general economic conditions and other events can cause cash flows to fall to levels insufficient to service debt.</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Commercial construction - </w:t>
      </w:r>
      <w:r>
        <w:rPr>
          <w:rFonts w:ascii="Arial" w:cs="Arial" w:eastAsia="Arial" w:hAnsi="Arial"/>
          <w:sz w:val="18"/>
          <w:szCs w:val="18"/>
          <w:color w:val="auto"/>
        </w:rPr>
        <w:t>Risks common to commercial construction loans are cost overruns, changes in market demand for property, inadequate long-term financing arrangements and declines in real estate values.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Equipment financing - </w:t>
      </w:r>
      <w:r>
        <w:rPr>
          <w:rFonts w:ascii="Arial" w:cs="Arial" w:eastAsia="Arial" w:hAnsi="Arial"/>
          <w:sz w:val="17"/>
          <w:szCs w:val="17"/>
          <w:color w:val="auto"/>
        </w:rPr>
        <w:t>Risks associated with equipment financing are similar to those described for commercial and industrial loans, including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conditions, as well as appropriate lien priority on equipment, equipment obsolescence and the general mobility of the collateral.</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Residential mortgage - </w:t>
      </w:r>
      <w:r>
        <w:rPr>
          <w:rFonts w:ascii="Arial" w:cs="Arial" w:eastAsia="Arial" w:hAnsi="Arial"/>
          <w:sz w:val="18"/>
          <w:szCs w:val="18"/>
          <w:color w:val="auto"/>
        </w:rPr>
        <w:t>Residential mortgage loans are susceptible to weakening general economic conditions, increases in unemployment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real estate values.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Home equity lines of credit - </w:t>
      </w:r>
      <w:r>
        <w:rPr>
          <w:rFonts w:ascii="Arial" w:cs="Arial" w:eastAsia="Arial" w:hAnsi="Arial"/>
          <w:sz w:val="18"/>
          <w:szCs w:val="18"/>
          <w:color w:val="auto"/>
        </w:rPr>
        <w:t>Risks common to home equity lines of credit are general economic conditions, including an increase in unemployment rates,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declining real estate values which reduce or eliminate the borrower’s home equity.</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Residential construction - </w:t>
      </w:r>
      <w:r>
        <w:rPr>
          <w:rFonts w:ascii="Arial" w:cs="Arial" w:eastAsia="Arial" w:hAnsi="Arial"/>
          <w:sz w:val="18"/>
          <w:szCs w:val="18"/>
          <w:color w:val="auto"/>
        </w:rPr>
        <w:t>Residential construction loans are susceptible to the same risks as residential mortgage loans. Changes in market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lead to longer marketing times resulting in higher carrying costs and declining values.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Consumer - </w:t>
      </w:r>
      <w:r>
        <w:rPr>
          <w:rFonts w:ascii="Arial" w:cs="Arial" w:eastAsia="Arial" w:hAnsi="Arial"/>
          <w:sz w:val="18"/>
          <w:szCs w:val="18"/>
          <w:color w:val="auto"/>
        </w:rPr>
        <w:t>Risks common to consumer direct loans include unemployment and changes in local economic conditions as well as the inability to monitor</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consisting of personal property.</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management determines that foreclosure is probable or when the borrower is experiencing financial difficulty at the reporting date and repayment is expected to be provided substantially through the operation or sale of the collateral, expected credit losses are based on the fair value of the collateral at the reporting date, adjusted for selling costs as appropriate.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discounted cash flow method is used to determine the ACL, management adjusts the effective interest rate used to discount expected cash flows to incorporate expected prepayments.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Determining the Contractual Term: </w:t>
      </w:r>
      <w:r>
        <w:rPr>
          <w:rFonts w:ascii="Arial" w:cs="Arial" w:eastAsia="Arial" w:hAnsi="Arial"/>
          <w:sz w:val="17"/>
          <w:szCs w:val="17"/>
          <w:color w:val="auto"/>
        </w:rPr>
        <w:t>Expected credit losses are estimated over the contractual term of the loans, adjusted for expected prepayments when</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The contractual term excludes expected extensions, renewals, and modifications unless either of the following applies: management has a reasonable expectation at the reporting date that a troubled debt restructuring will be executed with an individual borrower or the extension or renewal options are included in the original or modified contract at the reporting date and are not unconditionally cancellable by United.</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Troubled Debt Restructurings (“TDR”s): </w:t>
      </w:r>
      <w:r>
        <w:rPr>
          <w:rFonts w:ascii="Arial" w:cs="Arial" w:eastAsia="Arial" w:hAnsi="Arial"/>
          <w:sz w:val="16"/>
          <w:szCs w:val="16"/>
          <w:color w:val="auto"/>
        </w:rPr>
        <w:t>A loan for which the terms have been modified resulting in a more than insignificant concession, and for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is experiencing financial difficulties, is generally considered to be a TDR. The ACL on a TDR is measured using the same method as all other loans held for investment, except that the original interest rate is used to discount the expected cash flows, not the rate specified within the restructuring. As discussed in Note 2, in accordance with the Coronavirus Aid, Relief, and Economic Security Act (“CARES Act”), United implemented loan modification programs in response to the COVID-19 pandemic in order to provide borrowers with flexibility with respect to repayment terms. These loan modifications were not considered TDRs to the extent that the borrower was impacted by the COVID-19 pandemic and was not more than 30 days past due at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December 31, 2019, or in certain circumstances, at the time that the COVID-19 loan modification program was implemented, unless the loan was previously classified as a TDR.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ACL - Off-Balance Sheet Credit Exposures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estimates expected credit losses on commitments to extend credit over the contractual period during which United is exposed to credit risk on the underlying commitments. The ACL on off-balance sheet credit exposures is adjusted as a provision for credit loss expense. The estimate includes consideration of the likelihood that funding will occur and an estimate of expected credit losses on commitments expected to be funded over its estimated life. The ACL is calculated using the same aggregate reserve rates calculated for the funded portion of loans at the portfolio level applied to the amount of commitments expected to fund.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1, 2020, United adopted ASC 326</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replaced the incurred loss impairment framework in prior GAAP with a current expected credit loss (“CECL”) framework, which requires an estimate of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ACL. PCD loans will receive an initial allowance at the acquisition date that represents an adjustment to the amortized cost basis of the loan, with no impact to earnings. Credit losses relating to available-for-sale debt securities will be recorded through an ACL prospectively, with such allowance limited to the amount by which fair value is below amortized cost.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 adopted ASC 326 as of January 1, 2020 using the modified retrospective method for loans, leases and off-balance sheet credit exposures. Adoption of this guidance resulted in an $8.75 million increase in the ACL, comprised of increases in the ACL for loans of $6.88 million and the ACL for unfunded commitments of $1.87 million, with $3.59 million of the increase reclassified from the amortized cost basis of PCD financial assets that were previously classified as PCI. The cumulative effect adjustment to retained earnings was $3.53 million, net of tax. Calculated credit losses on held-to-maturity debt securities were not material and there was no impact to the available-for-sale securities portfolio or other financial instruments. Results for reporting periods beginning after January 1, 2020 are presented under ASC 326 while prior period amounts continue to be reported in accordance with previously applicable GAAP (“Incurred Loss”).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ACL for the majority of loans and leases was calculated using a discounted cash flow methodology applied at a loan level with a one-year reasonable and supportable forecast period and a two-year straight-line reversion period. In connection with the adoption, management has implemented changes to relevant systems, processes and controls where necessary. Model validation was completed during the fourth quarter of 2019 and implementation of the accounting, reporting and governance processes to comply with the new guidance was completed in the first quarter of 2020. United’s CECL allowance will fluctuate over time due to macroeconomic conditions and forecasts as well as the size and composition of the loan portfolios. United has adopted the relief provided by federal banking regulatory agencies for the delay of the adverse capital impact of CECL at adoption and during the subsequent two-year period following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adopted ASC 326 using the prospective transition approach for PCD assets that were previously classified as PCI. In accordance with the standard, management did not reassess whether PCI assets met the criteria of PCD assets as of the date of adoption. As mentioned above, the amortized cost basis of the PCD assets was adjusted to reflect the addition of $3.59 million of the ACL. The remaining noncredit discount (based on the adjusted amortized cost basis) will be accreted into interest income at a rate that approximates the effective interest rate as of January 1, 2020.</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regard to PCD assets, because United elected to disaggregate the former PCI pools and no longer considers these pools to be the unit of account, contractually delinquent PCD loans will be reported as nonaccrual loans using the same criteria as other loans. Similarly, although management did not reassess whether modifications to individual acquired financial assets accounted for in pools were TDRs as of the date of adoption, PCD loans that are restructured and meet the definition of troubled debt restructurings after the adoption of CECL will be reported as such.</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elected not to measure an allowance for credit losses for accrued interest receivable and instead to reverse interest income on those loans that are 90 days past due, to exclude accrued interest receivable from the amortized cost basis of financial instruments subject to CECL and to separately state the balance of accrued interest receivable on the consolidated balance sheet. In addition,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elected to adjust the discount rate used to calculate credit losses for expected prepayments and will include all changes in discounted cash flows as credit loss. As a practical expedient, United has also elected to use the fair value of collateral when determining the ACL for loans if repayment is expected to be provided substantially through the operation or sale of the collateral when the borrower is experiencing financial difficulty (collateral-dependent loans).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27, 2020, the CARES Act was signed into law. The CARES Act included a number of provisions that were applicable to United, including the following:</w:t>
      </w:r>
    </w:p>
    <w:p>
      <w:pPr>
        <w:spacing w:after="0" w:line="193" w:lineRule="exact"/>
        <w:rPr>
          <w:sz w:val="20"/>
          <w:szCs w:val="20"/>
          <w:color w:val="auto"/>
        </w:rPr>
      </w:pPr>
    </w:p>
    <w:p>
      <w:pPr>
        <w:ind w:left="660" w:right="3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Accounting Relief for TDRs</w:t>
      </w:r>
      <w:r>
        <w:rPr>
          <w:rFonts w:ascii="Arial" w:cs="Arial" w:eastAsia="Arial" w:hAnsi="Arial"/>
          <w:sz w:val="18"/>
          <w:szCs w:val="18"/>
          <w:b w:val="1"/>
          <w:bCs w:val="1"/>
          <w:color w:val="auto"/>
        </w:rPr>
        <w:t>:</w:t>
      </w:r>
      <w:r>
        <w:rPr>
          <w:rFonts w:ascii="Arial" w:cs="Arial" w:eastAsia="Arial" w:hAnsi="Arial"/>
          <w:sz w:val="18"/>
          <w:szCs w:val="18"/>
          <w:color w:val="auto"/>
        </w:rPr>
        <w:t xml:space="preserve"> The CARES Act provided that modifications under certain forbearance conditions for loans that were not more than 30 days past due at December 31, 2019 will not be considered TDRs for regulatory reporting and GAAP.</w:t>
      </w:r>
    </w:p>
    <w:p>
      <w:pPr>
        <w:jc w:val="both"/>
        <w:ind w:left="660" w:right="320" w:hanging="328"/>
        <w:spacing w:after="0" w:line="28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Optional Delay and Regulatory Relief for CECL Implementation: The CARES Act stipulated that large SEC filers have the option of delaying the adoption of CECL from January 1, 2020 to the earlier of the end of the COVID-19 emergency period or December 31, 2020. Banks that were required to implement CECL by the end of 2020 were granted the option to defer any impact of CECL on regulatory capital for two years before beginning the original three-year regulatory phase-in period, for a total five-year phase-in period. Although United did not elect to delay the adoption of CECL, the Company did elect the five-year phase-in period for regulatory capital purposes, as discussed above.</w:t>
      </w:r>
    </w:p>
    <w:p>
      <w:pPr>
        <w:spacing w:after="0" w:line="2" w:lineRule="exact"/>
        <w:rPr>
          <w:rFonts w:ascii="Arial" w:cs="Arial" w:eastAsia="Arial" w:hAnsi="Arial"/>
          <w:sz w:val="16"/>
          <w:szCs w:val="16"/>
          <w:color w:val="auto"/>
        </w:rPr>
      </w:pPr>
    </w:p>
    <w:p>
      <w:pPr>
        <w:jc w:val="both"/>
        <w:ind w:left="660" w:right="340" w:hanging="328"/>
        <w:spacing w:after="0" w:line="277"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Paycheck Protection Program (“PPP”): The CARES Act created the PPP through the Small Business Administration (“SBA”), which allowed United to lend money to small businesses to maintain employee payrolls through the crisis with guarantees from the SBA. Under this program, loan amounts may be forgiven if the borrower maintains employee payrolls or restores payrolls afterwards.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2020, the Financial Accounting Standards Board (“FASB”) issued Accounting Standards Update (“ASU”) No. 2020-03,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Financial Instruments</w:t>
      </w:r>
      <w:r>
        <w:rPr>
          <w:rFonts w:ascii="Arial" w:cs="Arial" w:eastAsia="Arial" w:hAnsi="Arial"/>
          <w:sz w:val="18"/>
          <w:szCs w:val="18"/>
          <w:color w:val="auto"/>
        </w:rPr>
        <w:t>. This update clarified certain minor issues within the codification, including, among other things,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for financial institutions and determination of the contractual term of a net investment in a lease. The standard was effective immediately, and did not have a material impact on the consolidated financial statements.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This update provides expedients for contracts that are modified because of reference rate reform, including receivables, debt, leases,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In addition, the update provides a one-time election to sell or transfer debt securities classified as held-to-maturity that reference a rate that is affected by reference rate reform. The update is effective as of March 12, 2020 through December 31, 2022. Adoption of this update did not have a material impact on the consolidated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2019, the FASB issued ASU No. 2019-04, </w:t>
      </w:r>
      <w:r>
        <w:rPr>
          <w:rFonts w:ascii="Arial" w:cs="Arial" w:eastAsia="Arial" w:hAnsi="Arial"/>
          <w:sz w:val="18"/>
          <w:szCs w:val="18"/>
          <w:i w:val="1"/>
          <w:iCs w:val="1"/>
          <w:color w:val="auto"/>
        </w:rPr>
        <w:t>Codification Improvements to Topic 326, Financial Instruments - Credit Losses, Topic 815,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and Topic 825 Financial Instruments</w:t>
      </w:r>
      <w:r>
        <w:rPr>
          <w:rFonts w:ascii="Arial" w:cs="Arial" w:eastAsia="Arial" w:hAnsi="Arial"/>
          <w:sz w:val="18"/>
          <w:szCs w:val="18"/>
          <w:color w:val="auto"/>
        </w:rPr>
        <w:t>. In addition to amending guidance related to the new CECL standard, this update clarifies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hedge accounting and recognition and measurement of financial instruments. United adopted this update as of January 1, 2020, with no material impact on the consolidated financial statements.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eliminates Step 2 from the goodwill impairment test, which required an entity to calculate the implied fair value of goodwill by valuing a reporting unit’s assets and liabilities using the same process that would be required to value assets and liabilities in a business combination. Instead, the amendments require that an entity perform its annual goodwill impairment test by comparing the fair value of a reporting unit with its carrying amount. United adopted this update as of January 1, 2020, with no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amortized cost basis, unrealized gains and losses and fair value of debt securities held-to-maturity as of the dates indicated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Amortized</w:t>
            </w: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40" w:type="dxa"/>
            <w:vAlign w:val="bottom"/>
          </w:tcPr>
          <w:p>
            <w:pPr>
              <w:spacing w:after="0"/>
              <w:rPr>
                <w:sz w:val="17"/>
                <w:szCs w:val="17"/>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Fair</w:t>
            </w:r>
          </w:p>
        </w:tc>
      </w:tr>
      <w:tr>
        <w:trPr>
          <w:trHeight w:val="210"/>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Value</w:t>
            </w:r>
          </w:p>
        </w:tc>
      </w:tr>
      <w:tr>
        <w:trPr>
          <w:trHeight w:val="3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2020</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196"/>
        </w:trPr>
        <w:tc>
          <w:tcPr>
            <w:tcW w:w="44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7"/>
        </w:trPr>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87,840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92,127</w:t>
            </w:r>
          </w:p>
        </w:tc>
      </w:tr>
      <w:tr>
        <w:trPr>
          <w:trHeight w:val="224"/>
        </w:trPr>
        <w:tc>
          <w:tcPr>
            <w:tcW w:w="4400" w:type="dxa"/>
            <w:vAlign w:val="bottom"/>
          </w:tcPr>
          <w:p>
            <w:pPr>
              <w:ind w:left="120"/>
              <w:spacing w:after="0"/>
              <w:rPr>
                <w:sz w:val="20"/>
                <w:szCs w:val="20"/>
                <w:color w:val="auto"/>
              </w:rPr>
            </w:pPr>
            <w:r>
              <w:rPr>
                <w:rFonts w:ascii="Arial" w:cs="Arial" w:eastAsia="Arial" w:hAnsi="Arial"/>
                <w:sz w:val="16"/>
                <w:szCs w:val="16"/>
                <w:color w:val="auto"/>
              </w:rPr>
              <w:t>Residential mortgage-backed securities, Agency</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137,416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143,467</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Residential mortgage-backed securities, Non-agency</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15,491</w:t>
            </w:r>
          </w:p>
        </w:tc>
      </w:tr>
      <w:tr>
        <w:trPr>
          <w:trHeight w:val="223"/>
        </w:trPr>
        <w:tc>
          <w:tcPr>
            <w:tcW w:w="4400" w:type="dxa"/>
            <w:vAlign w:val="bottom"/>
          </w:tcPr>
          <w:p>
            <w:pPr>
              <w:ind w:left="120"/>
              <w:spacing w:after="0"/>
              <w:rPr>
                <w:sz w:val="20"/>
                <w:szCs w:val="20"/>
                <w:color w:val="auto"/>
              </w:rPr>
            </w:pPr>
            <w:r>
              <w:rPr>
                <w:rFonts w:ascii="Arial" w:cs="Arial" w:eastAsia="Arial" w:hAnsi="Arial"/>
                <w:sz w:val="16"/>
                <w:szCs w:val="16"/>
                <w:color w:val="auto"/>
              </w:rPr>
              <w:t>Commercial mortgage-backed, Agency</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66,161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3,007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69,168</w:t>
            </w:r>
          </w:p>
        </w:tc>
      </w:tr>
      <w:tr>
        <w:trPr>
          <w:trHeight w:val="3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306,638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320,253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7"/>
        </w:trPr>
        <w:tc>
          <w:tcPr>
            <w:tcW w:w="44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45,479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47,044</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Residential mortgage-backed securities, Agency</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153,967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155,287</w:t>
            </w:r>
          </w:p>
        </w:tc>
      </w:tr>
      <w:tr>
        <w:trPr>
          <w:trHeight w:val="224"/>
        </w:trPr>
        <w:tc>
          <w:tcPr>
            <w:tcW w:w="4400" w:type="dxa"/>
            <w:vAlign w:val="bottom"/>
          </w:tcPr>
          <w:p>
            <w:pPr>
              <w:ind w:left="120"/>
              <w:spacing w:after="0"/>
              <w:rPr>
                <w:sz w:val="20"/>
                <w:szCs w:val="20"/>
                <w:color w:val="auto"/>
              </w:rPr>
            </w:pPr>
            <w:r>
              <w:rPr>
                <w:rFonts w:ascii="Arial" w:cs="Arial" w:eastAsia="Arial" w:hAnsi="Arial"/>
                <w:sz w:val="16"/>
                <w:szCs w:val="16"/>
                <w:color w:val="auto"/>
              </w:rPr>
              <w:t>Commercial mortgage-backed, Agency</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84,087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85,573</w:t>
            </w:r>
          </w:p>
        </w:tc>
      </w:tr>
      <w:tr>
        <w:trPr>
          <w:trHeight w:val="3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283,533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287,904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cost basis, unrealized gains and losses, and fair value of debt securities available-for-sale as of the dates indicated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Amortized</w:t>
            </w: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40" w:type="dxa"/>
            <w:vAlign w:val="bottom"/>
          </w:tcPr>
          <w:p>
            <w:pPr>
              <w:spacing w:after="0"/>
              <w:rPr>
                <w:sz w:val="17"/>
                <w:szCs w:val="17"/>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Fair</w:t>
            </w:r>
          </w:p>
        </w:tc>
      </w:tr>
      <w:tr>
        <w:trPr>
          <w:trHeight w:val="210"/>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Value</w:t>
            </w:r>
          </w:p>
        </w:tc>
      </w:tr>
      <w:tr>
        <w:trPr>
          <w:trHeight w:val="33"/>
        </w:trPr>
        <w:tc>
          <w:tcPr>
            <w:tcW w:w="4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2020</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123,392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5,474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128,866</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2,937</w:t>
            </w:r>
          </w:p>
        </w:tc>
      </w:tr>
      <w:tr>
        <w:trPr>
          <w:trHeight w:val="224"/>
        </w:trPr>
        <w:tc>
          <w:tcPr>
            <w:tcW w:w="440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212,767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17,942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230,709</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929,543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34,965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964,504</w:t>
            </w:r>
          </w:p>
        </w:tc>
      </w:tr>
      <w:tr>
        <w:trPr>
          <w:trHeight w:val="224"/>
        </w:trPr>
        <w:tc>
          <w:tcPr>
            <w:tcW w:w="4400" w:type="dxa"/>
            <w:vAlign w:val="bottom"/>
          </w:tcPr>
          <w:p>
            <w:pPr>
              <w:ind w:left="20"/>
              <w:spacing w:after="0"/>
              <w:rPr>
                <w:sz w:val="20"/>
                <w:szCs w:val="20"/>
                <w:color w:val="auto"/>
              </w:rPr>
            </w:pPr>
            <w:r>
              <w:rPr>
                <w:rFonts w:ascii="Arial" w:cs="Arial" w:eastAsia="Arial" w:hAnsi="Arial"/>
                <w:sz w:val="16"/>
                <w:szCs w:val="16"/>
                <w:color w:val="auto"/>
              </w:rPr>
              <w:t>Residential mortgage-backed securities, Non-agency</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237,614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9,903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247,517</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mortgage-backed, Agency</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253,517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261,678</w:t>
            </w: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172,023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173,476</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116,955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115,522</w:t>
            </w:r>
          </w:p>
        </w:tc>
      </w:tr>
      <w:tr>
        <w:trPr>
          <w:trHeight w:val="247"/>
        </w:trPr>
        <w:tc>
          <w:tcPr>
            <w:tcW w:w="4400" w:type="dxa"/>
            <w:vAlign w:val="bottom"/>
          </w:tcPr>
          <w:p>
            <w:pPr>
              <w:ind w:left="1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2,048,565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79,619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2,975</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2,125,209</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4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44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152,990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154,618</w:t>
            </w: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3,035</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214,677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226,490</w:t>
            </w:r>
          </w:p>
        </w:tc>
      </w:tr>
      <w:tr>
        <w:trPr>
          <w:trHeight w:val="224"/>
        </w:trPr>
        <w:tc>
          <w:tcPr>
            <w:tcW w:w="4400" w:type="dxa"/>
            <w:vAlign w:val="bottom"/>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1,030,948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1,042,244</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 Non-agency</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250,550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256,781</w:t>
            </w:r>
          </w:p>
        </w:tc>
      </w:tr>
      <w:tr>
        <w:trPr>
          <w:trHeight w:val="223"/>
        </w:trPr>
        <w:tc>
          <w:tcPr>
            <w:tcW w:w="4400" w:type="dxa"/>
            <w:vAlign w:val="bottom"/>
          </w:tcPr>
          <w:p>
            <w:pPr>
              <w:ind w:left="20"/>
              <w:spacing w:after="0"/>
              <w:rPr>
                <w:sz w:val="20"/>
                <w:szCs w:val="20"/>
                <w:color w:val="auto"/>
              </w:rPr>
            </w:pPr>
            <w:r>
              <w:rPr>
                <w:rFonts w:ascii="Arial" w:cs="Arial" w:eastAsia="Arial" w:hAnsi="Arial"/>
                <w:sz w:val="16"/>
                <w:szCs w:val="16"/>
                <w:color w:val="auto"/>
              </w:rPr>
              <w:t>Commercial mortgage-backed, Agency</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266,770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268,903</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mortgage-backed, Non-agency</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16,050</w:t>
            </w:r>
          </w:p>
        </w:tc>
      </w:tr>
      <w:tr>
        <w:trPr>
          <w:trHeight w:val="224"/>
        </w:trPr>
        <w:tc>
          <w:tcPr>
            <w:tcW w:w="440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8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202,131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203,091</w:t>
            </w:r>
          </w:p>
        </w:tc>
      </w:tr>
      <w:tr>
        <w:trPr>
          <w:trHeight w:val="3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104,298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103,369</w:t>
            </w:r>
          </w:p>
        </w:tc>
      </w:tr>
      <w:tr>
        <w:trPr>
          <w:trHeight w:val="247"/>
        </w:trPr>
        <w:tc>
          <w:tcPr>
            <w:tcW w:w="4400" w:type="dxa"/>
            <w:vAlign w:val="bottom"/>
          </w:tcPr>
          <w:p>
            <w:pPr>
              <w:ind w:left="1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2,240,607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36,982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3,008</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2,274,581</w:t>
            </w:r>
          </w:p>
        </w:tc>
      </w:tr>
      <w:tr>
        <w:trPr>
          <w:trHeight w:val="24"/>
        </w:trPr>
        <w:tc>
          <w:tcPr>
            <w:tcW w:w="4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$524 million and $918 million were pledged, primarily to secure public deposits, at June 30, 2020 and December 31, 2019,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debt securities held-to-maturity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94"/>
              </w:rPr>
              <w:t>Total</w:t>
            </w:r>
          </w:p>
        </w:tc>
        <w:tc>
          <w:tcPr>
            <w:tcW w:w="9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6"/>
              </w:rPr>
              <w:t>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r>
      <w:tr>
        <w:trPr>
          <w:trHeight w:val="33"/>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2020</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17"/>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4,905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4,905</w:t>
            </w:r>
          </w:p>
        </w:tc>
        <w:tc>
          <w:tcPr>
            <w:tcW w:w="4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95</w:t>
            </w: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mortgage-backed securities, Non-agency</w:t>
            </w: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10,379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54</w:t>
            </w:r>
          </w:p>
        </w:tc>
      </w:tr>
      <w:tr>
        <w:trPr>
          <w:trHeight w:val="33"/>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7"/>
        </w:trPr>
        <w:tc>
          <w:tcPr>
            <w:tcW w:w="4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14,027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15,411</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17"/>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10,117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10,117</w:t>
            </w:r>
          </w:p>
        </w:tc>
        <w:tc>
          <w:tcPr>
            <w:tcW w:w="4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w:t>
            </w: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48,237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64,286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694</w:t>
            </w:r>
          </w:p>
        </w:tc>
      </w:tr>
      <w:tr>
        <w:trPr>
          <w:trHeight w:val="22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mortgage-backed, Agency</w:t>
            </w: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21,841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23,526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141</w:t>
            </w:r>
          </w:p>
        </w:tc>
      </w:tr>
      <w:tr>
        <w:trPr>
          <w:trHeight w:val="33"/>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7"/>
        </w:trPr>
        <w:tc>
          <w:tcPr>
            <w:tcW w:w="4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48,007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49,922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97,929</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debt securities available-for-sale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Total</w:t>
            </w:r>
          </w:p>
        </w:tc>
        <w:tc>
          <w:tcPr>
            <w:tcW w:w="9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6"/>
              </w:rPr>
              <w:t>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r>
      <w:tr>
        <w:trPr>
          <w:trHeight w:val="33"/>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2020</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17"/>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1,803</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mortgage-backed, Agency</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416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14,794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206</w:t>
            </w: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60,859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74,826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2,765</w:t>
            </w:r>
          </w:p>
        </w:tc>
      </w:tr>
      <w:tr>
        <w:trPr>
          <w:trHeight w:val="247"/>
        </w:trPr>
        <w:tc>
          <w:tcPr>
            <w:tcW w:w="4160" w:type="dxa"/>
            <w:vAlign w:val="bottom"/>
          </w:tcPr>
          <w:p>
            <w:pPr>
              <w:ind w:left="12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29,284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62,148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2,304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91,432</w:t>
            </w: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2,975</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4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4"/>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4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23"/>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228,611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18,294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246,905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726</w:t>
            </w: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mortgage-backed, Agency</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33,517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33,517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w:t>
            </w:r>
          </w:p>
        </w:tc>
      </w:tr>
      <w:tr>
        <w:trPr>
          <w:trHeight w:val="223"/>
        </w:trPr>
        <w:tc>
          <w:tcPr>
            <w:tcW w:w="4160" w:type="dxa"/>
            <w:vAlign w:val="bottom"/>
          </w:tcPr>
          <w:p>
            <w:pPr>
              <w:ind w:left="20"/>
              <w:spacing w:after="0"/>
              <w:rPr>
                <w:sz w:val="20"/>
                <w:szCs w:val="20"/>
                <w:color w:val="auto"/>
              </w:rPr>
            </w:pPr>
            <w:r>
              <w:rPr>
                <w:rFonts w:ascii="Arial" w:cs="Arial" w:eastAsia="Arial" w:hAnsi="Arial"/>
                <w:sz w:val="16"/>
                <w:szCs w:val="16"/>
                <w:color w:val="auto"/>
              </w:rPr>
              <w:t>Commercial mortgage-backed, Non-agency</w:t>
            </w:r>
          </w:p>
        </w:tc>
        <w:tc>
          <w:tcPr>
            <w:tcW w:w="1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4,864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263</w:t>
            </w:r>
          </w:p>
        </w:tc>
      </w:tr>
      <w:tr>
        <w:trPr>
          <w:trHeight w:val="33"/>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w:t>
            </w:r>
          </w:p>
        </w:tc>
      </w:tr>
      <w:tr>
        <w:trPr>
          <w:trHeight w:val="223"/>
        </w:trPr>
        <w:tc>
          <w:tcPr>
            <w:tcW w:w="416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32,294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38,990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71,284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1,672</w:t>
            </w:r>
          </w:p>
        </w:tc>
      </w:tr>
      <w:tr>
        <w:trPr>
          <w:trHeight w:val="33"/>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7"/>
        </w:trPr>
        <w:tc>
          <w:tcPr>
            <w:tcW w:w="4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unrealized loss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281,051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96,663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377,714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there were 21 debt securities available-for-sale and 4 debt securities held-to-maturity that were in an unrealized loss position. United does not intend to sell nor does it believe it will be required to sell securities in an unrealized loss position prior to the recovery of their amortized cost basis. Unrealized losses at June 30, 2020 were primarily attributable to changes in interest rates.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impairment charges were recognized during the three and six months ended June 30, 2019. At adoption of CECL on January 1, 2020 and at June 30, 2020, calculated credit losses on held-to-maturity debt securities were not material due to the high credit quality of the portfolio, which included securities issued or guaranteed by U.S. Government agencies and high credit quality municipal securities. As a result, no ACL was recorded on the held-to-maturity portfolio at June 30, 2020. In addition, at June 30, 2020, there was no ACL related to the available-for-sale portfolio. See Note 1 for additional details on the adoption of CECL as it relates to the securities portfolio.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six months ended June 30, 2020 and 2019 </w:t>
      </w:r>
      <w:r>
        <w:rPr>
          <w:rFonts w:ascii="Arial" w:cs="Arial" w:eastAsia="Arial" w:hAnsi="Arial"/>
          <w:sz w:val="18"/>
          <w:szCs w:val="18"/>
          <w:i w:val="1"/>
          <w:iCs w:val="1"/>
          <w:color w:val="auto"/>
        </w:rPr>
        <w:t>(in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272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7"/>
                <w:szCs w:val="17"/>
                <w:color w:val="auto"/>
              </w:rPr>
            </w:pPr>
          </w:p>
        </w:tc>
        <w:tc>
          <w:tcPr>
            <w:tcW w:w="3220" w:type="dxa"/>
            <w:vAlign w:val="bottom"/>
            <w:gridSpan w:val="5"/>
          </w:tcPr>
          <w:p>
            <w:pPr>
              <w:ind w:left="3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900" w:type="dxa"/>
            <w:vAlign w:val="bottom"/>
          </w:tcPr>
          <w:p>
            <w:pPr>
              <w:spacing w:after="0"/>
              <w:rPr>
                <w:sz w:val="18"/>
                <w:szCs w:val="18"/>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7"/>
        </w:trPr>
        <w:tc>
          <w:tcPr>
            <w:tcW w:w="5020" w:type="dxa"/>
            <w:vAlign w:val="bottom"/>
            <w:shd w:val="clear" w:color="auto" w:fill="CCEEFF"/>
          </w:tcPr>
          <w:p>
            <w:pPr>
              <w:ind w:left="920"/>
              <w:spacing w:after="0"/>
              <w:rPr>
                <w:sz w:val="20"/>
                <w:szCs w:val="20"/>
                <w:color w:val="auto"/>
              </w:rPr>
            </w:pPr>
            <w:r>
              <w:rPr>
                <w:rFonts w:ascii="Arial" w:cs="Arial" w:eastAsia="Arial" w:hAnsi="Arial"/>
                <w:sz w:val="16"/>
                <w:szCs w:val="16"/>
                <w:color w:val="auto"/>
              </w:rPr>
              <w:t>Proceeds from sales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47,279</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225,883</w:t>
            </w:r>
          </w:p>
        </w:tc>
        <w:tc>
          <w:tcPr>
            <w:tcW w:w="900" w:type="dxa"/>
            <w:vAlign w:val="bottom"/>
            <w:shd w:val="clear" w:color="auto" w:fill="CCEEFF"/>
          </w:tcPr>
          <w:p>
            <w:pPr>
              <w:spacing w:after="0"/>
              <w:rPr>
                <w:sz w:val="23"/>
                <w:szCs w:val="23"/>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66"/>
        </w:trPr>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7"/>
        </w:trPr>
        <w:tc>
          <w:tcPr>
            <w:tcW w:w="50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Gross gains on sales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489</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1,776</w:t>
            </w:r>
          </w:p>
        </w:tc>
        <w:tc>
          <w:tcPr>
            <w:tcW w:w="900" w:type="dxa"/>
            <w:vAlign w:val="bottom"/>
            <w:tcBorders>
              <w:bottom w:val="single" w:sz="8" w:color="CCEEFF"/>
            </w:tcBorders>
            <w:shd w:val="clear" w:color="auto" w:fill="CCEEFF"/>
          </w:tcPr>
          <w:p>
            <w:pPr>
              <w:spacing w:after="0"/>
              <w:rPr>
                <w:sz w:val="20"/>
                <w:szCs w:val="20"/>
                <w:color w:val="auto"/>
              </w:rPr>
            </w:pPr>
          </w:p>
        </w:tc>
      </w:tr>
      <w:tr>
        <w:trPr>
          <w:trHeight w:val="224"/>
        </w:trPr>
        <w:tc>
          <w:tcPr>
            <w:tcW w:w="5020" w:type="dxa"/>
            <w:vAlign w:val="bottom"/>
          </w:tcPr>
          <w:p>
            <w:pPr>
              <w:ind w:left="920"/>
              <w:spacing w:after="0"/>
              <w:rPr>
                <w:sz w:val="20"/>
                <w:szCs w:val="20"/>
                <w:color w:val="auto"/>
              </w:rPr>
            </w:pPr>
            <w:r>
              <w:rPr>
                <w:rFonts w:ascii="Arial" w:cs="Arial" w:eastAsia="Arial" w:hAnsi="Arial"/>
                <w:sz w:val="16"/>
                <w:szCs w:val="16"/>
                <w:color w:val="auto"/>
              </w:rPr>
              <w:t>Gross losses on sales</w:t>
            </w:r>
          </w:p>
        </w:tc>
        <w:tc>
          <w:tcPr>
            <w:tcW w:w="86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(1,894)</w:t>
            </w:r>
          </w:p>
        </w:tc>
        <w:tc>
          <w:tcPr>
            <w:tcW w:w="900" w:type="dxa"/>
            <w:vAlign w:val="bottom"/>
          </w:tcPr>
          <w:p>
            <w:pPr>
              <w:spacing w:after="0"/>
              <w:rPr>
                <w:sz w:val="19"/>
                <w:szCs w:val="19"/>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7"/>
        </w:trPr>
        <w:tc>
          <w:tcPr>
            <w:tcW w:w="50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gains (losses) on sales of securities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149</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900" w:type="dxa"/>
            <w:vAlign w:val="bottom"/>
            <w:shd w:val="clear" w:color="auto" w:fill="CCEEFF"/>
          </w:tcPr>
          <w:p>
            <w:pPr>
              <w:spacing w:after="0"/>
              <w:rPr>
                <w:sz w:val="23"/>
                <w:szCs w:val="23"/>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66"/>
        </w:trPr>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3"/>
        </w:trPr>
        <w:tc>
          <w:tcPr>
            <w:tcW w:w="5020" w:type="dxa"/>
            <w:vAlign w:val="bottom"/>
            <w:shd w:val="clear" w:color="auto" w:fill="CCEEFF"/>
          </w:tcPr>
          <w:p>
            <w:pPr>
              <w:ind w:left="920"/>
              <w:spacing w:after="0"/>
              <w:rPr>
                <w:sz w:val="20"/>
                <w:szCs w:val="20"/>
                <w:color w:val="auto"/>
              </w:rPr>
            </w:pPr>
            <w:r>
              <w:rPr>
                <w:rFonts w:ascii="Arial" w:cs="Arial" w:eastAsia="Arial" w:hAnsi="Arial"/>
                <w:sz w:val="16"/>
                <w:szCs w:val="16"/>
                <w:color w:val="auto"/>
              </w:rPr>
              <w:t>Income tax expense (benefit) attributable to sales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900" w:type="dxa"/>
            <w:vAlign w:val="bottom"/>
            <w:shd w:val="clear" w:color="auto" w:fill="CCEEFF"/>
          </w:tcPr>
          <w:p>
            <w:pPr>
              <w:spacing w:after="0"/>
              <w:rPr>
                <w:sz w:val="23"/>
                <w:szCs w:val="23"/>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amortized cost and fair value of debt securities available-for-sale and held-to-maturity at June 30, 2020,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gridSpan w:val="5"/>
          </w:tcPr>
          <w:p>
            <w:pPr>
              <w:ind w:left="920"/>
              <w:spacing w:after="0"/>
              <w:rPr>
                <w:sz w:val="20"/>
                <w:szCs w:val="20"/>
                <w:color w:val="auto"/>
              </w:rPr>
            </w:pPr>
            <w:r>
              <w:rPr>
                <w:rFonts w:ascii="Arial" w:cs="Arial" w:eastAsia="Arial" w:hAnsi="Arial"/>
                <w:sz w:val="16"/>
                <w:szCs w:val="16"/>
                <w:b w:val="1"/>
                <w:bCs w:val="1"/>
                <w:color w:val="auto"/>
              </w:rPr>
              <w:t>Available-for-Sale</w:t>
            </w:r>
          </w:p>
        </w:tc>
        <w:tc>
          <w:tcPr>
            <w:tcW w:w="200" w:type="dxa"/>
            <w:vAlign w:val="bottom"/>
          </w:tcPr>
          <w:p>
            <w:pPr>
              <w:spacing w:after="0"/>
              <w:rPr>
                <w:sz w:val="18"/>
                <w:szCs w:val="18"/>
                <w:color w:val="auto"/>
              </w:rPr>
            </w:pPr>
          </w:p>
        </w:tc>
        <w:tc>
          <w:tcPr>
            <w:tcW w:w="328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Held-to-Maturity</w:t>
            </w:r>
          </w:p>
        </w:tc>
      </w:tr>
      <w:tr>
        <w:trPr>
          <w:trHeight w:val="33"/>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18"/>
                <w:szCs w:val="18"/>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123,392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128,866</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196"/>
        </w:trPr>
        <w:tc>
          <w:tcPr>
            <w:tcW w:w="4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More than 10 years</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4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6"/>
        </w:trPr>
        <w:tc>
          <w:tcPr>
            <w:tcW w:w="4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4"/>
        </w:trPr>
        <w:tc>
          <w:tcPr>
            <w:tcW w:w="416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Within 1 year</w:t>
            </w: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1,350</w:t>
            </w: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54,483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57,120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14,260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15,226</w:t>
            </w: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5 to 10 years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25,808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12,244</w:t>
            </w: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More than 10 years</w:t>
            </w:r>
          </w:p>
        </w:tc>
        <w:tc>
          <w:tcPr>
            <w:tcW w:w="2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134,474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147,781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61,441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63,307</w:t>
            </w:r>
          </w:p>
        </w:tc>
      </w:tr>
      <w:tr>
        <w:trPr>
          <w:trHeight w:val="33"/>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92,127</w:t>
            </w:r>
          </w:p>
        </w:tc>
      </w:tr>
      <w:tr>
        <w:trPr>
          <w:trHeight w:val="196"/>
        </w:trPr>
        <w:tc>
          <w:tcPr>
            <w:tcW w:w="4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Within 1 year</w:t>
            </w:r>
          </w:p>
        </w:tc>
        <w:tc>
          <w:tcPr>
            <w:tcW w:w="2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140,008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140,217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28,644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5 to 10 years</w:t>
            </w:r>
          </w:p>
        </w:tc>
        <w:tc>
          <w:tcPr>
            <w:tcW w:w="2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4,615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196"/>
        </w:trPr>
        <w:tc>
          <w:tcPr>
            <w:tcW w:w="4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20"/>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securities other than asset-backed and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9"/>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24"/>
        </w:trPr>
        <w:tc>
          <w:tcPr>
            <w:tcW w:w="4160" w:type="dxa"/>
            <w:vAlign w:val="bottom"/>
          </w:tcPr>
          <w:p>
            <w:pPr>
              <w:ind w:left="120"/>
              <w:spacing w:after="0"/>
              <w:rPr>
                <w:sz w:val="20"/>
                <w:szCs w:val="20"/>
                <w:color w:val="auto"/>
              </w:rPr>
            </w:pPr>
            <w:r>
              <w:rPr>
                <w:rFonts w:ascii="Arial" w:cs="Arial" w:eastAsia="Arial" w:hAnsi="Arial"/>
                <w:sz w:val="16"/>
                <w:szCs w:val="16"/>
                <w:color w:val="auto"/>
              </w:rPr>
              <w:t>Within 1 year</w:t>
            </w:r>
          </w:p>
        </w:tc>
        <w:tc>
          <w:tcPr>
            <w:tcW w:w="2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140,008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140,217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1,350</w:t>
            </w: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205,744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214,990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15,226</w:t>
            </w:r>
          </w:p>
        </w:tc>
      </w:tr>
      <w:tr>
        <w:trPr>
          <w:trHeight w:val="224"/>
        </w:trPr>
        <w:tc>
          <w:tcPr>
            <w:tcW w:w="4160" w:type="dxa"/>
            <w:vAlign w:val="bottom"/>
          </w:tcPr>
          <w:p>
            <w:pPr>
              <w:ind w:left="120"/>
              <w:spacing w:after="0"/>
              <w:rPr>
                <w:sz w:val="20"/>
                <w:szCs w:val="20"/>
                <w:color w:val="auto"/>
              </w:rPr>
            </w:pPr>
            <w:r>
              <w:rPr>
                <w:rFonts w:ascii="Arial" w:cs="Arial" w:eastAsia="Arial" w:hAnsi="Arial"/>
                <w:sz w:val="16"/>
                <w:szCs w:val="16"/>
                <w:color w:val="auto"/>
              </w:rPr>
              <w:t>5 to 10 years</w:t>
            </w:r>
          </w:p>
        </w:tc>
        <w:tc>
          <w:tcPr>
            <w:tcW w:w="2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28,310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30,423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10,789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12,244</w:t>
            </w: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More than 10 years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136,874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150,358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61,441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63,307</w:t>
            </w:r>
          </w:p>
        </w:tc>
      </w:tr>
      <w:tr>
        <w:trPr>
          <w:trHeight w:val="216"/>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116,955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115,522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4160" w:type="dxa"/>
            <w:vAlign w:val="bottom"/>
          </w:tcPr>
          <w:p>
            <w:pPr>
              <w:ind w:left="20"/>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1,167,157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1,212,021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152,637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158,958</w:t>
            </w: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253,517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261,678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66,161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69,168</w:t>
            </w:r>
          </w:p>
        </w:tc>
      </w:tr>
      <w:tr>
        <w:trPr>
          <w:trHeight w:val="217"/>
        </w:trPr>
        <w:tc>
          <w:tcPr>
            <w:tcW w:w="416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2,048,565</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2,125,209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306,638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320,253</w:t>
            </w:r>
          </w:p>
        </w:tc>
      </w:tr>
      <w:tr>
        <w:trPr>
          <w:trHeight w:val="33"/>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ectPr>
          <w:pgSz w:w="11900" w:h="16838" w:orient="portrait"/>
          <w:cols w:equalWidth="0" w:num="1">
            <w:col w:w="11240"/>
          </w:cols>
          <w:pgMar w:left="320" w:top="121" w:right="339" w:bottom="8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85"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and Leases and Allowance for Credit Losses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18"/>
                <w:szCs w:val="18"/>
                <w:color w:val="auto"/>
              </w:rPr>
            </w:pPr>
          </w:p>
        </w:tc>
        <w:tc>
          <w:tcPr>
            <w:tcW w:w="326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30"/>
        </w:trPr>
        <w:tc>
          <w:tcPr>
            <w:tcW w:w="59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1,759,617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1,720,227</w:t>
            </w:r>
          </w:p>
        </w:tc>
        <w:tc>
          <w:tcPr>
            <w:tcW w:w="1660" w:type="dxa"/>
            <w:vAlign w:val="bottom"/>
            <w:tcBorders>
              <w:bottom w:val="single" w:sz="8" w:color="CCEEFF"/>
            </w:tcBorders>
            <w:shd w:val="clear" w:color="auto" w:fill="CCEEFF"/>
          </w:tcPr>
          <w:p>
            <w:pPr>
              <w:spacing w:after="0"/>
              <w:rPr>
                <w:sz w:val="20"/>
                <w:szCs w:val="20"/>
                <w:color w:val="auto"/>
              </w:rPr>
            </w:pPr>
          </w:p>
        </w:tc>
      </w:tr>
      <w:tr>
        <w:trPr>
          <w:trHeight w:val="223"/>
        </w:trPr>
        <w:tc>
          <w:tcPr>
            <w:tcW w:w="5920" w:type="dxa"/>
            <w:vAlign w:val="bottom"/>
          </w:tcPr>
          <w:p>
            <w:pPr>
              <w:ind w:left="170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2,177,857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2,007,950</w:t>
            </w:r>
          </w:p>
        </w:tc>
        <w:tc>
          <w:tcPr>
            <w:tcW w:w="1660" w:type="dxa"/>
            <w:vAlign w:val="bottom"/>
          </w:tcPr>
          <w:p>
            <w:pPr>
              <w:spacing w:after="0"/>
              <w:rPr>
                <w:sz w:val="19"/>
                <w:szCs w:val="19"/>
                <w:color w:val="auto"/>
              </w:rPr>
            </w:pPr>
          </w:p>
        </w:tc>
      </w:tr>
      <w:tr>
        <w:trPr>
          <w:trHeight w:val="33"/>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6"/>
        </w:trPr>
        <w:tc>
          <w:tcPr>
            <w:tcW w:w="592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2,314,169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1,220,657</w:t>
            </w:r>
          </w:p>
        </w:tc>
        <w:tc>
          <w:tcPr>
            <w:tcW w:w="1660" w:type="dxa"/>
            <w:vAlign w:val="bottom"/>
            <w:shd w:val="clear" w:color="auto" w:fill="CCEEFF"/>
          </w:tcPr>
          <w:p>
            <w:pPr>
              <w:spacing w:after="0"/>
              <w:rPr>
                <w:sz w:val="22"/>
                <w:szCs w:val="22"/>
                <w:color w:val="auto"/>
              </w:rPr>
            </w:pPr>
          </w:p>
        </w:tc>
      </w:tr>
      <w:tr>
        <w:trPr>
          <w:trHeight w:val="224"/>
        </w:trPr>
        <w:tc>
          <w:tcPr>
            <w:tcW w:w="5920" w:type="dxa"/>
            <w:vAlign w:val="bottom"/>
          </w:tcPr>
          <w:p>
            <w:pPr>
              <w:ind w:left="170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945,748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976,215</w:t>
            </w:r>
          </w:p>
        </w:tc>
        <w:tc>
          <w:tcPr>
            <w:tcW w:w="1660" w:type="dxa"/>
            <w:vAlign w:val="bottom"/>
          </w:tcPr>
          <w:p>
            <w:pPr>
              <w:spacing w:after="0"/>
              <w:rPr>
                <w:sz w:val="19"/>
                <w:szCs w:val="19"/>
                <w:color w:val="auto"/>
              </w:rPr>
            </w:pPr>
          </w:p>
        </w:tc>
      </w:tr>
      <w:tr>
        <w:trPr>
          <w:trHeight w:val="33"/>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59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Equipment financing</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778,749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744,544</w:t>
            </w:r>
          </w:p>
        </w:tc>
        <w:tc>
          <w:tcPr>
            <w:tcW w:w="1660" w:type="dxa"/>
            <w:vAlign w:val="bottom"/>
            <w:tcBorders>
              <w:bottom w:val="single" w:sz="8" w:color="CCEEFF"/>
            </w:tcBorders>
            <w:shd w:val="clear" w:color="auto" w:fill="CCEEFF"/>
          </w:tcPr>
          <w:p>
            <w:pPr>
              <w:spacing w:after="0"/>
              <w:rPr>
                <w:sz w:val="22"/>
                <w:szCs w:val="22"/>
                <w:color w:val="auto"/>
              </w:rPr>
            </w:pPr>
          </w:p>
        </w:tc>
      </w:tr>
      <w:tr>
        <w:trPr>
          <w:trHeight w:val="217"/>
        </w:trPr>
        <w:tc>
          <w:tcPr>
            <w:tcW w:w="5920" w:type="dxa"/>
            <w:vAlign w:val="bottom"/>
          </w:tcPr>
          <w:p>
            <w:pPr>
              <w:ind w:left="188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7,976,140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6,669,593</w:t>
            </w:r>
          </w:p>
        </w:tc>
        <w:tc>
          <w:tcPr>
            <w:tcW w:w="1660" w:type="dxa"/>
            <w:vAlign w:val="bottom"/>
          </w:tcPr>
          <w:p>
            <w:pPr>
              <w:spacing w:after="0"/>
              <w:rPr>
                <w:sz w:val="18"/>
                <w:szCs w:val="18"/>
                <w:color w:val="auto"/>
              </w:rPr>
            </w:pPr>
          </w:p>
        </w:tc>
      </w:tr>
      <w:tr>
        <w:trPr>
          <w:trHeight w:val="33"/>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59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Residential mortgage</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1,151,661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1,117,616</w:t>
            </w:r>
          </w:p>
        </w:tc>
        <w:tc>
          <w:tcPr>
            <w:tcW w:w="1660" w:type="dxa"/>
            <w:vAlign w:val="bottom"/>
            <w:tcBorders>
              <w:bottom w:val="single" w:sz="8" w:color="CCEEFF"/>
            </w:tcBorders>
            <w:shd w:val="clear" w:color="auto" w:fill="CCEEFF"/>
          </w:tcPr>
          <w:p>
            <w:pPr>
              <w:spacing w:after="0"/>
              <w:rPr>
                <w:sz w:val="20"/>
                <w:szCs w:val="20"/>
                <w:color w:val="auto"/>
              </w:rPr>
            </w:pPr>
          </w:p>
        </w:tc>
      </w:tr>
      <w:tr>
        <w:trPr>
          <w:trHeight w:val="223"/>
        </w:trPr>
        <w:tc>
          <w:tcPr>
            <w:tcW w:w="5920" w:type="dxa"/>
            <w:vAlign w:val="bottom"/>
          </w:tcPr>
          <w:p>
            <w:pPr>
              <w:ind w:left="1700"/>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653,798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660,675</w:t>
            </w:r>
          </w:p>
        </w:tc>
        <w:tc>
          <w:tcPr>
            <w:tcW w:w="1660" w:type="dxa"/>
            <w:vAlign w:val="bottom"/>
          </w:tcPr>
          <w:p>
            <w:pPr>
              <w:spacing w:after="0"/>
              <w:rPr>
                <w:sz w:val="19"/>
                <w:szCs w:val="19"/>
                <w:color w:val="auto"/>
              </w:rPr>
            </w:pPr>
          </w:p>
        </w:tc>
      </w:tr>
      <w:tr>
        <w:trPr>
          <w:trHeight w:val="33"/>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7"/>
        </w:trPr>
        <w:tc>
          <w:tcPr>
            <w:tcW w:w="59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6"/>
                <w:szCs w:val="16"/>
                <w:color w:val="auto"/>
              </w:rPr>
              <w:t>Residential construction</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230,231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236,437</w:t>
            </w:r>
          </w:p>
        </w:tc>
        <w:tc>
          <w:tcPr>
            <w:tcW w:w="1660" w:type="dxa"/>
            <w:vAlign w:val="bottom"/>
            <w:tcBorders>
              <w:bottom w:val="single" w:sz="8" w:color="CCEEFF"/>
            </w:tcBorders>
            <w:shd w:val="clear" w:color="auto" w:fill="CCEEFF"/>
          </w:tcPr>
          <w:p>
            <w:pPr>
              <w:spacing w:after="0"/>
              <w:rPr>
                <w:sz w:val="20"/>
                <w:szCs w:val="20"/>
                <w:color w:val="auto"/>
              </w:rPr>
            </w:pPr>
          </w:p>
        </w:tc>
      </w:tr>
      <w:tr>
        <w:trPr>
          <w:trHeight w:val="224"/>
        </w:trPr>
        <w:tc>
          <w:tcPr>
            <w:tcW w:w="5920" w:type="dxa"/>
            <w:vAlign w:val="bottom"/>
          </w:tcPr>
          <w:p>
            <w:pPr>
              <w:ind w:left="170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9"/>
                <w:szCs w:val="19"/>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120,680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128,232</w:t>
            </w:r>
          </w:p>
        </w:tc>
        <w:tc>
          <w:tcPr>
            <w:tcW w:w="1660" w:type="dxa"/>
            <w:vAlign w:val="bottom"/>
          </w:tcPr>
          <w:p>
            <w:pPr>
              <w:spacing w:after="0"/>
              <w:rPr>
                <w:sz w:val="19"/>
                <w:szCs w:val="19"/>
                <w:color w:val="auto"/>
              </w:rPr>
            </w:pPr>
          </w:p>
        </w:tc>
      </w:tr>
      <w:tr>
        <w:trPr>
          <w:trHeight w:val="33"/>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30"/>
        </w:trPr>
        <w:tc>
          <w:tcPr>
            <w:tcW w:w="592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color w:val="auto"/>
              </w:rPr>
              <w:t>Total loans</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10,132,510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8,812,553</w:t>
            </w:r>
          </w:p>
        </w:tc>
        <w:tc>
          <w:tcPr>
            <w:tcW w:w="1660" w:type="dxa"/>
            <w:vAlign w:val="bottom"/>
            <w:tcBorders>
              <w:bottom w:val="single" w:sz="8" w:color="CCEEFF"/>
            </w:tcBorders>
            <w:shd w:val="clear" w:color="auto" w:fill="CCEEFF"/>
          </w:tcPr>
          <w:p>
            <w:pPr>
              <w:spacing w:after="0"/>
              <w:rPr>
                <w:sz w:val="20"/>
                <w:szCs w:val="20"/>
                <w:color w:val="auto"/>
              </w:rPr>
            </w:pPr>
          </w:p>
        </w:tc>
      </w:tr>
      <w:tr>
        <w:trPr>
          <w:trHeight w:val="224"/>
        </w:trPr>
        <w:tc>
          <w:tcPr>
            <w:tcW w:w="5920" w:type="dxa"/>
            <w:vAlign w:val="bottom"/>
          </w:tcPr>
          <w:p>
            <w:pPr>
              <w:ind w:left="1700"/>
              <w:spacing w:after="0"/>
              <w:rPr>
                <w:sz w:val="20"/>
                <w:szCs w:val="20"/>
                <w:color w:val="auto"/>
              </w:rPr>
            </w:pPr>
            <w:r>
              <w:rPr>
                <w:rFonts w:ascii="Arial" w:cs="Arial" w:eastAsia="Arial" w:hAnsi="Arial"/>
                <w:sz w:val="16"/>
                <w:szCs w:val="16"/>
                <w:color w:val="auto"/>
              </w:rPr>
              <w:t>Less allowance for credit losses - loans</w:t>
            </w:r>
          </w:p>
        </w:tc>
        <w:tc>
          <w:tcPr>
            <w:tcW w:w="24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(103,669)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(62,089)</w:t>
            </w:r>
          </w:p>
        </w:tc>
        <w:tc>
          <w:tcPr>
            <w:tcW w:w="1660" w:type="dxa"/>
            <w:vAlign w:val="bottom"/>
          </w:tcPr>
          <w:p>
            <w:pPr>
              <w:spacing w:after="0"/>
              <w:rPr>
                <w:sz w:val="19"/>
                <w:szCs w:val="19"/>
                <w:color w:val="auto"/>
              </w:rPr>
            </w:pPr>
          </w:p>
        </w:tc>
      </w:tr>
      <w:tr>
        <w:trPr>
          <w:trHeight w:val="33"/>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72"/>
        </w:trPr>
        <w:tc>
          <w:tcPr>
            <w:tcW w:w="592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color w:val="auto"/>
              </w:rPr>
              <w:t>Loans,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10,028,841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8,750,464</w:t>
            </w:r>
          </w:p>
        </w:tc>
        <w:tc>
          <w:tcPr>
            <w:tcW w:w="1660" w:type="dxa"/>
            <w:vAlign w:val="bottom"/>
            <w:tcBorders>
              <w:bottom w:val="single" w:sz="8" w:color="CCEEFF"/>
            </w:tcBorders>
            <w:shd w:val="clear" w:color="auto" w:fill="CCEEFF"/>
          </w:tcPr>
          <w:p>
            <w:pPr>
              <w:spacing w:after="0"/>
              <w:rPr>
                <w:sz w:val="23"/>
                <w:szCs w:val="23"/>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June 30, 2020 included $1.10 billion of PPP loans.</w:t>
      </w:r>
    </w:p>
    <w:p>
      <w:pPr>
        <w:spacing w:after="0" w:line="2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June 30, 2020 and December 31, 2019, loans totaling $4.12 billion and $4.06 billion, respectively, were pledged as collateral to secure contingent funding sources. At December 31, 2019, the carrying value and outstanding balance of PCI loans were $58.6 million and $83.1 million, respectively.</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second quarter and first six months of 2020, United sold $14.0 million and $18.1 million, respectively, of United States Small Business Administration / United States Department of Agriculture (“SBA/USDA”) guaranteed loans and $1.70 million and $23.9 million, respectively, of equipment financing receivables. During the second quarter and first six months of 2019, United sold $17.1 million and $34.2 million, respectively, of SBA/USDA guaranteed loans. The gains and losses on these loan sales were included in noninterest income on the consolidated statements of income.</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At June 30, 2020 and December 31, 2019, equipment financing assets included leases of $37.0 million and $37.4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Minimum future lease payments receivable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39,205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39,709</w:t>
            </w:r>
          </w:p>
        </w:tc>
        <w:tc>
          <w:tcPr>
            <w:tcW w:w="1640" w:type="dxa"/>
            <w:vAlign w:val="bottom"/>
            <w:tcBorders>
              <w:bottom w:val="single" w:sz="8" w:color="CCEEFF"/>
            </w:tcBorders>
            <w:shd w:val="clear" w:color="auto" w:fill="CCEEFF"/>
          </w:tcPr>
          <w:p>
            <w:pPr>
              <w:spacing w:after="0"/>
              <w:rPr>
                <w:sz w:val="20"/>
                <w:szCs w:val="20"/>
                <w:color w:val="auto"/>
              </w:rPr>
            </w:pPr>
          </w:p>
        </w:tc>
      </w:tr>
      <w:tr>
        <w:trPr>
          <w:trHeight w:val="223"/>
        </w:trPr>
        <w:tc>
          <w:tcPr>
            <w:tcW w:w="5780" w:type="dxa"/>
            <w:vAlign w:val="bottom"/>
          </w:tcPr>
          <w:p>
            <w:pPr>
              <w:ind w:left="1640"/>
              <w:spacing w:after="0"/>
              <w:rPr>
                <w:sz w:val="20"/>
                <w:szCs w:val="20"/>
                <w:color w:val="auto"/>
              </w:rPr>
            </w:pPr>
            <w:r>
              <w:rPr>
                <w:rFonts w:ascii="Arial" w:cs="Arial" w:eastAsia="Arial" w:hAnsi="Arial"/>
                <w:sz w:val="16"/>
                <w:szCs w:val="16"/>
                <w:color w:val="auto"/>
              </w:rPr>
              <w:t>Estimated residual value of leased equipment</w:t>
            </w:r>
          </w:p>
        </w:tc>
        <w:tc>
          <w:tcPr>
            <w:tcW w:w="280" w:type="dxa"/>
            <w:vAlign w:val="bottom"/>
          </w:tcPr>
          <w:p>
            <w:pPr>
              <w:spacing w:after="0"/>
              <w:rPr>
                <w:sz w:val="19"/>
                <w:szCs w:val="19"/>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3,476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3,631</w:t>
            </w:r>
          </w:p>
        </w:tc>
        <w:tc>
          <w:tcPr>
            <w:tcW w:w="1640" w:type="dxa"/>
            <w:vAlign w:val="bottom"/>
          </w:tcPr>
          <w:p>
            <w:pPr>
              <w:spacing w:after="0"/>
              <w:rPr>
                <w:sz w:val="19"/>
                <w:szCs w:val="19"/>
                <w:color w:val="auto"/>
              </w:rPr>
            </w:pPr>
          </w:p>
        </w:tc>
      </w:tr>
      <w:tr>
        <w:trPr>
          <w:trHeight w:val="3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57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Initial direct costs</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842</w:t>
            </w:r>
          </w:p>
        </w:tc>
        <w:tc>
          <w:tcPr>
            <w:tcW w:w="1640" w:type="dxa"/>
            <w:vAlign w:val="bottom"/>
            <w:tcBorders>
              <w:bottom w:val="single" w:sz="8" w:color="CCEEFF"/>
            </w:tcBorders>
            <w:shd w:val="clear" w:color="auto" w:fill="CCEEFF"/>
          </w:tcPr>
          <w:p>
            <w:pPr>
              <w:spacing w:after="0"/>
              <w:rPr>
                <w:sz w:val="20"/>
                <w:szCs w:val="20"/>
                <w:color w:val="auto"/>
              </w:rPr>
            </w:pPr>
          </w:p>
        </w:tc>
      </w:tr>
      <w:tr>
        <w:trPr>
          <w:trHeight w:val="223"/>
        </w:trPr>
        <w:tc>
          <w:tcPr>
            <w:tcW w:w="5780" w:type="dxa"/>
            <w:vAlign w:val="bottom"/>
          </w:tcPr>
          <w:p>
            <w:pPr>
              <w:ind w:left="1640"/>
              <w:spacing w:after="0"/>
              <w:rPr>
                <w:sz w:val="20"/>
                <w:szCs w:val="20"/>
                <w:color w:val="auto"/>
              </w:rPr>
            </w:pPr>
            <w:r>
              <w:rPr>
                <w:rFonts w:ascii="Arial" w:cs="Arial" w:eastAsia="Arial" w:hAnsi="Arial"/>
                <w:sz w:val="16"/>
                <w:szCs w:val="16"/>
                <w:color w:val="auto"/>
              </w:rPr>
              <w:t>Security deposits</w:t>
            </w:r>
          </w:p>
        </w:tc>
        <w:tc>
          <w:tcPr>
            <w:tcW w:w="28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(989)</w:t>
            </w:r>
          </w:p>
        </w:tc>
        <w:tc>
          <w:tcPr>
            <w:tcW w:w="1640" w:type="dxa"/>
            <w:vAlign w:val="bottom"/>
          </w:tcPr>
          <w:p>
            <w:pPr>
              <w:spacing w:after="0"/>
              <w:rPr>
                <w:sz w:val="19"/>
                <w:szCs w:val="19"/>
                <w:color w:val="auto"/>
              </w:rPr>
            </w:pPr>
          </w:p>
        </w:tc>
      </w:tr>
      <w:tr>
        <w:trPr>
          <w:trHeight w:val="3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7"/>
        </w:trPr>
        <w:tc>
          <w:tcPr>
            <w:tcW w:w="57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Purchase accounting premium</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273</w:t>
            </w:r>
          </w:p>
        </w:tc>
        <w:tc>
          <w:tcPr>
            <w:tcW w:w="1640" w:type="dxa"/>
            <w:vAlign w:val="bottom"/>
            <w:tcBorders>
              <w:bottom w:val="single" w:sz="8" w:color="CCEEFF"/>
            </w:tcBorders>
            <w:shd w:val="clear" w:color="auto" w:fill="CCEEFF"/>
          </w:tcPr>
          <w:p>
            <w:pPr>
              <w:spacing w:after="0"/>
              <w:rPr>
                <w:sz w:val="20"/>
                <w:szCs w:val="20"/>
                <w:color w:val="auto"/>
              </w:rPr>
            </w:pPr>
          </w:p>
        </w:tc>
      </w:tr>
      <w:tr>
        <w:trPr>
          <w:trHeight w:val="223"/>
        </w:trPr>
        <w:tc>
          <w:tcPr>
            <w:tcW w:w="5780" w:type="dxa"/>
            <w:vAlign w:val="bottom"/>
          </w:tcPr>
          <w:p>
            <w:pPr>
              <w:ind w:left="1640"/>
              <w:spacing w:after="0"/>
              <w:rPr>
                <w:sz w:val="20"/>
                <w:szCs w:val="20"/>
                <w:color w:val="auto"/>
              </w:rPr>
            </w:pPr>
            <w:r>
              <w:rPr>
                <w:rFonts w:ascii="Arial" w:cs="Arial" w:eastAsia="Arial" w:hAnsi="Arial"/>
                <w:sz w:val="16"/>
                <w:szCs w:val="16"/>
                <w:color w:val="auto"/>
              </w:rPr>
              <w:t>Unearned income</w:t>
            </w:r>
          </w:p>
        </w:tc>
        <w:tc>
          <w:tcPr>
            <w:tcW w:w="280" w:type="dxa"/>
            <w:vAlign w:val="bottom"/>
          </w:tcPr>
          <w:p>
            <w:pPr>
              <w:spacing w:after="0"/>
              <w:rPr>
                <w:sz w:val="19"/>
                <w:szCs w:val="19"/>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(5,675)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color w:val="auto"/>
              </w:rPr>
              <w:t>(6,088)</w:t>
            </w:r>
          </w:p>
        </w:tc>
        <w:tc>
          <w:tcPr>
            <w:tcW w:w="1640" w:type="dxa"/>
            <w:vAlign w:val="bottom"/>
          </w:tcPr>
          <w:p>
            <w:pPr>
              <w:spacing w:after="0"/>
              <w:rPr>
                <w:sz w:val="19"/>
                <w:szCs w:val="19"/>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72"/>
        </w:trPr>
        <w:tc>
          <w:tcPr>
            <w:tcW w:w="578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6"/>
                <w:szCs w:val="16"/>
                <w:color w:val="auto"/>
              </w:rPr>
              <w:t>Net investment in leases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37,028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37,378</w:t>
            </w:r>
          </w:p>
        </w:tc>
        <w:tc>
          <w:tcPr>
            <w:tcW w:w="1640" w:type="dxa"/>
            <w:vAlign w:val="bottom"/>
            <w:tcBorders>
              <w:bottom w:val="single" w:sz="8" w:color="CCEEFF"/>
            </w:tcBorders>
            <w:shd w:val="clear" w:color="auto" w:fill="CCEEFF"/>
          </w:tcPr>
          <w:p>
            <w:pPr>
              <w:spacing w:after="0"/>
              <w:rPr>
                <w:sz w:val="23"/>
                <w:szCs w:val="23"/>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Minimum future lease payments expected to be received from equipment financing lease contracts as of June 30, 2020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8"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auto"/>
        </w:rPr>
        <w:t>Year</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20" w:type="dxa"/>
            <w:vAlign w:val="bottom"/>
            <w:tcBorders>
              <w:bottom w:val="single" w:sz="8" w:color="CCEEFF"/>
            </w:tcBorders>
            <w:shd w:val="clear" w:color="auto" w:fill="CCEEFF"/>
          </w:tcPr>
          <w:p>
            <w:pPr>
              <w:ind w:left="2720"/>
              <w:spacing w:after="0"/>
              <w:rPr>
                <w:sz w:val="20"/>
                <w:szCs w:val="20"/>
                <w:color w:val="auto"/>
              </w:rPr>
            </w:pPr>
            <w:r>
              <w:rPr>
                <w:rFonts w:ascii="Arial" w:cs="Arial" w:eastAsia="Arial" w:hAnsi="Arial"/>
                <w:sz w:val="16"/>
                <w:szCs w:val="16"/>
                <w:color w:val="auto"/>
              </w:rPr>
              <w:t>Remainder of 2020</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7,898</w:t>
            </w:r>
          </w:p>
        </w:tc>
        <w:tc>
          <w:tcPr>
            <w:tcW w:w="2660" w:type="dxa"/>
            <w:vAlign w:val="bottom"/>
            <w:tcBorders>
              <w:bottom w:val="single" w:sz="8" w:color="CCEEFF"/>
            </w:tcBorders>
            <w:shd w:val="clear" w:color="auto" w:fill="CCEEFF"/>
          </w:tcPr>
          <w:p>
            <w:pPr>
              <w:spacing w:after="0"/>
              <w:rPr>
                <w:sz w:val="20"/>
                <w:szCs w:val="20"/>
                <w:color w:val="auto"/>
              </w:rPr>
            </w:pPr>
          </w:p>
        </w:tc>
      </w:tr>
      <w:tr>
        <w:trPr>
          <w:trHeight w:val="223"/>
        </w:trPr>
        <w:tc>
          <w:tcPr>
            <w:tcW w:w="7020" w:type="dxa"/>
            <w:vAlign w:val="bottom"/>
          </w:tcPr>
          <w:p>
            <w:pPr>
              <w:ind w:left="2720"/>
              <w:spacing w:after="0"/>
              <w:rPr>
                <w:sz w:val="20"/>
                <w:szCs w:val="20"/>
                <w:color w:val="auto"/>
              </w:rPr>
            </w:pPr>
            <w:r>
              <w:rPr>
                <w:rFonts w:ascii="Arial" w:cs="Arial" w:eastAsia="Arial" w:hAnsi="Arial"/>
                <w:sz w:val="16"/>
                <w:szCs w:val="16"/>
                <w:color w:val="auto"/>
              </w:rPr>
              <w:t>2021</w:t>
            </w:r>
          </w:p>
        </w:tc>
        <w:tc>
          <w:tcPr>
            <w:tcW w:w="5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13,346</w:t>
            </w:r>
          </w:p>
        </w:tc>
        <w:tc>
          <w:tcPr>
            <w:tcW w:w="2660" w:type="dxa"/>
            <w:vAlign w:val="bottom"/>
          </w:tcPr>
          <w:p>
            <w:pPr>
              <w:spacing w:after="0"/>
              <w:rPr>
                <w:sz w:val="19"/>
                <w:szCs w:val="19"/>
                <w:color w:val="auto"/>
              </w:rPr>
            </w:pPr>
          </w:p>
        </w:tc>
      </w:tr>
      <w:tr>
        <w:trPr>
          <w:trHeight w:val="33"/>
        </w:trPr>
        <w:tc>
          <w:tcPr>
            <w:tcW w:w="7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36"/>
        </w:trPr>
        <w:tc>
          <w:tcPr>
            <w:tcW w:w="7020" w:type="dxa"/>
            <w:vAlign w:val="bottom"/>
            <w:tcBorders>
              <w:bottom w:val="single" w:sz="8" w:color="CCEEFF"/>
            </w:tcBorders>
            <w:shd w:val="clear" w:color="auto" w:fill="CCEEFF"/>
          </w:tcPr>
          <w:p>
            <w:pPr>
              <w:ind w:left="2720"/>
              <w:spacing w:after="0"/>
              <w:rPr>
                <w:sz w:val="20"/>
                <w:szCs w:val="20"/>
                <w:color w:val="auto"/>
              </w:rPr>
            </w:pPr>
            <w:r>
              <w:rPr>
                <w:rFonts w:ascii="Arial" w:cs="Arial" w:eastAsia="Arial" w:hAnsi="Arial"/>
                <w:sz w:val="16"/>
                <w:szCs w:val="16"/>
                <w:color w:val="auto"/>
              </w:rPr>
              <w:t>2022</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9,590</w:t>
            </w:r>
          </w:p>
        </w:tc>
        <w:tc>
          <w:tcPr>
            <w:tcW w:w="2660" w:type="dxa"/>
            <w:vAlign w:val="bottom"/>
            <w:tcBorders>
              <w:bottom w:val="single" w:sz="8" w:color="CCEEFF"/>
            </w:tcBorders>
            <w:shd w:val="clear" w:color="auto" w:fill="CCEEFF"/>
          </w:tcPr>
          <w:p>
            <w:pPr>
              <w:spacing w:after="0"/>
              <w:rPr>
                <w:sz w:val="20"/>
                <w:szCs w:val="20"/>
                <w:color w:val="auto"/>
              </w:rPr>
            </w:pPr>
          </w:p>
        </w:tc>
      </w:tr>
      <w:tr>
        <w:trPr>
          <w:trHeight w:val="223"/>
        </w:trPr>
        <w:tc>
          <w:tcPr>
            <w:tcW w:w="7020" w:type="dxa"/>
            <w:vAlign w:val="bottom"/>
          </w:tcPr>
          <w:p>
            <w:pPr>
              <w:ind w:left="272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5,705</w:t>
            </w:r>
          </w:p>
        </w:tc>
        <w:tc>
          <w:tcPr>
            <w:tcW w:w="2660" w:type="dxa"/>
            <w:vAlign w:val="bottom"/>
          </w:tcPr>
          <w:p>
            <w:pPr>
              <w:spacing w:after="0"/>
              <w:rPr>
                <w:sz w:val="19"/>
                <w:szCs w:val="19"/>
                <w:color w:val="auto"/>
              </w:rPr>
            </w:pPr>
          </w:p>
        </w:tc>
      </w:tr>
      <w:tr>
        <w:trPr>
          <w:trHeight w:val="33"/>
        </w:trPr>
        <w:tc>
          <w:tcPr>
            <w:tcW w:w="7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36"/>
        </w:trPr>
        <w:tc>
          <w:tcPr>
            <w:tcW w:w="7020" w:type="dxa"/>
            <w:vAlign w:val="bottom"/>
            <w:tcBorders>
              <w:bottom w:val="single" w:sz="8" w:color="CCEEFF"/>
            </w:tcBorders>
            <w:shd w:val="clear" w:color="auto" w:fill="CCEEFF"/>
          </w:tcPr>
          <w:p>
            <w:pPr>
              <w:ind w:left="2720"/>
              <w:spacing w:after="0"/>
              <w:rPr>
                <w:sz w:val="20"/>
                <w:szCs w:val="20"/>
                <w:color w:val="auto"/>
              </w:rPr>
            </w:pPr>
            <w:r>
              <w:rPr>
                <w:rFonts w:ascii="Arial" w:cs="Arial" w:eastAsia="Arial" w:hAnsi="Arial"/>
                <w:sz w:val="16"/>
                <w:szCs w:val="16"/>
                <w:color w:val="auto"/>
              </w:rPr>
              <w:t>2024</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2,164</w:t>
            </w:r>
          </w:p>
        </w:tc>
        <w:tc>
          <w:tcPr>
            <w:tcW w:w="2660" w:type="dxa"/>
            <w:vAlign w:val="bottom"/>
            <w:tcBorders>
              <w:bottom w:val="single" w:sz="8" w:color="CCEEFF"/>
            </w:tcBorders>
            <w:shd w:val="clear" w:color="auto" w:fill="CCEEFF"/>
          </w:tcPr>
          <w:p>
            <w:pPr>
              <w:spacing w:after="0"/>
              <w:rPr>
                <w:sz w:val="20"/>
                <w:szCs w:val="20"/>
                <w:color w:val="auto"/>
              </w:rPr>
            </w:pPr>
          </w:p>
        </w:tc>
      </w:tr>
      <w:tr>
        <w:trPr>
          <w:trHeight w:val="224"/>
        </w:trPr>
        <w:tc>
          <w:tcPr>
            <w:tcW w:w="7020" w:type="dxa"/>
            <w:vAlign w:val="bottom"/>
          </w:tcPr>
          <w:p>
            <w:pPr>
              <w:ind w:left="2720"/>
              <w:spacing w:after="0"/>
              <w:rPr>
                <w:sz w:val="20"/>
                <w:szCs w:val="20"/>
                <w:color w:val="auto"/>
              </w:rPr>
            </w:pPr>
            <w:r>
              <w:rPr>
                <w:rFonts w:ascii="Arial" w:cs="Arial" w:eastAsia="Arial" w:hAnsi="Arial"/>
                <w:sz w:val="16"/>
                <w:szCs w:val="16"/>
                <w:color w:val="auto"/>
              </w:rPr>
              <w:t>Thereafter</w:t>
            </w:r>
          </w:p>
        </w:tc>
        <w:tc>
          <w:tcPr>
            <w:tcW w:w="5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502</w:t>
            </w:r>
          </w:p>
        </w:tc>
        <w:tc>
          <w:tcPr>
            <w:tcW w:w="2660" w:type="dxa"/>
            <w:vAlign w:val="bottom"/>
          </w:tcPr>
          <w:p>
            <w:pPr>
              <w:spacing w:after="0"/>
              <w:rPr>
                <w:sz w:val="19"/>
                <w:szCs w:val="19"/>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r>
      <w:tr>
        <w:trPr>
          <w:trHeight w:val="272"/>
        </w:trPr>
        <w:tc>
          <w:tcPr>
            <w:tcW w:w="7020" w:type="dxa"/>
            <w:vAlign w:val="bottom"/>
            <w:tcBorders>
              <w:bottom w:val="single" w:sz="8" w:color="CCEEFF"/>
            </w:tcBorders>
            <w:shd w:val="clear" w:color="auto" w:fill="CCEEFF"/>
          </w:tcPr>
          <w:p>
            <w:pPr>
              <w:ind w:left="2920"/>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39,205</w:t>
            </w:r>
          </w:p>
        </w:tc>
        <w:tc>
          <w:tcPr>
            <w:tcW w:w="2660" w:type="dxa"/>
            <w:vAlign w:val="bottom"/>
            <w:tcBorders>
              <w:bottom w:val="single" w:sz="8" w:color="CCEEFF"/>
            </w:tcBorders>
            <w:shd w:val="clear" w:color="auto" w:fill="CCEEFF"/>
          </w:tcPr>
          <w:p>
            <w:pPr>
              <w:spacing w:after="0"/>
              <w:rPr>
                <w:sz w:val="23"/>
                <w:szCs w:val="23"/>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changes in the balance of the accretable yield for PCI loans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300" w:type="dxa"/>
            <w:vAlign w:val="bottom"/>
            <w:gridSpan w:val="5"/>
          </w:tcPr>
          <w:p>
            <w:pPr>
              <w:ind w:left="600"/>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64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060" w:type="dxa"/>
            <w:vAlign w:val="bottom"/>
            <w:gridSpan w:val="2"/>
          </w:tcPr>
          <w:p>
            <w:pPr>
              <w:ind w:left="20"/>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4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Balance at beginning of period</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26,868</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24"/>
        </w:trPr>
        <w:tc>
          <w:tcPr>
            <w:tcW w:w="6400" w:type="dxa"/>
            <w:vAlign w:val="bottom"/>
          </w:tcPr>
          <w:p>
            <w:pPr>
              <w:ind w:left="1680"/>
              <w:spacing w:after="0"/>
              <w:rPr>
                <w:sz w:val="20"/>
                <w:szCs w:val="20"/>
                <w:color w:val="auto"/>
              </w:rPr>
            </w:pPr>
            <w:r>
              <w:rPr>
                <w:rFonts w:ascii="Arial" w:cs="Arial" w:eastAsia="Arial" w:hAnsi="Arial"/>
                <w:sz w:val="16"/>
                <w:szCs w:val="16"/>
                <w:color w:val="auto"/>
              </w:rPr>
              <w:t>Additions due to acquisitions</w:t>
            </w:r>
          </w:p>
        </w:tc>
        <w:tc>
          <w:tcPr>
            <w:tcW w:w="5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1,300</w:t>
            </w:r>
          </w:p>
        </w:tc>
        <w:tc>
          <w:tcPr>
            <w:tcW w:w="1620" w:type="dxa"/>
            <w:vAlign w:val="bottom"/>
          </w:tcPr>
          <w:p>
            <w:pPr>
              <w:spacing w:after="0"/>
              <w:rPr>
                <w:sz w:val="19"/>
                <w:szCs w:val="19"/>
                <w:color w:val="auto"/>
              </w:rPr>
            </w:pPr>
          </w:p>
        </w:tc>
      </w:tr>
      <w:tr>
        <w:trPr>
          <w:trHeight w:val="33"/>
        </w:trPr>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Accretion</w:t>
            </w: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(9,087)</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23"/>
        </w:trPr>
        <w:tc>
          <w:tcPr>
            <w:tcW w:w="6400" w:type="dxa"/>
            <w:vAlign w:val="bottom"/>
          </w:tcPr>
          <w:p>
            <w:pPr>
              <w:ind w:left="1680"/>
              <w:spacing w:after="0"/>
              <w:rPr>
                <w:sz w:val="20"/>
                <w:szCs w:val="20"/>
                <w:color w:val="auto"/>
              </w:rPr>
            </w:pPr>
            <w:r>
              <w:rPr>
                <w:rFonts w:ascii="Arial" w:cs="Arial" w:eastAsia="Arial" w:hAnsi="Arial"/>
                <w:sz w:val="16"/>
                <w:szCs w:val="16"/>
                <w:color w:val="auto"/>
              </w:rPr>
              <w:t>Reclassification from nonaccretable difference</w:t>
            </w:r>
          </w:p>
        </w:tc>
        <w:tc>
          <w:tcPr>
            <w:tcW w:w="5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4,468</w:t>
            </w:r>
          </w:p>
        </w:tc>
        <w:tc>
          <w:tcPr>
            <w:tcW w:w="1620" w:type="dxa"/>
            <w:vAlign w:val="bottom"/>
          </w:tcPr>
          <w:p>
            <w:pPr>
              <w:spacing w:after="0"/>
              <w:rPr>
                <w:sz w:val="19"/>
                <w:szCs w:val="19"/>
                <w:color w:val="auto"/>
              </w:rPr>
            </w:pPr>
          </w:p>
        </w:tc>
      </w:tr>
      <w:tr>
        <w:trPr>
          <w:trHeight w:val="33"/>
        </w:trPr>
        <w:tc>
          <w:tcPr>
            <w:tcW w:w="6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20"/>
        </w:trPr>
        <w:tc>
          <w:tcPr>
            <w:tcW w:w="6400" w:type="dxa"/>
            <w:vAlign w:val="bottom"/>
            <w:shd w:val="clear" w:color="auto" w:fill="CCEEFF"/>
          </w:tcPr>
          <w:p>
            <w:pPr>
              <w:ind w:left="1680"/>
              <w:spacing w:after="0"/>
              <w:rPr>
                <w:sz w:val="20"/>
                <w:szCs w:val="20"/>
                <w:color w:val="auto"/>
              </w:rPr>
            </w:pPr>
            <w:r>
              <w:rPr>
                <w:rFonts w:ascii="Arial" w:cs="Arial" w:eastAsia="Arial" w:hAnsi="Arial"/>
                <w:sz w:val="16"/>
                <w:szCs w:val="16"/>
                <w:color w:val="auto"/>
              </w:rPr>
              <w:t>Changes in expected cash flows that do not affect nonaccretable</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39"/>
        </w:trPr>
        <w:tc>
          <w:tcPr>
            <w:tcW w:w="640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difference</w:t>
            </w: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2,759</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47"/>
        </w:trPr>
        <w:tc>
          <w:tcPr>
            <w:tcW w:w="6400" w:type="dxa"/>
            <w:vAlign w:val="bottom"/>
          </w:tcPr>
          <w:p>
            <w:pPr>
              <w:ind w:left="1680"/>
              <w:spacing w:after="0"/>
              <w:rPr>
                <w:sz w:val="20"/>
                <w:szCs w:val="20"/>
                <w:color w:val="auto"/>
              </w:rPr>
            </w:pPr>
            <w:r>
              <w:rPr>
                <w:rFonts w:ascii="Arial" w:cs="Arial" w:eastAsia="Arial" w:hAnsi="Arial"/>
                <w:sz w:val="16"/>
                <w:szCs w:val="16"/>
                <w:color w:val="auto"/>
              </w:rPr>
              <w:t>Balance at end of period</w:t>
            </w: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26,308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26,308</w:t>
            </w:r>
          </w:p>
        </w:tc>
        <w:tc>
          <w:tcPr>
            <w:tcW w:w="1620" w:type="dxa"/>
            <w:vAlign w:val="bottom"/>
          </w:tcPr>
          <w:p>
            <w:pPr>
              <w:spacing w:after="0"/>
              <w:rPr>
                <w:sz w:val="21"/>
                <w:szCs w:val="21"/>
                <w:color w:val="auto"/>
              </w:rPr>
            </w:pPr>
          </w:p>
        </w:tc>
      </w:tr>
      <w:tr>
        <w:trPr>
          <w:trHeight w:val="23"/>
        </w:trPr>
        <w:tc>
          <w:tcPr>
            <w:tcW w:w="6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aging of the amortized cost basis in loans by aging category and accrual status as of June 30, 2020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ind w:left="440"/>
              <w:spacing w:after="0"/>
              <w:rPr>
                <w:sz w:val="20"/>
                <w:szCs w:val="20"/>
                <w:color w:val="auto"/>
              </w:rPr>
            </w:pPr>
            <w:r>
              <w:rPr>
                <w:rFonts w:ascii="Arial" w:cs="Arial" w:eastAsia="Arial" w:hAnsi="Arial"/>
                <w:sz w:val="16"/>
                <w:szCs w:val="16"/>
                <w:b w:val="1"/>
                <w:bCs w:val="1"/>
                <w:color w:val="auto"/>
              </w:rPr>
              <w:t>Accruing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w w:val="89"/>
              </w:rPr>
              <w:t>Loans Past Due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Nonaccrual</w:t>
            </w: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Loans</w:t>
            </w: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30 - 59 Days</w:t>
            </w: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60 - 89 Days</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&gt; 90 Days</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Loans</w:t>
            </w:r>
          </w:p>
        </w:tc>
        <w:tc>
          <w:tcPr>
            <w:tcW w:w="12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Total Loans</w:t>
            </w:r>
          </w:p>
        </w:tc>
        <w:tc>
          <w:tcPr>
            <w:tcW w:w="0" w:type="dxa"/>
            <w:vAlign w:val="bottom"/>
          </w:tcPr>
          <w:p>
            <w:pPr>
              <w:spacing w:after="0"/>
              <w:rPr>
                <w:sz w:val="1"/>
                <w:szCs w:val="1"/>
                <w:color w:val="auto"/>
              </w:rPr>
            </w:pPr>
          </w:p>
        </w:tc>
      </w:tr>
      <w:tr>
        <w:trPr>
          <w:trHeight w:val="33"/>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1,745,613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10,710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1,759,617</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2,166,238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2,177,857</w:t>
            </w:r>
          </w:p>
        </w:tc>
        <w:tc>
          <w:tcPr>
            <w:tcW w:w="0" w:type="dxa"/>
            <w:vAlign w:val="bottom"/>
          </w:tcPr>
          <w:p>
            <w:pPr>
              <w:spacing w:after="0"/>
              <w:rPr>
                <w:sz w:val="1"/>
                <w:szCs w:val="1"/>
                <w:color w:val="auto"/>
              </w:rPr>
            </w:pPr>
          </w:p>
        </w:tc>
      </w:tr>
      <w:tr>
        <w:trPr>
          <w:trHeight w:val="224"/>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1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2,309,960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3,432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2,314,169</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943,153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945,748</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Equipment financing</w:t>
            </w:r>
          </w:p>
        </w:tc>
        <w:tc>
          <w:tcPr>
            <w:tcW w:w="1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773,000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778,749</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commercial</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7,937,964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7,976,140</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1,136,665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13,185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1,151,661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Home equity lines of credit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649,309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653,798</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229,626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230,231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119,884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120,680</w:t>
            </w:r>
          </w:p>
        </w:tc>
        <w:tc>
          <w:tcPr>
            <w:tcW w:w="0" w:type="dxa"/>
            <w:vAlign w:val="bottom"/>
          </w:tcPr>
          <w:p>
            <w:pPr>
              <w:spacing w:after="0"/>
              <w:rPr>
                <w:sz w:val="1"/>
                <w:szCs w:val="1"/>
                <w:color w:val="auto"/>
              </w:rPr>
            </w:pPr>
          </w:p>
        </w:tc>
      </w:tr>
      <w:tr>
        <w:trPr>
          <w:trHeight w:val="247"/>
        </w:trPr>
        <w:tc>
          <w:tcPr>
            <w:tcW w:w="4280" w:type="dxa"/>
            <w:vAlign w:val="bottom"/>
            <w:gridSpan w:val="2"/>
          </w:tcPr>
          <w:p>
            <w:pPr>
              <w:ind w:left="120"/>
              <w:spacing w:after="0"/>
              <w:rPr>
                <w:sz w:val="20"/>
                <w:szCs w:val="20"/>
                <w:color w:val="auto"/>
              </w:rPr>
            </w:pPr>
            <w:r>
              <w:rPr>
                <w:rFonts w:ascii="Arial" w:cs="Arial" w:eastAsia="Arial" w:hAnsi="Arial"/>
                <w:sz w:val="16"/>
                <w:szCs w:val="16"/>
                <w:color w:val="auto"/>
              </w:rPr>
              <w:t>Total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97"/>
              </w:rPr>
              <w:t>10,073,448</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7,853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3,187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48,021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10,132,510</w:t>
            </w:r>
          </w:p>
        </w:tc>
        <w:tc>
          <w:tcPr>
            <w:tcW w:w="0" w:type="dxa"/>
            <w:vAlign w:val="bottom"/>
          </w:tcPr>
          <w:p>
            <w:pPr>
              <w:spacing w:after="0"/>
              <w:rPr>
                <w:sz w:val="1"/>
                <w:szCs w:val="1"/>
                <w:color w:val="auto"/>
              </w:rPr>
            </w:pPr>
          </w:p>
        </w:tc>
      </w:tr>
      <w:tr>
        <w:trPr>
          <w:trHeight w:val="24"/>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aging of recorded investment in loans, including accruing and nonaccrual loans, as of December 31, 2019 </w:t>
      </w:r>
      <w:r>
        <w:rPr>
          <w:rFonts w:ascii="Arial" w:cs="Arial" w:eastAsia="Arial" w:hAnsi="Arial"/>
          <w:sz w:val="16"/>
          <w:szCs w:val="16"/>
          <w:i w:val="1"/>
          <w:i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9"/>
          </w:tcPr>
          <w:p>
            <w:pPr>
              <w:jc w:val="right"/>
              <w:spacing w:after="0"/>
              <w:rPr>
                <w:sz w:val="20"/>
                <w:szCs w:val="20"/>
                <w:color w:val="auto"/>
              </w:rPr>
            </w:pPr>
            <w:r>
              <w:rPr>
                <w:rFonts w:ascii="Arial" w:cs="Arial" w:eastAsia="Arial" w:hAnsi="Arial"/>
                <w:sz w:val="16"/>
                <w:szCs w:val="16"/>
                <w:b w:val="1"/>
                <w:bCs w:val="1"/>
                <w:color w:val="auto"/>
              </w:rPr>
              <w:t>Loans Past Due - Accruing and Nonaccrual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30 - 59 Days</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60 - 89 Days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 xml:space="preserve">&gt; 90 Days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Loans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4"/>
              </w:rPr>
              <w:t>PCI Loans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1,700,682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1,720,227</w:t>
            </w:r>
          </w:p>
        </w:tc>
        <w:tc>
          <w:tcPr>
            <w:tcW w:w="0" w:type="dxa"/>
            <w:vAlign w:val="bottom"/>
          </w:tcPr>
          <w:p>
            <w:pPr>
              <w:spacing w:after="0"/>
              <w:rPr>
                <w:sz w:val="1"/>
                <w:szCs w:val="1"/>
                <w:color w:val="auto"/>
              </w:rPr>
            </w:pPr>
          </w:p>
        </w:tc>
      </w:tr>
      <w:tr>
        <w:trPr>
          <w:trHeight w:val="224"/>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1,979,053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27,228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2,007,950</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1,215,581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1,220,657</w:t>
            </w:r>
          </w:p>
        </w:tc>
        <w:tc>
          <w:tcPr>
            <w:tcW w:w="0" w:type="dxa"/>
            <w:vAlign w:val="bottom"/>
          </w:tcPr>
          <w:p>
            <w:pPr>
              <w:spacing w:after="0"/>
              <w:rPr>
                <w:sz w:val="1"/>
                <w:szCs w:val="1"/>
                <w:color w:val="auto"/>
              </w:rPr>
            </w:pPr>
          </w:p>
        </w:tc>
      </w:tr>
      <w:tr>
        <w:trPr>
          <w:trHeight w:val="223"/>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1,867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966,833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976,215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734,526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744,544</w:t>
            </w:r>
          </w:p>
        </w:tc>
        <w:tc>
          <w:tcPr>
            <w:tcW w:w="0" w:type="dxa"/>
            <w:vAlign w:val="bottom"/>
          </w:tcPr>
          <w:p>
            <w:pPr>
              <w:spacing w:after="0"/>
              <w:rPr>
                <w:sz w:val="1"/>
                <w:szCs w:val="1"/>
                <w:color w:val="auto"/>
              </w:rPr>
            </w:pPr>
          </w:p>
        </w:tc>
      </w:tr>
      <w:tr>
        <w:trPr>
          <w:trHeight w:val="217"/>
        </w:trPr>
        <w:tc>
          <w:tcPr>
            <w:tcW w:w="3320" w:type="dxa"/>
            <w:vAlign w:val="bottom"/>
            <w:gridSpan w:val="2"/>
          </w:tcPr>
          <w:p>
            <w:pPr>
              <w:ind w:left="120"/>
              <w:spacing w:after="0"/>
              <w:rPr>
                <w:sz w:val="20"/>
                <w:szCs w:val="20"/>
                <w:color w:val="auto"/>
              </w:rPr>
            </w:pPr>
            <w:r>
              <w:rPr>
                <w:rFonts w:ascii="Arial" w:cs="Arial" w:eastAsia="Arial" w:hAnsi="Arial"/>
                <w:sz w:val="16"/>
                <w:szCs w:val="16"/>
                <w:color w:val="auto"/>
              </w:rPr>
              <w:t>Total commercial</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9,547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25,971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5"/>
              </w:rPr>
              <w:t>6,596,675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46,947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95"/>
              </w:rPr>
              <w:t>6,669,593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1,097,999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1,117,616</w:t>
            </w:r>
          </w:p>
        </w:tc>
        <w:tc>
          <w:tcPr>
            <w:tcW w:w="0" w:type="dxa"/>
            <w:vAlign w:val="bottom"/>
          </w:tcPr>
          <w:p>
            <w:pPr>
              <w:spacing w:after="0"/>
              <w:rPr>
                <w:sz w:val="1"/>
                <w:szCs w:val="1"/>
                <w:color w:val="auto"/>
              </w:rPr>
            </w:pPr>
          </w:p>
        </w:tc>
      </w:tr>
      <w:tr>
        <w:trPr>
          <w:trHeight w:val="224"/>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655,762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660,675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235,211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236,437</w:t>
            </w:r>
          </w:p>
        </w:tc>
        <w:tc>
          <w:tcPr>
            <w:tcW w:w="0" w:type="dxa"/>
            <w:vAlign w:val="bottom"/>
          </w:tcPr>
          <w:p>
            <w:pPr>
              <w:spacing w:after="0"/>
              <w:rPr>
                <w:sz w:val="1"/>
                <w:szCs w:val="1"/>
                <w:color w:val="auto"/>
              </w:rPr>
            </w:pPr>
          </w:p>
        </w:tc>
      </w:tr>
      <w:tr>
        <w:trPr>
          <w:trHeight w:val="224"/>
        </w:trPr>
        <w:tc>
          <w:tcPr>
            <w:tcW w:w="3320" w:type="dxa"/>
            <w:vAlign w:val="bottom"/>
            <w:gridSpan w:val="2"/>
          </w:tcPr>
          <w:p>
            <w:pPr>
              <w:ind w:left="2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127,020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128,232</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loans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7,623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41,240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8,712,667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58,646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8,812,553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Excluding PCI loans, substantially all loans more than 90 days past due were on nonaccrual status at December 31, 2019.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nonaccrual loans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CECL</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Incurred Loss</w:t>
            </w: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2020</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 2019</w:t>
            </w: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Nonaccrual</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Nonaccrual</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loans with no</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loans with an</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Nonaccrual</w:t>
            </w:r>
          </w:p>
        </w:tc>
        <w:tc>
          <w:tcPr>
            <w:tcW w:w="160" w:type="dxa"/>
            <w:vAlign w:val="bottom"/>
          </w:tcPr>
          <w:p>
            <w:pPr>
              <w:spacing w:after="0"/>
              <w:rPr>
                <w:sz w:val="17"/>
                <w:szCs w:val="17"/>
                <w:color w:val="auto"/>
              </w:rPr>
            </w:pPr>
          </w:p>
        </w:tc>
        <w:tc>
          <w:tcPr>
            <w:tcW w:w="162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Nonaccrual</w:t>
            </w:r>
          </w:p>
        </w:tc>
      </w:tr>
      <w:tr>
        <w:trPr>
          <w:trHeight w:val="210"/>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allowance</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allowance</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Loans</w:t>
            </w:r>
          </w:p>
        </w:tc>
        <w:tc>
          <w:tcPr>
            <w:tcW w:w="160" w:type="dxa"/>
            <w:vAlign w:val="bottom"/>
          </w:tcPr>
          <w:p>
            <w:pPr>
              <w:spacing w:after="0"/>
              <w:rPr>
                <w:sz w:val="18"/>
                <w:szCs w:val="18"/>
                <w:color w:val="auto"/>
              </w:rPr>
            </w:pPr>
          </w:p>
        </w:tc>
        <w:tc>
          <w:tcPr>
            <w:tcW w:w="16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Loans</w:t>
            </w:r>
          </w:p>
        </w:tc>
      </w:tr>
      <w:tr>
        <w:trPr>
          <w:trHeight w:val="33"/>
        </w:trPr>
        <w:tc>
          <w:tcPr>
            <w:tcW w:w="5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6,564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4,146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10,710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10,544</w:t>
            </w: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1,996</w:t>
            </w:r>
          </w:p>
        </w:tc>
      </w:tr>
      <w:tr>
        <w:trPr>
          <w:trHeight w:val="223"/>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2,545</w:t>
            </w: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2,277</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Equipment financing</w:t>
            </w: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3,141</w:t>
            </w:r>
          </w:p>
        </w:tc>
      </w:tr>
      <w:tr>
        <w:trPr>
          <w:trHeight w:val="33"/>
        </w:trPr>
        <w:tc>
          <w:tcPr>
            <w:tcW w:w="5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commercial</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20,503</w:t>
            </w:r>
          </w:p>
        </w:tc>
      </w:tr>
      <w:tr>
        <w:trPr>
          <w:trHeight w:val="223"/>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2,918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13,185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10,567</w:t>
            </w: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6"/>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Home equity lines of credit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3,173</w:t>
            </w:r>
          </w:p>
        </w:tc>
      </w:tr>
      <w:tr>
        <w:trPr>
          <w:trHeight w:val="224"/>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939</w:t>
            </w:r>
          </w:p>
        </w:tc>
      </w:tr>
      <w:tr>
        <w:trPr>
          <w:trHeight w:val="33"/>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7"/>
        </w:trPr>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r>
      <w:tr>
        <w:trPr>
          <w:trHeight w:val="247"/>
        </w:trPr>
        <w:tc>
          <w:tcPr>
            <w:tcW w:w="554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24,351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23,670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48,021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35,341</w:t>
            </w:r>
          </w:p>
        </w:tc>
      </w:tr>
      <w:tr>
        <w:trPr>
          <w:trHeight w:val="24"/>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$661,000 and $249,000 for the three months ended June 30, 2020 and 2019, respectively, and $1.13 million and $627,000 for the six months ended June 30,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the pass / fail grading system, loans that are on nonaccrual status, become past due 90 days, or are in bankruptcy are classified as “fail” and all other loans are classified as “pass”. For purposes of the table below, loans in these categories that are classified as “fail” are reported as substandard and all other loans are reported as pass.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Based on the most recent analysis performed, the amortized cost of loans by risk category by vintage year as of the date indicated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760" w:type="dxa"/>
        <w:tblCellMar>
          <w:top w:w="0" w:type="dxa"/>
          <w:left w:w="0" w:type="dxa"/>
          <w:bottom w:w="0" w:type="dxa"/>
          <w:right w:w="0" w:type="dxa"/>
        </w:tblCellMar>
      </w:tblPr>
      <w:tr>
        <w:trPr>
          <w:trHeight w:val="178"/>
        </w:trPr>
        <w:tc>
          <w:tcPr>
            <w:tcW w:w="1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620"/>
              <w:spacing w:after="0"/>
              <w:rPr>
                <w:sz w:val="20"/>
                <w:szCs w:val="20"/>
                <w:color w:val="auto"/>
              </w:rPr>
            </w:pPr>
            <w:r>
              <w:rPr>
                <w:rFonts w:ascii="Arial" w:cs="Arial" w:eastAsia="Arial" w:hAnsi="Arial"/>
                <w:sz w:val="13"/>
                <w:szCs w:val="13"/>
                <w:b w:val="1"/>
                <w:bCs w:val="1"/>
                <w:color w:val="auto"/>
                <w:w w:val="87"/>
              </w:rPr>
              <w:t>As of June 30, 2020</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20" w:type="dxa"/>
            <w:vAlign w:val="bottom"/>
            <w:gridSpan w:val="7"/>
          </w:tcPr>
          <w:p>
            <w:pPr>
              <w:ind w:left="60"/>
              <w:spacing w:after="0"/>
              <w:rPr>
                <w:sz w:val="20"/>
                <w:szCs w:val="20"/>
                <w:color w:val="auto"/>
              </w:rPr>
            </w:pPr>
            <w:r>
              <w:rPr>
                <w:rFonts w:ascii="Arial" w:cs="Arial" w:eastAsia="Arial" w:hAnsi="Arial"/>
                <w:sz w:val="13"/>
                <w:szCs w:val="13"/>
                <w:b w:val="1"/>
                <w:bCs w:val="1"/>
                <w:color w:val="auto"/>
                <w:w w:val="98"/>
              </w:rPr>
              <w:t>Term Loans by Origination Year</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Revolvers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3"/>
            <w:vMerge w:val="restart"/>
          </w:tcPr>
          <w:p>
            <w:pPr>
              <w:jc w:val="center"/>
              <w:ind w:right="120"/>
              <w:spacing w:after="0" w:line="126" w:lineRule="exact"/>
              <w:rPr>
                <w:sz w:val="20"/>
                <w:szCs w:val="20"/>
                <w:color w:val="auto"/>
              </w:rPr>
            </w:pPr>
            <w:r>
              <w:rPr>
                <w:rFonts w:ascii="Arial" w:cs="Arial" w:eastAsia="Arial" w:hAnsi="Arial"/>
                <w:sz w:val="13"/>
                <w:szCs w:val="13"/>
                <w:b w:val="1"/>
                <w:bCs w:val="1"/>
                <w:color w:val="auto"/>
                <w:w w:val="89"/>
              </w:rPr>
              <w:t>converted to</w:t>
            </w: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5"/>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95"/>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Revolvers</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term loans</w:t>
            </w:r>
          </w:p>
        </w:tc>
        <w:tc>
          <w:tcPr>
            <w:tcW w:w="140" w:type="dxa"/>
            <w:vAlign w:val="bottom"/>
          </w:tcPr>
          <w:p>
            <w:pPr>
              <w:spacing w:after="0"/>
              <w:rPr>
                <w:sz w:val="15"/>
                <w:szCs w:val="15"/>
                <w:color w:val="auto"/>
              </w:rPr>
            </w:pPr>
          </w:p>
        </w:tc>
        <w:tc>
          <w:tcPr>
            <w:tcW w:w="720" w:type="dxa"/>
            <w:vAlign w:val="bottom"/>
          </w:tcPr>
          <w:p>
            <w:pPr>
              <w:jc w:val="right"/>
              <w:ind w:right="21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Owner occupied</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291,879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389,657</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246,017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220,588</w:t>
            </w:r>
          </w:p>
        </w:tc>
        <w:tc>
          <w:tcPr>
            <w:tcW w:w="12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211,852</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256,821</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48,274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11,150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1,676,238</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5,123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4,549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7,334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7,546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32,747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6,314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8,441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5,970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13,842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3,063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9,438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2,259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1,305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50,632</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owner</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occupied</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commercial real</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estate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303,316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402,647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255,140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241,764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222,461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270,376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51,393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12,520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1,759,617</w:t>
            </w:r>
          </w:p>
        </w:tc>
        <w:tc>
          <w:tcPr>
            <w:tcW w:w="0" w:type="dxa"/>
            <w:vAlign w:val="bottom"/>
          </w:tcPr>
          <w:p>
            <w:pPr>
              <w:spacing w:after="0"/>
              <w:rPr>
                <w:sz w:val="1"/>
                <w:szCs w:val="1"/>
                <w:color w:val="auto"/>
              </w:rPr>
            </w:pPr>
          </w:p>
        </w:tc>
      </w:tr>
      <w:tr>
        <w:trPr>
          <w:trHeight w:val="171"/>
        </w:trPr>
        <w:tc>
          <w:tcPr>
            <w:tcW w:w="1440" w:type="dxa"/>
            <w:vAlign w:val="bottom"/>
          </w:tcPr>
          <w:p>
            <w:pPr>
              <w:ind w:left="20"/>
              <w:spacing w:after="0"/>
              <w:rPr>
                <w:sz w:val="20"/>
                <w:szCs w:val="20"/>
                <w:color w:val="auto"/>
              </w:rPr>
            </w:pPr>
            <w:r>
              <w:rPr>
                <w:rFonts w:ascii="Arial" w:cs="Arial" w:eastAsia="Arial" w:hAnsi="Arial"/>
                <w:sz w:val="13"/>
                <w:szCs w:val="13"/>
                <w:color w:val="auto"/>
              </w:rPr>
              <w:t>Income producing</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352,274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470,496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441,607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288,448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265,489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229,116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2,089,510</w:t>
            </w:r>
          </w:p>
        </w:tc>
        <w:tc>
          <w:tcPr>
            <w:tcW w:w="0" w:type="dxa"/>
            <w:vAlign w:val="bottom"/>
          </w:tcPr>
          <w:p>
            <w:pPr>
              <w:spacing w:after="0"/>
              <w:rPr>
                <w:sz w:val="1"/>
                <w:szCs w:val="1"/>
                <w:color w:val="auto"/>
              </w:rPr>
            </w:pPr>
          </w:p>
        </w:tc>
      </w:tr>
      <w:tr>
        <w:trPr>
          <w:trHeight w:val="195"/>
        </w:trPr>
        <w:tc>
          <w:tcPr>
            <w:tcW w:w="1440" w:type="dxa"/>
            <w:vAlign w:val="bottom"/>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7,022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12,420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14,298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2,231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17,941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3,859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1,777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59,548</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7,753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5,731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28,799</w:t>
            </w:r>
          </w:p>
        </w:tc>
        <w:tc>
          <w:tcPr>
            <w:tcW w:w="0" w:type="dxa"/>
            <w:vAlign w:val="bottom"/>
          </w:tcPr>
          <w:p>
            <w:pPr>
              <w:spacing w:after="0"/>
              <w:rPr>
                <w:sz w:val="1"/>
                <w:szCs w:val="1"/>
                <w:color w:val="auto"/>
              </w:rPr>
            </w:pPr>
          </w:p>
        </w:tc>
      </w:tr>
      <w:tr>
        <w:trPr>
          <w:trHeight w:val="151"/>
        </w:trPr>
        <w:tc>
          <w:tcPr>
            <w:tcW w:w="1440" w:type="dxa"/>
            <w:vAlign w:val="bottom"/>
          </w:tcPr>
          <w:p>
            <w:pPr>
              <w:ind w:left="200"/>
              <w:spacing w:after="0"/>
              <w:rPr>
                <w:sz w:val="20"/>
                <w:szCs w:val="20"/>
                <w:color w:val="auto"/>
              </w:rPr>
            </w:pPr>
            <w:r>
              <w:rPr>
                <w:rFonts w:ascii="Arial" w:cs="Arial" w:eastAsia="Arial" w:hAnsi="Arial"/>
                <w:sz w:val="13"/>
                <w:szCs w:val="13"/>
                <w:color w:val="auto"/>
              </w:rPr>
              <w:t>Total income</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0"/>
              <w:spacing w:after="0"/>
              <w:rPr>
                <w:sz w:val="20"/>
                <w:szCs w:val="20"/>
                <w:color w:val="auto"/>
              </w:rPr>
            </w:pPr>
            <w:r>
              <w:rPr>
                <w:rFonts w:ascii="Arial" w:cs="Arial" w:eastAsia="Arial" w:hAnsi="Arial"/>
                <w:sz w:val="13"/>
                <w:szCs w:val="13"/>
                <w:color w:val="auto"/>
              </w:rPr>
              <w:t>producing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0"/>
              <w:spacing w:after="0"/>
              <w:rPr>
                <w:sz w:val="20"/>
                <w:szCs w:val="20"/>
                <w:color w:val="auto"/>
              </w:rPr>
            </w:pPr>
            <w:r>
              <w:rPr>
                <w:rFonts w:ascii="Arial" w:cs="Arial" w:eastAsia="Arial" w:hAnsi="Arial"/>
                <w:sz w:val="13"/>
                <w:szCs w:val="13"/>
                <w:color w:val="auto"/>
              </w:rPr>
              <w:t>commercial real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0"/>
              <w:spacing w:after="0"/>
              <w:rPr>
                <w:sz w:val="20"/>
                <w:szCs w:val="20"/>
                <w:color w:val="auto"/>
              </w:rPr>
            </w:pPr>
            <w:r>
              <w:rPr>
                <w:rFonts w:ascii="Arial" w:cs="Arial" w:eastAsia="Arial" w:hAnsi="Arial"/>
                <w:sz w:val="13"/>
                <w:szCs w:val="13"/>
                <w:color w:val="auto"/>
              </w:rPr>
              <w:t>estate</w:t>
            </w: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367,049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493,133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458,572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296,410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283,649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235,084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32,460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11,500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2,177,857</w:t>
            </w:r>
          </w:p>
        </w:tc>
        <w:tc>
          <w:tcPr>
            <w:tcW w:w="0" w:type="dxa"/>
            <w:vAlign w:val="bottom"/>
          </w:tcPr>
          <w:p>
            <w:pPr>
              <w:spacing w:after="0"/>
              <w:rPr>
                <w:sz w:val="1"/>
                <w:szCs w:val="1"/>
                <w:color w:val="auto"/>
              </w:rPr>
            </w:pPr>
          </w:p>
        </w:tc>
      </w:tr>
      <w:tr>
        <w:trPr>
          <w:trHeight w:val="179"/>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&amp;</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w w:val="96"/>
              </w:rPr>
              <w:t>1,267,194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229,358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225,334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108,145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88,314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56,600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269,416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5,660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2,250,021</w:t>
            </w:r>
          </w:p>
        </w:tc>
        <w:tc>
          <w:tcPr>
            <w:tcW w:w="0" w:type="dxa"/>
            <w:vAlign w:val="bottom"/>
          </w:tcPr>
          <w:p>
            <w:pPr>
              <w:spacing w:after="0"/>
              <w:rPr>
                <w:sz w:val="1"/>
                <w:szCs w:val="1"/>
                <w:color w:val="auto"/>
              </w:rPr>
            </w:pPr>
          </w:p>
        </w:tc>
      </w:tr>
      <w:tr>
        <w:trPr>
          <w:trHeight w:val="211"/>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11,374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19,539</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7,301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1,419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1,527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2,774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2,083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1,537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27,208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760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44,609</w:t>
            </w:r>
          </w:p>
        </w:tc>
        <w:tc>
          <w:tcPr>
            <w:tcW w:w="0" w:type="dxa"/>
            <w:vAlign w:val="bottom"/>
          </w:tcPr>
          <w:p>
            <w:pPr>
              <w:spacing w:after="0"/>
              <w:rPr>
                <w:sz w:val="1"/>
                <w:szCs w:val="1"/>
                <w:color w:val="auto"/>
              </w:rPr>
            </w:pPr>
          </w:p>
        </w:tc>
      </w:tr>
      <w:tr>
        <w:trPr>
          <w:trHeight w:val="157"/>
        </w:trPr>
        <w:tc>
          <w:tcPr>
            <w:tcW w:w="1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commercial &amp;</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6"/>
              </w:rPr>
              <w:t>1,276,205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233,562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229,024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111,511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91,137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58,184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307,998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6,548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2,314,169</w:t>
            </w:r>
          </w:p>
        </w:tc>
        <w:tc>
          <w:tcPr>
            <w:tcW w:w="0" w:type="dxa"/>
            <w:vAlign w:val="bottom"/>
          </w:tcPr>
          <w:p>
            <w:pPr>
              <w:spacing w:after="0"/>
              <w:rPr>
                <w:sz w:val="1"/>
                <w:szCs w:val="1"/>
                <w:color w:val="auto"/>
              </w:rPr>
            </w:pPr>
          </w:p>
        </w:tc>
      </w:tr>
      <w:tr>
        <w:trPr>
          <w:trHeight w:val="171"/>
        </w:trPr>
        <w:tc>
          <w:tcPr>
            <w:tcW w:w="1440" w:type="dxa"/>
            <w:vAlign w:val="bottom"/>
          </w:tcPr>
          <w:p>
            <w:pPr>
              <w:ind w:left="20"/>
              <w:spacing w:after="0"/>
              <w:rPr>
                <w:sz w:val="20"/>
                <w:szCs w:val="20"/>
                <w:color w:val="auto"/>
              </w:rPr>
            </w:pPr>
            <w:r>
              <w:rPr>
                <w:rFonts w:ascii="Arial" w:cs="Arial" w:eastAsia="Arial" w:hAnsi="Arial"/>
                <w:sz w:val="13"/>
                <w:szCs w:val="13"/>
                <w:color w:val="auto"/>
              </w:rPr>
              <w:t>Commercial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
              <w:spacing w:after="0"/>
              <w:rPr>
                <w:sz w:val="20"/>
                <w:szCs w:val="20"/>
                <w:color w:val="auto"/>
              </w:rPr>
            </w:pPr>
            <w:r>
              <w:rPr>
                <w:rFonts w:ascii="Arial" w:cs="Arial" w:eastAsia="Arial" w:hAnsi="Arial"/>
                <w:sz w:val="13"/>
                <w:szCs w:val="13"/>
                <w:color w:val="auto"/>
              </w:rPr>
              <w:t>construction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173,064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222,025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279,580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132,311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90,840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7,388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933,498</w:t>
            </w:r>
          </w:p>
        </w:tc>
        <w:tc>
          <w:tcPr>
            <w:tcW w:w="0" w:type="dxa"/>
            <w:vAlign w:val="bottom"/>
          </w:tcPr>
          <w:p>
            <w:pPr>
              <w:spacing w:after="0"/>
              <w:rPr>
                <w:sz w:val="1"/>
                <w:szCs w:val="1"/>
                <w:color w:val="auto"/>
              </w:rPr>
            </w:pPr>
          </w:p>
        </w:tc>
      </w:tr>
      <w:tr>
        <w:trPr>
          <w:trHeight w:val="194"/>
        </w:trPr>
        <w:tc>
          <w:tcPr>
            <w:tcW w:w="1440" w:type="dxa"/>
            <w:vAlign w:val="bottom"/>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538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1,054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973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248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2,932</w:t>
            </w:r>
          </w:p>
        </w:tc>
        <w:tc>
          <w:tcPr>
            <w:tcW w:w="0" w:type="dxa"/>
            <w:vAlign w:val="bottom"/>
          </w:tcPr>
          <w:p>
            <w:pPr>
              <w:spacing w:after="0"/>
              <w:rPr>
                <w:sz w:val="1"/>
                <w:szCs w:val="1"/>
                <w:color w:val="auto"/>
              </w:rPr>
            </w:pPr>
          </w:p>
        </w:tc>
      </w:tr>
      <w:tr>
        <w:trPr>
          <w:trHeight w:val="211"/>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9,318</w:t>
            </w:r>
          </w:p>
        </w:tc>
        <w:tc>
          <w:tcPr>
            <w:tcW w:w="0" w:type="dxa"/>
            <w:vAlign w:val="bottom"/>
          </w:tcPr>
          <w:p>
            <w:pPr>
              <w:spacing w:after="0"/>
              <w:rPr>
                <w:sz w:val="1"/>
                <w:szCs w:val="1"/>
                <w:color w:val="auto"/>
              </w:rPr>
            </w:pPr>
          </w:p>
        </w:tc>
      </w:tr>
      <w:tr>
        <w:trPr>
          <w:trHeight w:val="151"/>
        </w:trPr>
        <w:tc>
          <w:tcPr>
            <w:tcW w:w="1440" w:type="dxa"/>
            <w:vAlign w:val="bottom"/>
          </w:tcPr>
          <w:p>
            <w:pPr>
              <w:ind w:left="200"/>
              <w:spacing w:after="0"/>
              <w:rPr>
                <w:sz w:val="20"/>
                <w:szCs w:val="20"/>
                <w:color w:val="auto"/>
              </w:rPr>
            </w:pPr>
            <w:r>
              <w:rPr>
                <w:rFonts w:ascii="Arial" w:cs="Arial" w:eastAsia="Arial" w:hAnsi="Arial"/>
                <w:sz w:val="13"/>
                <w:szCs w:val="13"/>
                <w:color w:val="auto"/>
              </w:rPr>
              <w:t>Total commercial</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0"/>
              <w:spacing w:after="0"/>
              <w:rPr>
                <w:sz w:val="20"/>
                <w:szCs w:val="20"/>
                <w:color w:val="auto"/>
              </w:rPr>
            </w:pPr>
            <w:r>
              <w:rPr>
                <w:rFonts w:ascii="Arial" w:cs="Arial" w:eastAsia="Arial" w:hAnsi="Arial"/>
                <w:sz w:val="13"/>
                <w:szCs w:val="13"/>
                <w:color w:val="auto"/>
              </w:rPr>
              <w:t>construction</w:t>
            </w: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176,968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225,138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281,292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132,766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91,832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17,590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11,349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8,813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945,748</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201,088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327,673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168,784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58,013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17,429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2,003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774,990</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3,759</w:t>
            </w:r>
          </w:p>
        </w:tc>
        <w:tc>
          <w:tcPr>
            <w:tcW w:w="0" w:type="dxa"/>
            <w:vAlign w:val="bottom"/>
          </w:tcPr>
          <w:p>
            <w:pPr>
              <w:spacing w:after="0"/>
              <w:rPr>
                <w:sz w:val="1"/>
                <w:szCs w:val="1"/>
                <w:color w:val="auto"/>
              </w:rPr>
            </w:pPr>
          </w:p>
        </w:tc>
      </w:tr>
      <w:tr>
        <w:trPr>
          <w:trHeight w:val="151"/>
        </w:trPr>
        <w:tc>
          <w:tcPr>
            <w:tcW w:w="1440" w:type="dxa"/>
            <w:vAlign w:val="bottom"/>
          </w:tcPr>
          <w:p>
            <w:pPr>
              <w:ind w:left="200"/>
              <w:spacing w:after="0"/>
              <w:rPr>
                <w:sz w:val="20"/>
                <w:szCs w:val="20"/>
                <w:color w:val="auto"/>
              </w:rPr>
            </w:pPr>
            <w:r>
              <w:rPr>
                <w:rFonts w:ascii="Arial" w:cs="Arial" w:eastAsia="Arial" w:hAnsi="Arial"/>
                <w:sz w:val="13"/>
                <w:szCs w:val="13"/>
                <w:color w:val="auto"/>
              </w:rPr>
              <w:t>Total equipment</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0"/>
              <w:spacing w:after="0"/>
              <w:rPr>
                <w:sz w:val="20"/>
                <w:szCs w:val="20"/>
                <w:color w:val="auto"/>
              </w:rPr>
            </w:pPr>
            <w:r>
              <w:rPr>
                <w:rFonts w:ascii="Arial" w:cs="Arial" w:eastAsia="Arial" w:hAnsi="Arial"/>
                <w:sz w:val="13"/>
                <w:szCs w:val="13"/>
                <w:color w:val="auto"/>
              </w:rPr>
              <w:t>financing</w:t>
            </w: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201,136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328,830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170,526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58,583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17,610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2,064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778,749</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216,923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228,371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163,632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145,081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124,323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248,565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7,647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1,134,553</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7,945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17,108</w:t>
            </w:r>
          </w:p>
        </w:tc>
        <w:tc>
          <w:tcPr>
            <w:tcW w:w="0" w:type="dxa"/>
            <w:vAlign w:val="bottom"/>
          </w:tcPr>
          <w:p>
            <w:pPr>
              <w:spacing w:after="0"/>
              <w:rPr>
                <w:sz w:val="1"/>
                <w:szCs w:val="1"/>
                <w:color w:val="auto"/>
              </w:rPr>
            </w:pPr>
          </w:p>
        </w:tc>
      </w:tr>
      <w:tr>
        <w:trPr>
          <w:trHeight w:val="151"/>
        </w:trPr>
        <w:tc>
          <w:tcPr>
            <w:tcW w:w="1440" w:type="dxa"/>
            <w:vAlign w:val="bottom"/>
          </w:tcPr>
          <w:p>
            <w:pPr>
              <w:ind w:left="200"/>
              <w:spacing w:after="0"/>
              <w:rPr>
                <w:sz w:val="20"/>
                <w:szCs w:val="20"/>
                <w:color w:val="auto"/>
              </w:rPr>
            </w:pPr>
            <w:r>
              <w:rPr>
                <w:rFonts w:ascii="Arial" w:cs="Arial" w:eastAsia="Arial" w:hAnsi="Arial"/>
                <w:sz w:val="13"/>
                <w:szCs w:val="13"/>
                <w:color w:val="auto"/>
              </w:rPr>
              <w:t>Total residential</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0"/>
              <w:spacing w:after="0"/>
              <w:rPr>
                <w:sz w:val="20"/>
                <w:szCs w:val="20"/>
                <w:color w:val="auto"/>
              </w:rPr>
            </w:pPr>
            <w:r>
              <w:rPr>
                <w:rFonts w:ascii="Arial" w:cs="Arial" w:eastAsia="Arial" w:hAnsi="Arial"/>
                <w:sz w:val="13"/>
                <w:szCs w:val="13"/>
                <w:color w:val="auto"/>
              </w:rPr>
              <w:t>mortgage</w:t>
            </w: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218,565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230,272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166,716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146,408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125,124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256,510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8,055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1,151,661</w:t>
            </w:r>
          </w:p>
        </w:tc>
        <w:tc>
          <w:tcPr>
            <w:tcW w:w="0" w:type="dxa"/>
            <w:vAlign w:val="bottom"/>
          </w:tcPr>
          <w:p>
            <w:pPr>
              <w:spacing w:after="0"/>
              <w:rPr>
                <w:sz w:val="1"/>
                <w:szCs w:val="1"/>
                <w:color w:val="auto"/>
              </w:rPr>
            </w:pPr>
          </w:p>
        </w:tc>
      </w:tr>
      <w:tr>
        <w:trPr>
          <w:trHeight w:val="179"/>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Home equity lines of</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credit</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631,916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17,504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649,420</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4,201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4,378</w:t>
            </w:r>
          </w:p>
        </w:tc>
        <w:tc>
          <w:tcPr>
            <w:tcW w:w="0" w:type="dxa"/>
            <w:vAlign w:val="bottom"/>
          </w:tcPr>
          <w:p>
            <w:pPr>
              <w:spacing w:after="0"/>
              <w:rPr>
                <w:sz w:val="1"/>
                <w:szCs w:val="1"/>
                <w:color w:val="auto"/>
              </w:rPr>
            </w:pPr>
          </w:p>
        </w:tc>
      </w:tr>
      <w:tr>
        <w:trPr>
          <w:trHeight w:val="151"/>
        </w:trPr>
        <w:tc>
          <w:tcPr>
            <w:tcW w:w="1440" w:type="dxa"/>
            <w:vAlign w:val="bottom"/>
          </w:tcPr>
          <w:p>
            <w:pPr>
              <w:ind w:left="200"/>
              <w:spacing w:after="0"/>
              <w:rPr>
                <w:sz w:val="20"/>
                <w:szCs w:val="20"/>
                <w:color w:val="auto"/>
              </w:rPr>
            </w:pPr>
            <w:r>
              <w:rPr>
                <w:rFonts w:ascii="Arial" w:cs="Arial" w:eastAsia="Arial" w:hAnsi="Arial"/>
                <w:sz w:val="13"/>
                <w:szCs w:val="13"/>
                <w:color w:val="auto"/>
              </w:rPr>
              <w:t>Total home equity</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0"/>
              <w:spacing w:after="0"/>
              <w:rPr>
                <w:sz w:val="20"/>
                <w:szCs w:val="20"/>
                <w:color w:val="auto"/>
              </w:rPr>
            </w:pPr>
            <w:r>
              <w:rPr>
                <w:rFonts w:ascii="Arial" w:cs="Arial" w:eastAsia="Arial" w:hAnsi="Arial"/>
                <w:sz w:val="13"/>
                <w:szCs w:val="13"/>
                <w:color w:val="auto"/>
              </w:rPr>
              <w:t>lines of credit</w:t>
            </w: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632,093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21,705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653,798</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4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86,914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107,671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8,236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5,427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4,761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16,430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229,512</w:t>
            </w:r>
          </w:p>
        </w:tc>
        <w:tc>
          <w:tcPr>
            <w:tcW w:w="0" w:type="dxa"/>
            <w:vAlign w:val="bottom"/>
          </w:tcPr>
          <w:p>
            <w:pPr>
              <w:spacing w:after="0"/>
              <w:rPr>
                <w:sz w:val="1"/>
                <w:szCs w:val="1"/>
                <w:color w:val="auto"/>
              </w:rPr>
            </w:pPr>
          </w:p>
        </w:tc>
      </w:tr>
      <w:tr>
        <w:trPr>
          <w:trHeight w:val="210"/>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719</w:t>
            </w:r>
          </w:p>
        </w:tc>
        <w:tc>
          <w:tcPr>
            <w:tcW w:w="0" w:type="dxa"/>
            <w:vAlign w:val="bottom"/>
          </w:tcPr>
          <w:p>
            <w:pPr>
              <w:spacing w:after="0"/>
              <w:rPr>
                <w:sz w:val="1"/>
                <w:szCs w:val="1"/>
                <w:color w:val="auto"/>
              </w:rPr>
            </w:pPr>
          </w:p>
        </w:tc>
      </w:tr>
      <w:tr>
        <w:trPr>
          <w:trHeight w:val="151"/>
        </w:trPr>
        <w:tc>
          <w:tcPr>
            <w:tcW w:w="1440" w:type="dxa"/>
            <w:vAlign w:val="bottom"/>
          </w:tcPr>
          <w:p>
            <w:pPr>
              <w:ind w:left="200"/>
              <w:spacing w:after="0"/>
              <w:rPr>
                <w:sz w:val="20"/>
                <w:szCs w:val="20"/>
                <w:color w:val="auto"/>
              </w:rPr>
            </w:pPr>
            <w:r>
              <w:rPr>
                <w:rFonts w:ascii="Arial" w:cs="Arial" w:eastAsia="Arial" w:hAnsi="Arial"/>
                <w:sz w:val="13"/>
                <w:szCs w:val="13"/>
                <w:color w:val="auto"/>
              </w:rPr>
              <w:t>Total residential</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40" w:type="dxa"/>
            <w:vAlign w:val="bottom"/>
          </w:tcPr>
          <w:p>
            <w:pPr>
              <w:ind w:left="200"/>
              <w:spacing w:after="0"/>
              <w:rPr>
                <w:sz w:val="20"/>
                <w:szCs w:val="20"/>
                <w:color w:val="auto"/>
              </w:rPr>
            </w:pPr>
            <w:r>
              <w:rPr>
                <w:rFonts w:ascii="Arial" w:cs="Arial" w:eastAsia="Arial" w:hAnsi="Arial"/>
                <w:sz w:val="13"/>
                <w:szCs w:val="13"/>
                <w:color w:val="auto"/>
              </w:rPr>
              <w:t>construction</w:t>
            </w: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86,914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107,763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8,340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5,457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4,897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16,787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230,231</w:t>
            </w:r>
          </w:p>
        </w:tc>
        <w:tc>
          <w:tcPr>
            <w:tcW w:w="0" w:type="dxa"/>
            <w:vAlign w:val="bottom"/>
          </w:tcPr>
          <w:p>
            <w:pPr>
              <w:spacing w:after="0"/>
              <w:rPr>
                <w:sz w:val="1"/>
                <w:szCs w:val="1"/>
                <w:color w:val="auto"/>
              </w:rPr>
            </w:pPr>
          </w:p>
        </w:tc>
      </w:tr>
      <w:tr>
        <w:trPr>
          <w:trHeight w:val="21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30,915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37,957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21,424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8,055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5,595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3,073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12,957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120,054</w:t>
            </w:r>
          </w:p>
        </w:tc>
        <w:tc>
          <w:tcPr>
            <w:tcW w:w="0" w:type="dxa"/>
            <w:vAlign w:val="bottom"/>
          </w:tcPr>
          <w:p>
            <w:pPr>
              <w:spacing w:after="0"/>
              <w:rPr>
                <w:sz w:val="1"/>
                <w:szCs w:val="1"/>
                <w:color w:val="auto"/>
              </w:rPr>
            </w:pPr>
          </w:p>
        </w:tc>
      </w:tr>
      <w:tr>
        <w:trPr>
          <w:trHeight w:val="204"/>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626</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Total consumer</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30,938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38,048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21,482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8,168</w:t>
            </w:r>
          </w:p>
        </w:tc>
        <w:tc>
          <w:tcPr>
            <w:tcW w:w="1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5,728</w:t>
            </w:r>
          </w:p>
        </w:tc>
        <w:tc>
          <w:tcPr>
            <w:tcW w:w="1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3,192</w:t>
            </w:r>
          </w:p>
        </w:tc>
        <w:tc>
          <w:tcPr>
            <w:tcW w:w="1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13,046</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78</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3"/>
                <w:szCs w:val="13"/>
                <w:color w:val="auto"/>
              </w:rPr>
              <w:t>120,680</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440" w:type="dxa"/>
            <w:vAlign w:val="bottom"/>
          </w:tcPr>
          <w:p>
            <w:pPr>
              <w:ind w:left="20"/>
              <w:spacing w:after="0"/>
              <w:rPr>
                <w:sz w:val="20"/>
                <w:szCs w:val="20"/>
                <w:color w:val="auto"/>
              </w:rPr>
            </w:pPr>
            <w:r>
              <w:rPr>
                <w:rFonts w:ascii="Arial" w:cs="Arial" w:eastAsia="Arial" w:hAnsi="Arial"/>
                <w:sz w:val="13"/>
                <w:szCs w:val="13"/>
                <w:color w:val="auto"/>
              </w:rPr>
              <w:t>Total loans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6"/>
              </w:rPr>
              <w:t>2,620,251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6"/>
              </w:rPr>
              <w:t>2,013,208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6"/>
              </w:rPr>
              <w:t>1,554,614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966,068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808,603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829,549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1,006,383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59,120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9,857,796</w:t>
            </w:r>
          </w:p>
        </w:tc>
        <w:tc>
          <w:tcPr>
            <w:tcW w:w="0" w:type="dxa"/>
            <w:vAlign w:val="bottom"/>
          </w:tcPr>
          <w:p>
            <w:pPr>
              <w:spacing w:after="0"/>
              <w:rPr>
                <w:sz w:val="1"/>
                <w:szCs w:val="1"/>
                <w:color w:val="auto"/>
              </w:rPr>
            </w:pPr>
          </w:p>
        </w:tc>
      </w:tr>
      <w:tr>
        <w:trPr>
          <w:trHeight w:val="194"/>
        </w:trPr>
        <w:tc>
          <w:tcPr>
            <w:tcW w:w="1440" w:type="dxa"/>
            <w:vAlign w:val="bottom"/>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14,393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20,808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20,587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10,261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26,242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8,271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12,234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1,970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114,766</w:t>
            </w:r>
          </w:p>
        </w:tc>
        <w:tc>
          <w:tcPr>
            <w:tcW w:w="0" w:type="dxa"/>
            <w:vAlign w:val="bottom"/>
          </w:tcPr>
          <w:p>
            <w:pPr>
              <w:spacing w:after="0"/>
              <w:rPr>
                <w:sz w:val="1"/>
                <w:szCs w:val="1"/>
                <w:color w:val="auto"/>
              </w:rPr>
            </w:pPr>
          </w:p>
        </w:tc>
      </w:tr>
      <w:tr>
        <w:trPr>
          <w:trHeight w:val="204"/>
        </w:trPr>
        <w:tc>
          <w:tcPr>
            <w:tcW w:w="1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26,447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25,377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15,891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24,738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7,593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21,967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29,733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8,202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159,948</w:t>
            </w:r>
          </w:p>
        </w:tc>
        <w:tc>
          <w:tcPr>
            <w:tcW w:w="0" w:type="dxa"/>
            <w:vAlign w:val="bottom"/>
          </w:tcPr>
          <w:p>
            <w:pPr>
              <w:spacing w:after="0"/>
              <w:rPr>
                <w:sz w:val="1"/>
                <w:szCs w:val="1"/>
                <w:color w:val="auto"/>
              </w:rPr>
            </w:pPr>
          </w:p>
        </w:tc>
      </w:tr>
      <w:tr>
        <w:trPr>
          <w:trHeight w:val="203"/>
        </w:trPr>
        <w:tc>
          <w:tcPr>
            <w:tcW w:w="1440" w:type="dxa"/>
            <w:vAlign w:val="bottom"/>
          </w:tcPr>
          <w:p>
            <w:pPr>
              <w:ind w:left="200"/>
              <w:spacing w:after="0"/>
              <w:rPr>
                <w:sz w:val="20"/>
                <w:szCs w:val="20"/>
                <w:color w:val="auto"/>
              </w:rPr>
            </w:pPr>
            <w:r>
              <w:rPr>
                <w:rFonts w:ascii="Arial" w:cs="Arial" w:eastAsia="Arial" w:hAnsi="Arial"/>
                <w:sz w:val="13"/>
                <w:szCs w:val="13"/>
                <w:color w:val="auto"/>
              </w:rPr>
              <w:t>Total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w w:val="96"/>
              </w:rPr>
              <w:t>2,661,091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w w:val="96"/>
              </w:rPr>
              <w:t>2,059,393</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w w:val="96"/>
              </w:rPr>
              <w:t>1,591,092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w w:val="96"/>
              </w:rPr>
              <w:t>1,001,067</w:t>
            </w:r>
          </w:p>
        </w:tc>
        <w:tc>
          <w:tcPr>
            <w:tcW w:w="120" w:type="dxa"/>
            <w:vAlign w:val="bottom"/>
          </w:tcPr>
          <w:p>
            <w:pPr>
              <w:spacing w:after="0"/>
              <w:rPr>
                <w:sz w:val="17"/>
                <w:szCs w:val="17"/>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842,438</w:t>
            </w:r>
          </w:p>
        </w:tc>
        <w:tc>
          <w:tcPr>
            <w:tcW w:w="120" w:type="dxa"/>
            <w:vAlign w:val="bottom"/>
          </w:tcPr>
          <w:p>
            <w:pPr>
              <w:spacing w:after="0"/>
              <w:rPr>
                <w:sz w:val="17"/>
                <w:szCs w:val="17"/>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5"/>
              <w:spacing w:after="0"/>
              <w:rPr>
                <w:sz w:val="20"/>
                <w:szCs w:val="20"/>
                <w:color w:val="auto"/>
              </w:rPr>
            </w:pPr>
            <w:r>
              <w:rPr>
                <w:rFonts w:ascii="Arial" w:cs="Arial" w:eastAsia="Arial" w:hAnsi="Arial"/>
                <w:sz w:val="13"/>
                <w:szCs w:val="13"/>
                <w:color w:val="auto"/>
              </w:rPr>
              <w:t>859,787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1,048,350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5"/>
              <w:spacing w:after="0"/>
              <w:rPr>
                <w:sz w:val="20"/>
                <w:szCs w:val="20"/>
                <w:color w:val="auto"/>
              </w:rPr>
            </w:pPr>
            <w:r>
              <w:rPr>
                <w:rFonts w:ascii="Arial" w:cs="Arial" w:eastAsia="Arial" w:hAnsi="Arial"/>
                <w:sz w:val="13"/>
                <w:szCs w:val="13"/>
                <w:color w:val="auto"/>
              </w:rPr>
              <w:t>69,292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5"/>
              <w:spacing w:after="0"/>
              <w:rPr>
                <w:sz w:val="20"/>
                <w:szCs w:val="20"/>
                <w:color w:val="auto"/>
              </w:rPr>
            </w:pPr>
            <w:r>
              <w:rPr>
                <w:rFonts w:ascii="Arial" w:cs="Arial" w:eastAsia="Arial" w:hAnsi="Arial"/>
                <w:sz w:val="13"/>
                <w:szCs w:val="13"/>
                <w:color w:val="auto"/>
                <w:w w:val="92"/>
              </w:rPr>
              <w:t>10,132,510</w:t>
            </w:r>
          </w:p>
        </w:tc>
        <w:tc>
          <w:tcPr>
            <w:tcW w:w="0" w:type="dxa"/>
            <w:vAlign w:val="bottom"/>
          </w:tcPr>
          <w:p>
            <w:pPr>
              <w:spacing w:after="0"/>
              <w:rPr>
                <w:sz w:val="1"/>
                <w:szCs w:val="1"/>
                <w:color w:val="auto"/>
              </w:rPr>
            </w:pPr>
          </w:p>
        </w:tc>
      </w:tr>
      <w:tr>
        <w:trPr>
          <w:trHeight w:val="20"/>
        </w:trPr>
        <w:tc>
          <w:tcPr>
            <w:tcW w:w="14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52"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Based on the most recent analysis performed, the risk category of loans by class of loans as of the date indicated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As of December 31, 2019</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Doubtful /</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Pass</w:t>
            </w:r>
          </w:p>
        </w:tc>
        <w:tc>
          <w:tcPr>
            <w:tcW w:w="24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b w:val="1"/>
                <w:bCs w:val="1"/>
                <w:color w:val="auto"/>
              </w:rPr>
              <w:t>Watch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Substandard</w:t>
            </w:r>
          </w:p>
        </w:tc>
        <w:tc>
          <w:tcPr>
            <w:tcW w:w="20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6"/>
                <w:szCs w:val="16"/>
                <w:b w:val="1"/>
                <w:bCs w:val="1"/>
                <w:color w:val="auto"/>
              </w:rPr>
              <w:t>Loss</w:t>
            </w:r>
          </w:p>
        </w:tc>
        <w:tc>
          <w:tcPr>
            <w:tcW w:w="26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33"/>
        </w:trPr>
        <w:tc>
          <w:tcPr>
            <w:tcW w:w="4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540" w:type="dxa"/>
            <w:vAlign w:val="bottom"/>
          </w:tcPr>
          <w:p>
            <w:pPr>
              <w:ind w:left="2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1,638,398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24,563</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48,720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1,711,681</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1,914,524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25,522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1,980,722</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1,156,366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47,580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1,220,331</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960,251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969,353</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Equipment financing</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737,418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740,559</w:t>
            </w:r>
          </w:p>
        </w:tc>
      </w:tr>
      <w:tr>
        <w:trPr>
          <w:trHeight w:val="33"/>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commercial</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6,406,957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131,767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6,622,646</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1,093,902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1,108,037</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Home equity lines of credit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654,619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659,265</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Residential construction</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234,791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236,063</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127,507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127,896</w:t>
            </w:r>
          </w:p>
        </w:tc>
      </w:tr>
      <w:tr>
        <w:trPr>
          <w:trHeight w:val="217"/>
        </w:trPr>
        <w:tc>
          <w:tcPr>
            <w:tcW w:w="4540" w:type="dxa"/>
            <w:vAlign w:val="bottom"/>
          </w:tcPr>
          <w:p>
            <w:pPr>
              <w:ind w:left="120"/>
              <w:spacing w:after="0"/>
              <w:rPr>
                <w:sz w:val="20"/>
                <w:szCs w:val="20"/>
                <w:color w:val="auto"/>
              </w:rPr>
            </w:pPr>
            <w:r>
              <w:rPr>
                <w:rFonts w:ascii="Arial" w:cs="Arial" w:eastAsia="Arial" w:hAnsi="Arial"/>
                <w:sz w:val="16"/>
                <w:szCs w:val="16"/>
                <w:color w:val="auto"/>
              </w:rPr>
              <w:t>Total loans, excluding PCI loans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8,517,776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83,930</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152,201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8,753,907</w:t>
            </w:r>
          </w:p>
        </w:tc>
      </w:tr>
      <w:tr>
        <w:trPr>
          <w:trHeight w:val="33"/>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8,546</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19,648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27,228</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326</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6,862</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Equipment financing</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3,985</w:t>
            </w:r>
          </w:p>
        </w:tc>
      </w:tr>
      <w:tr>
        <w:trPr>
          <w:trHeight w:val="33"/>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commercial</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46,947</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Residential mortgage</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1,467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9,579</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Home equity lines of credit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1,410</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Residential construction</w:t>
            </w:r>
          </w:p>
        </w:tc>
        <w:tc>
          <w:tcPr>
            <w:tcW w:w="2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374</w:t>
            </w:r>
          </w:p>
        </w:tc>
      </w:tr>
      <w:tr>
        <w:trPr>
          <w:trHeight w:val="33"/>
        </w:trPr>
        <w:tc>
          <w:tcPr>
            <w:tcW w:w="4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6"/>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336</w:t>
            </w:r>
          </w:p>
        </w:tc>
      </w:tr>
      <w:tr>
        <w:trPr>
          <w:trHeight w:val="217"/>
        </w:trPr>
        <w:tc>
          <w:tcPr>
            <w:tcW w:w="4540" w:type="dxa"/>
            <w:vAlign w:val="bottom"/>
          </w:tcPr>
          <w:p>
            <w:pPr>
              <w:ind w:left="120"/>
              <w:spacing w:after="0"/>
              <w:rPr>
                <w:sz w:val="20"/>
                <w:szCs w:val="20"/>
                <w:color w:val="auto"/>
              </w:rPr>
            </w:pPr>
            <w:r>
              <w:rPr>
                <w:rFonts w:ascii="Arial" w:cs="Arial" w:eastAsia="Arial" w:hAnsi="Arial"/>
                <w:sz w:val="16"/>
                <w:szCs w:val="16"/>
                <w:color w:val="auto"/>
              </w:rPr>
              <w:t>Total PCI loans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40,683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9,773</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8,190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58,646</w:t>
            </w:r>
          </w:p>
        </w:tc>
      </w:tr>
      <w:tr>
        <w:trPr>
          <w:trHeight w:val="33"/>
        </w:trPr>
        <w:tc>
          <w:tcPr>
            <w:tcW w:w="4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53"/>
        </w:trPr>
        <w:tc>
          <w:tcPr>
            <w:tcW w:w="4540" w:type="dxa"/>
            <w:vAlign w:val="bottom"/>
          </w:tcPr>
          <w:p>
            <w:pPr>
              <w:ind w:left="220"/>
              <w:spacing w:after="0"/>
              <w:rPr>
                <w:sz w:val="20"/>
                <w:szCs w:val="20"/>
                <w:color w:val="auto"/>
              </w:rPr>
            </w:pPr>
            <w:r>
              <w:rPr>
                <w:rFonts w:ascii="Arial" w:cs="Arial" w:eastAsia="Arial" w:hAnsi="Arial"/>
                <w:sz w:val="16"/>
                <w:szCs w:val="16"/>
                <w:color w:val="auto"/>
              </w:rPr>
              <w:t>Total loan portfolio</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8,558,459</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93,703</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160,391</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8,812,553</w:t>
            </w:r>
          </w:p>
        </w:tc>
      </w:tr>
      <w:tr>
        <w:trPr>
          <w:trHeight w:val="23"/>
        </w:trPr>
        <w:tc>
          <w:tcPr>
            <w:tcW w:w="45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Troubled Debt Restructurings and Other Modifications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2020 and December 31, 2019, United had TDRs totaling $50.4 million and $54.2 million, respectively. United allocated $881,000 and $2.51 million of allowance for TDRs as of June 30, 2020 and December 31, 2019, respectively. As of June 30, 2020 and December 31, 2019, there were no commitments to lend additional amounts to customers with outstanding loans that are classified as TDRs.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Loans modified under the terms of a TDR during the three and six months ended June 30, 2020 and 2019 are presented in the following table. In addition, the table presents loans modified under the terms of a TDR that defaulted (became 90 days or more delinquent or otherwise in default of modified terms) during the periods presented and were initially restructured within one year prior to default </w:t>
      </w:r>
      <w:r>
        <w:rPr>
          <w:rFonts w:ascii="Arial" w:cs="Arial" w:eastAsia="Arial" w:hAnsi="Arial"/>
          <w:sz w:val="17"/>
          <w:szCs w:val="17"/>
          <w:i w:val="1"/>
          <w:iCs w:val="1"/>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3"/>
                <w:szCs w:val="13"/>
                <w:b w:val="1"/>
                <w:bCs w:val="1"/>
                <w:color w:val="auto"/>
                <w:w w:val="96"/>
              </w:rPr>
              <w:t>New TDRs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9"/>
              </w:rPr>
              <w:t>TDRs Modified Within the</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80" w:type="dxa"/>
            <w:vAlign w:val="bottom"/>
            <w:gridSpan w:val="11"/>
          </w:tcPr>
          <w:p>
            <w:pPr>
              <w:jc w:val="center"/>
              <w:ind w:right="220"/>
              <w:spacing w:after="0"/>
              <w:rPr>
                <w:sz w:val="20"/>
                <w:szCs w:val="20"/>
                <w:color w:val="auto"/>
              </w:rPr>
            </w:pPr>
            <w:r>
              <w:rPr>
                <w:rFonts w:ascii="Arial" w:cs="Arial" w:eastAsia="Arial" w:hAnsi="Arial"/>
                <w:sz w:val="13"/>
                <w:szCs w:val="13"/>
                <w:b w:val="1"/>
                <w:bCs w:val="1"/>
                <w:color w:val="auto"/>
                <w:w w:val="93"/>
              </w:rPr>
              <w:t>Post-Modification Outstanding Amortized Cost by Type of</w:t>
            </w:r>
          </w:p>
        </w:tc>
        <w:tc>
          <w:tcPr>
            <w:tcW w:w="20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Previous Twelve Months That</w:t>
            </w:r>
          </w:p>
        </w:tc>
        <w:tc>
          <w:tcPr>
            <w:tcW w:w="0" w:type="dxa"/>
            <w:vAlign w:val="bottom"/>
          </w:tcPr>
          <w:p>
            <w:pPr>
              <w:spacing w:after="0"/>
              <w:rPr>
                <w:sz w:val="1"/>
                <w:szCs w:val="1"/>
                <w:color w:val="auto"/>
              </w:rPr>
            </w:pPr>
          </w:p>
        </w:tc>
      </w:tr>
      <w:tr>
        <w:trPr>
          <w:trHeight w:val="182"/>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rPr>
              <w:t>Pre-modification</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3"/>
                <w:szCs w:val="13"/>
                <w:b w:val="1"/>
                <w:bCs w:val="1"/>
                <w:color w:val="auto"/>
                <w:w w:val="96"/>
              </w:rPr>
              <w:t>Modification</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Have Subsequently Defaulted</w:t>
            </w: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Structure</w:t>
            </w:r>
          </w:p>
        </w:tc>
        <w:tc>
          <w:tcPr>
            <w:tcW w:w="16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4"/>
                <w:szCs w:val="1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1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Number of</w:t>
            </w:r>
          </w:p>
        </w:tc>
        <w:tc>
          <w:tcPr>
            <w:tcW w:w="9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5"/>
              </w:rPr>
              <w:t>Amortized Cost</w:t>
            </w:r>
          </w:p>
        </w:tc>
        <w:tc>
          <w:tcPr>
            <w:tcW w:w="0" w:type="dxa"/>
            <w:vAlign w:val="bottom"/>
          </w:tcPr>
          <w:p>
            <w:pPr>
              <w:spacing w:after="0"/>
              <w:rPr>
                <w:sz w:val="1"/>
                <w:szCs w:val="1"/>
                <w:color w:val="auto"/>
              </w:rPr>
            </w:pPr>
          </w:p>
        </w:tc>
      </w:tr>
      <w:tr>
        <w:trPr>
          <w:trHeight w:val="182"/>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Contracts</w:t>
            </w: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Amortized Cost</w:t>
            </w: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4"/>
              </w:rPr>
              <w:t>Reduction</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Contracts</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June 30, 2020</w:t>
            </w:r>
          </w:p>
        </w:tc>
        <w:tc>
          <w:tcPr>
            <w:tcW w:w="1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90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74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70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5,998</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255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3,471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3,471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3,471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4,577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3,726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4,287</w:t>
            </w:r>
          </w:p>
        </w:tc>
        <w:tc>
          <w:tcPr>
            <w:tcW w:w="10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6,935</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Home equity lines of credit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Consumer</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loans</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5,228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4,938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6,935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Six Months Ended June 30, 2020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Owner occupied commercial real estate</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1,844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1,536</w:t>
            </w:r>
          </w:p>
        </w:tc>
        <w:tc>
          <w:tcPr>
            <w:tcW w:w="10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1,536</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5,998</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Commercial &amp; industrial</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construction</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Equipment financing</w:t>
            </w: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136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3,905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3,905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3,905</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commercial</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6,254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4,227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1,716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5,943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6,941</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Residential mortgage</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946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922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922</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Home equity lines of credit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Residential construction</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3"/>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7,218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5,149</w:t>
            </w:r>
          </w:p>
        </w:tc>
        <w:tc>
          <w:tcPr>
            <w:tcW w:w="12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1,734</w:t>
            </w:r>
          </w:p>
        </w:tc>
        <w:tc>
          <w:tcPr>
            <w:tcW w:w="10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6,883</w:t>
            </w:r>
          </w:p>
        </w:tc>
        <w:tc>
          <w:tcPr>
            <w:tcW w:w="10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6,944</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June 30, 2019</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630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Home equity lines of credit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Consumer direct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Indirect auto</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1,637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1,511</w:t>
            </w:r>
          </w:p>
        </w:tc>
        <w:tc>
          <w:tcPr>
            <w:tcW w:w="12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1,636</w:t>
            </w:r>
          </w:p>
        </w:tc>
        <w:tc>
          <w:tcPr>
            <w:tcW w:w="10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Six Months Ended June 30, 2019</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5"/>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806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799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806</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1,175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Home equity lines of credit</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Consumer direct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7"/>
                <w:szCs w:val="17"/>
                <w:color w:val="auto"/>
              </w:rPr>
            </w:pP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Indirect auto</w:t>
            </w:r>
          </w:p>
        </w:tc>
        <w:tc>
          <w:tcPr>
            <w:tcW w:w="9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170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308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3"/>
              <w:spacing w:after="0"/>
              <w:rPr>
                <w:sz w:val="20"/>
                <w:szCs w:val="20"/>
                <w:color w:val="auto"/>
              </w:rPr>
            </w:pPr>
            <w:r>
              <w:rPr>
                <w:rFonts w:ascii="Arial" w:cs="Arial" w:eastAsia="Arial" w:hAnsi="Arial"/>
                <w:sz w:val="13"/>
                <w:szCs w:val="13"/>
                <w:color w:val="auto"/>
              </w:rPr>
              <w:t>2,224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2,024</w:t>
            </w:r>
          </w:p>
        </w:tc>
        <w:tc>
          <w:tcPr>
            <w:tcW w:w="12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3"/>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2,213</w:t>
            </w:r>
          </w:p>
        </w:tc>
        <w:tc>
          <w:tcPr>
            <w:tcW w:w="100" w:type="dxa"/>
            <w:vAlign w:val="bottom"/>
          </w:tcPr>
          <w:p>
            <w:pPr>
              <w:spacing w:after="0"/>
              <w:rPr>
                <w:sz w:val="17"/>
                <w:szCs w:val="17"/>
                <w:color w:val="auto"/>
              </w:rPr>
            </w:pPr>
          </w:p>
        </w:tc>
        <w:tc>
          <w:tcPr>
            <w:tcW w:w="980" w:type="dxa"/>
            <w:vAlign w:val="bottom"/>
          </w:tcPr>
          <w:p>
            <w:pPr>
              <w:jc w:val="right"/>
              <w:ind w:right="73"/>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June 30, 2020, United had granted short-term deferrals related to the COVID-19 crisis for $1.76 billion of loans that, pursuant to the CARES Act or interagency guidance, were not considered new TDRs. These short-term deferrals generally represent payment deferrals for up to 90 days. The loans continue to accrue interest and are not reported as past due during the deferral period. The table below presents short-term deferrals related to the COVID-19 crisis that were not considered new TDRs as of June 30,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80" w:type="dxa"/>
            <w:vAlign w:val="bottom"/>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COVID-19</w:t>
            </w:r>
          </w:p>
        </w:tc>
        <w:tc>
          <w:tcPr>
            <w:tcW w:w="100" w:type="dxa"/>
            <w:vAlign w:val="bottom"/>
          </w:tcPr>
          <w:p>
            <w:pPr>
              <w:spacing w:after="0"/>
              <w:rPr>
                <w:sz w:val="18"/>
                <w:szCs w:val="18"/>
                <w:color w:val="auto"/>
              </w:rPr>
            </w:pPr>
          </w:p>
        </w:tc>
        <w:tc>
          <w:tcPr>
            <w:tcW w:w="3800" w:type="dxa"/>
            <w:vAlign w:val="bottom"/>
            <w:gridSpan w:val="3"/>
          </w:tcPr>
          <w:p>
            <w:pPr>
              <w:ind w:left="100"/>
              <w:spacing w:after="0"/>
              <w:rPr>
                <w:sz w:val="20"/>
                <w:szCs w:val="20"/>
                <w:color w:val="auto"/>
              </w:rPr>
            </w:pPr>
            <w:r>
              <w:rPr>
                <w:rFonts w:ascii="Arial" w:cs="Arial" w:eastAsia="Arial" w:hAnsi="Arial"/>
                <w:sz w:val="16"/>
                <w:szCs w:val="16"/>
                <w:b w:val="1"/>
                <w:bCs w:val="1"/>
                <w:color w:val="auto"/>
              </w:rPr>
              <w:t>Deferrals as a % of</w:t>
            </w:r>
          </w:p>
        </w:tc>
      </w:tr>
      <w:tr>
        <w:trPr>
          <w:trHeight w:val="210"/>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Deferrals</w:t>
            </w:r>
          </w:p>
        </w:tc>
        <w:tc>
          <w:tcPr>
            <w:tcW w:w="1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 loans</w:t>
            </w: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378,959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2280" w:type="dxa"/>
            <w:vAlign w:val="bottom"/>
            <w:tcBorders>
              <w:bottom w:val="single" w:sz="8" w:color="CCEEFF"/>
            </w:tcBorders>
            <w:shd w:val="clear" w:color="auto" w:fill="CCEEFF"/>
          </w:tcPr>
          <w:p>
            <w:pPr>
              <w:spacing w:after="0"/>
              <w:rPr>
                <w:sz w:val="20"/>
                <w:szCs w:val="20"/>
                <w:color w:val="auto"/>
              </w:rPr>
            </w:pPr>
          </w:p>
        </w:tc>
      </w:tr>
      <w:tr>
        <w:trPr>
          <w:trHeight w:val="224"/>
        </w:trPr>
        <w:tc>
          <w:tcPr>
            <w:tcW w:w="5880" w:type="dxa"/>
            <w:vAlign w:val="bottom"/>
          </w:tcPr>
          <w:p>
            <w:pPr>
              <w:ind w:left="230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715,650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5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Commercial &amp; industrial</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106,020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23"/>
        </w:trPr>
        <w:tc>
          <w:tcPr>
            <w:tcW w:w="5880" w:type="dxa"/>
            <w:vAlign w:val="bottom"/>
          </w:tcPr>
          <w:p>
            <w:pPr>
              <w:ind w:left="230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175,463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7"/>
        </w:trPr>
        <w:tc>
          <w:tcPr>
            <w:tcW w:w="5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231,402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r>
      <w:tr>
        <w:trPr>
          <w:trHeight w:val="217"/>
        </w:trPr>
        <w:tc>
          <w:tcPr>
            <w:tcW w:w="5880" w:type="dxa"/>
            <w:vAlign w:val="bottom"/>
          </w:tcPr>
          <w:p>
            <w:pPr>
              <w:ind w:left="2380"/>
              <w:spacing w:after="0"/>
              <w:rPr>
                <w:sz w:val="20"/>
                <w:szCs w:val="20"/>
                <w:color w:val="auto"/>
              </w:rPr>
            </w:pPr>
            <w:r>
              <w:rPr>
                <w:rFonts w:ascii="Arial" w:cs="Arial" w:eastAsia="Arial" w:hAnsi="Arial"/>
                <w:sz w:val="16"/>
                <w:szCs w:val="16"/>
                <w:color w:val="auto"/>
              </w:rPr>
              <w:t>Total commercial</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1,607,494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5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Residential mortgage</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122,474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24"/>
        </w:trPr>
        <w:tc>
          <w:tcPr>
            <w:tcW w:w="5880" w:type="dxa"/>
            <w:vAlign w:val="bottom"/>
          </w:tcPr>
          <w:p>
            <w:pPr>
              <w:ind w:left="2300"/>
              <w:spacing w:after="0"/>
              <w:rPr>
                <w:sz w:val="20"/>
                <w:szCs w:val="20"/>
                <w:color w:val="auto"/>
              </w:rPr>
            </w:pPr>
            <w:r>
              <w:rPr>
                <w:rFonts w:ascii="Arial" w:cs="Arial" w:eastAsia="Arial" w:hAnsi="Arial"/>
                <w:sz w:val="16"/>
                <w:szCs w:val="16"/>
                <w:color w:val="auto"/>
              </w:rPr>
              <w:t>Home equity lines of credit</w:t>
            </w: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18,594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58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Residential construction</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23"/>
        </w:trPr>
        <w:tc>
          <w:tcPr>
            <w:tcW w:w="5880" w:type="dxa"/>
            <w:vAlign w:val="bottom"/>
          </w:tcPr>
          <w:p>
            <w:pPr>
              <w:ind w:left="230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2,923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72"/>
        </w:trPr>
        <w:tc>
          <w:tcPr>
            <w:tcW w:w="5880" w:type="dxa"/>
            <w:vAlign w:val="bottom"/>
            <w:tcBorders>
              <w:bottom w:val="single" w:sz="8" w:color="CCEEFF"/>
            </w:tcBorders>
            <w:shd w:val="clear" w:color="auto" w:fill="CCEEFF"/>
          </w:tcPr>
          <w:p>
            <w:pPr>
              <w:ind w:left="2380"/>
              <w:spacing w:after="0"/>
              <w:rPr>
                <w:sz w:val="20"/>
                <w:szCs w:val="20"/>
                <w:color w:val="auto"/>
              </w:rPr>
            </w:pPr>
            <w:r>
              <w:rPr>
                <w:rFonts w:ascii="Arial" w:cs="Arial" w:eastAsia="Arial" w:hAnsi="Arial"/>
                <w:sz w:val="16"/>
                <w:szCs w:val="16"/>
                <w:color w:val="auto"/>
              </w:rPr>
              <w:t>Total COVID-19 deferrals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1,756,480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8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Since the adoption of ASC 326, the ACL for loans represents management’s estimate of life of loan credit losses in the portfolio as of the end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ACL related to unfunded commitments is included in other liabilities in the consolidated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5"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23495</wp:posOffset>
            </wp:positionV>
            <wp:extent cx="57689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jc w:val="center"/>
        <w:ind w:left="2260"/>
        <w:spacing w:after="0"/>
        <w:rPr>
          <w:sz w:val="20"/>
          <w:szCs w:val="20"/>
          <w:color w:val="auto"/>
        </w:rPr>
      </w:pPr>
      <w:r>
        <w:rPr>
          <w:rFonts w:ascii="Arial" w:cs="Arial" w:eastAsia="Arial" w:hAnsi="Arial"/>
          <w:sz w:val="13"/>
          <w:szCs w:val="13"/>
          <w:b w:val="1"/>
          <w:bCs w:val="1"/>
          <w:color w:val="auto"/>
        </w:rPr>
        <w:t>CECL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19685</wp:posOffset>
            </wp:positionV>
            <wp:extent cx="2854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3" w:lineRule="exact"/>
        <w:rPr>
          <w:sz w:val="20"/>
          <w:szCs w:val="20"/>
          <w:color w:val="auto"/>
        </w:rPr>
      </w:pPr>
    </w:p>
    <w:p>
      <w:pPr>
        <w:jc w:val="center"/>
        <w:ind w:left="2260"/>
        <w:spacing w:after="0"/>
        <w:rPr>
          <w:sz w:val="20"/>
          <w:szCs w:val="20"/>
          <w:color w:val="auto"/>
        </w:rPr>
      </w:pP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19685</wp:posOffset>
            </wp:positionV>
            <wp:extent cx="28543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3" w:lineRule="exact"/>
        <w:rPr>
          <w:sz w:val="20"/>
          <w:szCs w:val="20"/>
          <w:color w:val="auto"/>
        </w:rPr>
      </w:pPr>
    </w:p>
    <w:p>
      <w:pPr>
        <w:ind w:left="2200"/>
        <w:spacing w:after="0"/>
        <w:tabs>
          <w:tab w:leader="none" w:pos="4960" w:val="left"/>
          <w:tab w:leader="none" w:pos="5940" w:val="left"/>
        </w:tabs>
        <w:rPr>
          <w:sz w:val="20"/>
          <w:szCs w:val="20"/>
          <w:color w:val="auto"/>
        </w:rPr>
      </w:pPr>
      <w:r>
        <w:rPr>
          <w:rFonts w:ascii="Arial" w:cs="Arial" w:eastAsia="Arial" w:hAnsi="Arial"/>
          <w:sz w:val="13"/>
          <w:szCs w:val="13"/>
          <w:b w:val="1"/>
          <w:bCs w:val="1"/>
          <w:color w:val="auto"/>
        </w:rPr>
        <w:t>Beginning</w:t>
      </w:r>
      <w:r>
        <w:rPr>
          <w:sz w:val="20"/>
          <w:szCs w:val="20"/>
          <w:color w:val="auto"/>
        </w:rPr>
        <w:tab/>
      </w:r>
      <w:r>
        <w:rPr>
          <w:rFonts w:ascii="Arial" w:cs="Arial" w:eastAsia="Arial" w:hAnsi="Arial"/>
          <w:sz w:val="13"/>
          <w:szCs w:val="13"/>
          <w:b w:val="1"/>
          <w:bCs w:val="1"/>
          <w:color w:val="auto"/>
        </w:rPr>
        <w:t>(Release)</w:t>
      </w:r>
      <w:r>
        <w:rPr>
          <w:sz w:val="20"/>
          <w:szCs w:val="20"/>
          <w:color w:val="auto"/>
        </w:rPr>
        <w:tab/>
      </w:r>
      <w:r>
        <w:rPr>
          <w:rFonts w:ascii="Arial" w:cs="Arial" w:eastAsia="Arial" w:hAnsi="Arial"/>
          <w:sz w:val="10"/>
          <w:szCs w:val="10"/>
          <w:b w:val="1"/>
          <w:bCs w:val="1"/>
          <w:color w:val="auto"/>
        </w:rPr>
        <w:t>Ending</w:t>
      </w:r>
    </w:p>
    <w:p>
      <w:pPr>
        <w:ind w:left="2260"/>
        <w:spacing w:after="0"/>
        <w:tabs>
          <w:tab w:leader="none" w:pos="3020" w:val="left"/>
          <w:tab w:leader="none" w:pos="3980" w:val="left"/>
          <w:tab w:leader="none" w:pos="4940" w:val="left"/>
          <w:tab w:leader="none" w:pos="5920" w:val="left"/>
        </w:tabs>
        <w:rPr>
          <w:sz w:val="20"/>
          <w:szCs w:val="20"/>
          <w:color w:val="auto"/>
        </w:rPr>
      </w:pPr>
      <w:r>
        <w:rPr>
          <w:rFonts w:ascii="Arial" w:cs="Arial" w:eastAsia="Arial" w:hAnsi="Arial"/>
          <w:sz w:val="13"/>
          <w:szCs w:val="13"/>
          <w:b w:val="1"/>
          <w:bCs w:val="1"/>
          <w:color w:val="auto"/>
        </w:rPr>
        <w:t>Balance</w:t>
      </w:r>
      <w:r>
        <w:rPr>
          <w:sz w:val="20"/>
          <w:szCs w:val="20"/>
          <w:color w:val="auto"/>
        </w:rPr>
        <w:tab/>
      </w:r>
      <w:r>
        <w:rPr>
          <w:rFonts w:ascii="Arial" w:cs="Arial" w:eastAsia="Arial" w:hAnsi="Arial"/>
          <w:sz w:val="13"/>
          <w:szCs w:val="13"/>
          <w:b w:val="1"/>
          <w:bCs w:val="1"/>
          <w:color w:val="auto"/>
        </w:rPr>
        <w:t>Charge-Offs</w:t>
      </w:r>
      <w:r>
        <w:rPr>
          <w:sz w:val="20"/>
          <w:szCs w:val="20"/>
          <w:color w:val="auto"/>
        </w:rPr>
        <w:tab/>
      </w:r>
      <w:r>
        <w:rPr>
          <w:rFonts w:ascii="Arial" w:cs="Arial" w:eastAsia="Arial" w:hAnsi="Arial"/>
          <w:sz w:val="13"/>
          <w:szCs w:val="13"/>
          <w:b w:val="1"/>
          <w:bCs w:val="1"/>
          <w:color w:val="auto"/>
        </w:rPr>
        <w:t>Recoveries</w:t>
      </w:r>
      <w:r>
        <w:rPr>
          <w:sz w:val="20"/>
          <w:szCs w:val="20"/>
          <w:color w:val="auto"/>
        </w:rPr>
        <w:tab/>
      </w:r>
      <w:r>
        <w:rPr>
          <w:rFonts w:ascii="Arial" w:cs="Arial" w:eastAsia="Arial" w:hAnsi="Arial"/>
          <w:sz w:val="13"/>
          <w:szCs w:val="13"/>
          <w:b w:val="1"/>
          <w:bCs w:val="1"/>
          <w:color w:val="auto"/>
        </w:rPr>
        <w:t>Provision</w:t>
      </w:r>
      <w:r>
        <w:rPr>
          <w:sz w:val="20"/>
          <w:szCs w:val="20"/>
          <w:color w:val="auto"/>
        </w:rPr>
        <w:tab/>
      </w:r>
      <w:r>
        <w:rPr>
          <w:rFonts w:ascii="Arial" w:cs="Arial" w:eastAsia="Arial" w:hAnsi="Arial"/>
          <w:sz w:val="10"/>
          <w:szCs w:val="10"/>
          <w:b w:val="1"/>
          <w:bCs w:val="1"/>
          <w:color w:val="auto"/>
        </w:rPr>
        <w:t>Balance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Incurred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19685</wp:posOffset>
            </wp:positionV>
            <wp:extent cx="2846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3" w:lineRule="exact"/>
        <w:rPr>
          <w:sz w:val="20"/>
          <w:szCs w:val="20"/>
          <w:color w:val="auto"/>
        </w:rPr>
      </w:pPr>
    </w:p>
    <w:p>
      <w:pPr>
        <w:jc w:val="center"/>
        <w:ind w:right="220"/>
        <w:spacing w:after="0"/>
        <w:rPr>
          <w:sz w:val="20"/>
          <w:szCs w:val="20"/>
          <w:color w:val="auto"/>
        </w:rPr>
      </w:pP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19685</wp:posOffset>
            </wp:positionV>
            <wp:extent cx="2846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3" w:lineRule="exact"/>
        <w:rPr>
          <w:sz w:val="20"/>
          <w:szCs w:val="20"/>
          <w:color w:val="auto"/>
        </w:rPr>
      </w:pPr>
    </w:p>
    <w:p>
      <w:pPr>
        <w:spacing w:after="0"/>
        <w:tabs>
          <w:tab w:leader="none" w:pos="2760" w:val="left"/>
          <w:tab w:leader="none" w:pos="3720" w:val="left"/>
        </w:tabs>
        <w:rPr>
          <w:sz w:val="20"/>
          <w:szCs w:val="20"/>
          <w:color w:val="auto"/>
        </w:rPr>
      </w:pPr>
      <w:r>
        <w:rPr>
          <w:rFonts w:ascii="Arial" w:cs="Arial" w:eastAsia="Arial" w:hAnsi="Arial"/>
          <w:sz w:val="13"/>
          <w:szCs w:val="13"/>
          <w:b w:val="1"/>
          <w:bCs w:val="1"/>
          <w:color w:val="auto"/>
        </w:rPr>
        <w:t>Beginning</w:t>
      </w:r>
      <w:r>
        <w:rPr>
          <w:sz w:val="20"/>
          <w:szCs w:val="20"/>
          <w:color w:val="auto"/>
        </w:rPr>
        <w:tab/>
      </w:r>
      <w:r>
        <w:rPr>
          <w:rFonts w:ascii="Arial" w:cs="Arial" w:eastAsia="Arial" w:hAnsi="Arial"/>
          <w:sz w:val="13"/>
          <w:szCs w:val="13"/>
          <w:b w:val="1"/>
          <w:bCs w:val="1"/>
          <w:color w:val="auto"/>
        </w:rPr>
        <w:t>(Release)</w:t>
      </w:r>
      <w:r>
        <w:rPr>
          <w:sz w:val="20"/>
          <w:szCs w:val="20"/>
          <w:color w:val="auto"/>
        </w:rPr>
        <w:tab/>
      </w:r>
      <w:r>
        <w:rPr>
          <w:rFonts w:ascii="Arial" w:cs="Arial" w:eastAsia="Arial" w:hAnsi="Arial"/>
          <w:sz w:val="10"/>
          <w:szCs w:val="10"/>
          <w:b w:val="1"/>
          <w:bCs w:val="1"/>
          <w:color w:val="auto"/>
        </w:rPr>
        <w:t>Ending</w:t>
      </w:r>
    </w:p>
    <w:p>
      <w:pPr>
        <w:ind w:left="60"/>
        <w:spacing w:after="0"/>
        <w:tabs>
          <w:tab w:leader="none" w:pos="840" w:val="left"/>
          <w:tab w:leader="none" w:pos="1800" w:val="left"/>
          <w:tab w:leader="none" w:pos="2740" w:val="left"/>
          <w:tab w:leader="none" w:pos="3700" w:val="left"/>
        </w:tabs>
        <w:rPr>
          <w:sz w:val="20"/>
          <w:szCs w:val="20"/>
          <w:color w:val="auto"/>
        </w:rPr>
      </w:pPr>
      <w:r>
        <w:rPr>
          <w:rFonts w:ascii="Arial" w:cs="Arial" w:eastAsia="Arial" w:hAnsi="Arial"/>
          <w:sz w:val="13"/>
          <w:szCs w:val="13"/>
          <w:b w:val="1"/>
          <w:bCs w:val="1"/>
          <w:color w:val="auto"/>
        </w:rPr>
        <w:t>Balance</w:t>
      </w:r>
      <w:r>
        <w:rPr>
          <w:sz w:val="20"/>
          <w:szCs w:val="20"/>
          <w:color w:val="auto"/>
        </w:rPr>
        <w:tab/>
      </w:r>
      <w:r>
        <w:rPr>
          <w:rFonts w:ascii="Arial" w:cs="Arial" w:eastAsia="Arial" w:hAnsi="Arial"/>
          <w:sz w:val="13"/>
          <w:szCs w:val="13"/>
          <w:b w:val="1"/>
          <w:bCs w:val="1"/>
          <w:color w:val="auto"/>
        </w:rPr>
        <w:t>Charge-Offs</w:t>
      </w:r>
      <w:r>
        <w:rPr>
          <w:sz w:val="20"/>
          <w:szCs w:val="20"/>
          <w:color w:val="auto"/>
        </w:rPr>
        <w:tab/>
      </w:r>
      <w:r>
        <w:rPr>
          <w:rFonts w:ascii="Arial" w:cs="Arial" w:eastAsia="Arial" w:hAnsi="Arial"/>
          <w:sz w:val="13"/>
          <w:szCs w:val="13"/>
          <w:b w:val="1"/>
          <w:bCs w:val="1"/>
          <w:color w:val="auto"/>
        </w:rPr>
        <w:t>Recoveries</w:t>
      </w:r>
      <w:r>
        <w:rPr>
          <w:sz w:val="20"/>
          <w:szCs w:val="20"/>
          <w:color w:val="auto"/>
        </w:rPr>
        <w:tab/>
      </w:r>
      <w:r>
        <w:rPr>
          <w:rFonts w:ascii="Arial" w:cs="Arial" w:eastAsia="Arial" w:hAnsi="Arial"/>
          <w:sz w:val="13"/>
          <w:szCs w:val="13"/>
          <w:b w:val="1"/>
          <w:bCs w:val="1"/>
          <w:color w:val="auto"/>
        </w:rPr>
        <w:t>Provision</w:t>
      </w:r>
      <w:r>
        <w:rPr>
          <w:sz w:val="20"/>
          <w:szCs w:val="20"/>
          <w:color w:val="auto"/>
        </w:rPr>
        <w:tab/>
      </w:r>
      <w:r>
        <w:rPr>
          <w:rFonts w:ascii="Arial" w:cs="Arial" w:eastAsia="Arial" w:hAnsi="Arial"/>
          <w:sz w:val="10"/>
          <w:szCs w:val="10"/>
          <w:b w:val="1"/>
          <w:bCs w:val="1"/>
          <w:color w:val="auto"/>
        </w:rPr>
        <w:t>Balance</w:t>
      </w:r>
    </w:p>
    <w:p>
      <w:pPr>
        <w:spacing w:after="0" w:line="1" w:lineRule="exact"/>
        <w:rPr>
          <w:sz w:val="20"/>
          <w:szCs w:val="20"/>
          <w:color w:val="auto"/>
        </w:rPr>
      </w:pPr>
    </w:p>
    <w:p>
      <w:pPr>
        <w:sectPr>
          <w:pgSz w:w="11900" w:h="16838" w:orient="portrait"/>
          <w:cols w:equalWidth="0" w:num="2">
            <w:col w:w="6360" w:space="440"/>
            <w:col w:w="44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060" w:type="dxa"/>
            <w:vAlign w:val="bottom"/>
          </w:tcPr>
          <w:p>
            <w:pPr>
              <w:ind w:left="20"/>
              <w:spacing w:after="0" w:line="144" w:lineRule="exact"/>
              <w:rPr>
                <w:sz w:val="20"/>
                <w:szCs w:val="20"/>
                <w:color w:val="auto"/>
              </w:rPr>
            </w:pPr>
            <w:r>
              <w:rPr>
                <w:rFonts w:ascii="Arial" w:cs="Arial" w:eastAsia="Arial" w:hAnsi="Arial"/>
                <w:sz w:val="13"/>
                <w:szCs w:val="13"/>
                <w:color w:val="auto"/>
              </w:rPr>
              <w:t>Owner occupied commercial real</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68"/>
        </w:trPr>
        <w:tc>
          <w:tcPr>
            <w:tcW w:w="2060" w:type="dxa"/>
            <w:vAlign w:val="bottom"/>
          </w:tcPr>
          <w:p>
            <w:pPr>
              <w:ind w:left="20"/>
              <w:spacing w:after="0"/>
              <w:rPr>
                <w:sz w:val="20"/>
                <w:szCs w:val="20"/>
                <w:color w:val="auto"/>
              </w:rPr>
            </w:pPr>
            <w:r>
              <w:rPr>
                <w:rFonts w:ascii="Arial" w:cs="Arial" w:eastAsia="Arial" w:hAnsi="Arial"/>
                <w:sz w:val="13"/>
                <w:szCs w:val="13"/>
                <w:color w:val="auto"/>
              </w:rPr>
              <w:t>estate</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11,000</w:t>
            </w:r>
          </w:p>
        </w:tc>
        <w:tc>
          <w:tcPr>
            <w:tcW w:w="3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3,126</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14,592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11,874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(387)</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11,545</w:t>
            </w:r>
          </w:p>
        </w:tc>
      </w:tr>
      <w:tr>
        <w:trPr>
          <w:trHeight w:val="156"/>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producing commercial real</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6"/>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estate</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16,584</w:t>
            </w: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9,663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21,699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11,126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11,020</w:t>
            </w:r>
          </w:p>
        </w:tc>
      </w:tr>
      <w:tr>
        <w:trPr>
          <w:trHeight w:val="181"/>
        </w:trPr>
        <w:tc>
          <w:tcPr>
            <w:tcW w:w="206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20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10,831</w:t>
            </w: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(2,279)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8,589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4,895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(1,416)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275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1,554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5,308</w:t>
            </w:r>
          </w:p>
        </w:tc>
      </w:tr>
      <w:tr>
        <w:trPr>
          <w:trHeight w:val="197"/>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construction</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9,556</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5,080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14,514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10,318</w:t>
            </w:r>
          </w:p>
        </w:tc>
      </w:tr>
      <w:tr>
        <w:trPr>
          <w:trHeight w:val="181"/>
        </w:trPr>
        <w:tc>
          <w:tcPr>
            <w:tcW w:w="2060" w:type="dxa"/>
            <w:vAlign w:val="bottom"/>
          </w:tcPr>
          <w:p>
            <w:pPr>
              <w:ind w:left="20"/>
              <w:spacing w:after="0"/>
              <w:rPr>
                <w:sz w:val="20"/>
                <w:szCs w:val="20"/>
                <w:color w:val="auto"/>
              </w:rPr>
            </w:pPr>
            <w:r>
              <w:rPr>
                <w:rFonts w:ascii="Arial" w:cs="Arial" w:eastAsia="Arial" w:hAnsi="Arial"/>
                <w:sz w:val="13"/>
                <w:szCs w:val="13"/>
                <w:color w:val="auto"/>
              </w:rPr>
              <w:t>Equipment financing</w:t>
            </w:r>
          </w:p>
        </w:tc>
        <w:tc>
          <w:tcPr>
            <w:tcW w:w="20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14,738</w:t>
            </w: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(2,085)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420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7,232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20,305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6,231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1,593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6,935</w:t>
            </w:r>
          </w:p>
        </w:tc>
      </w:tr>
      <w:tr>
        <w:trPr>
          <w:trHeight w:val="197"/>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11,063</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12,826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8,345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8,290</w:t>
            </w:r>
          </w:p>
        </w:tc>
      </w:tr>
      <w:tr>
        <w:trPr>
          <w:trHeight w:val="181"/>
        </w:trPr>
        <w:tc>
          <w:tcPr>
            <w:tcW w:w="2060" w:type="dxa"/>
            <w:vAlign w:val="bottom"/>
          </w:tcPr>
          <w:p>
            <w:pPr>
              <w:ind w:left="20"/>
              <w:spacing w:after="0"/>
              <w:rPr>
                <w:sz w:val="20"/>
                <w:szCs w:val="20"/>
                <w:color w:val="auto"/>
              </w:rPr>
            </w:pPr>
            <w:r>
              <w:rPr>
                <w:rFonts w:ascii="Arial" w:cs="Arial" w:eastAsia="Arial" w:hAnsi="Arial"/>
                <w:sz w:val="13"/>
                <w:szCs w:val="13"/>
                <w:color w:val="auto"/>
              </w:rPr>
              <w:t>Home equity lines of credit</w:t>
            </w:r>
          </w:p>
        </w:tc>
        <w:tc>
          <w:tcPr>
            <w:tcW w:w="20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6,887</w:t>
            </w: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1,702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8,687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4,797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4,794</w:t>
            </w:r>
          </w:p>
        </w:tc>
      </w:tr>
      <w:tr>
        <w:trPr>
          <w:trHeight w:val="197"/>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816</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2,365</w:t>
            </w:r>
          </w:p>
        </w:tc>
      </w:tr>
      <w:tr>
        <w:trPr>
          <w:trHeight w:val="181"/>
        </w:trPr>
        <w:tc>
          <w:tcPr>
            <w:tcW w:w="2060" w:type="dxa"/>
            <w:vAlign w:val="bottom"/>
          </w:tcPr>
          <w:p>
            <w:pPr>
              <w:ind w:left="20"/>
              <w:spacing w:after="0"/>
              <w:rPr>
                <w:sz w:val="20"/>
                <w:szCs w:val="20"/>
                <w:color w:val="auto"/>
              </w:rPr>
            </w:pPr>
            <w:r>
              <w:rPr>
                <w:rFonts w:ascii="Arial" w:cs="Arial" w:eastAsia="Arial" w:hAnsi="Arial"/>
                <w:sz w:val="13"/>
                <w:szCs w:val="13"/>
                <w:color w:val="auto"/>
              </w:rPr>
              <w:t>Consumer</w:t>
            </w:r>
          </w:p>
        </w:tc>
        <w:tc>
          <w:tcPr>
            <w:tcW w:w="20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430</w:t>
            </w:r>
          </w:p>
        </w:tc>
        <w:tc>
          <w:tcPr>
            <w:tcW w:w="32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(712)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(529)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308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855</w:t>
            </w:r>
          </w:p>
        </w:tc>
      </w:tr>
      <w:tr>
        <w:trPr>
          <w:trHeight w:val="19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Indirect auto</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774</w:t>
            </w:r>
          </w:p>
        </w:tc>
      </w:tr>
      <w:tr>
        <w:trPr>
          <w:trHeight w:val="181"/>
        </w:trPr>
        <w:tc>
          <w:tcPr>
            <w:tcW w:w="2060" w:type="dxa"/>
            <w:vAlign w:val="bottom"/>
          </w:tcPr>
          <w:p>
            <w:pPr>
              <w:ind w:left="220"/>
              <w:spacing w:after="0"/>
              <w:rPr>
                <w:sz w:val="20"/>
                <w:szCs w:val="20"/>
                <w:color w:val="auto"/>
              </w:rPr>
            </w:pPr>
            <w:r>
              <w:rPr>
                <w:rFonts w:ascii="Arial" w:cs="Arial" w:eastAsia="Arial" w:hAnsi="Arial"/>
                <w:sz w:val="13"/>
                <w:szCs w:val="13"/>
                <w:color w:val="auto"/>
              </w:rPr>
              <w:t>Total allowance for loan losses</w:t>
            </w: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81,905</w:t>
            </w:r>
          </w:p>
        </w:tc>
        <w:tc>
          <w:tcPr>
            <w:tcW w:w="3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(8,059)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1,910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27,913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103,669</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61,642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(3,827)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1,389</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62,204</w:t>
            </w:r>
          </w:p>
        </w:tc>
      </w:tr>
      <w:tr>
        <w:trPr>
          <w:trHeight w:val="156"/>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unfunded</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0"/>
        </w:trPr>
        <w:tc>
          <w:tcPr>
            <w:tcW w:w="2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w:t>
            </w: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6,470</w:t>
            </w: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5,630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12,100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3,391</w:t>
            </w:r>
          </w:p>
        </w:tc>
      </w:tr>
      <w:tr>
        <w:trPr>
          <w:trHeight w:val="189"/>
        </w:trPr>
        <w:tc>
          <w:tcPr>
            <w:tcW w:w="2060" w:type="dxa"/>
            <w:vAlign w:val="bottom"/>
          </w:tcPr>
          <w:p>
            <w:pPr>
              <w:ind w:left="220"/>
              <w:spacing w:after="0"/>
              <w:rPr>
                <w:sz w:val="20"/>
                <w:szCs w:val="20"/>
                <w:color w:val="auto"/>
              </w:rPr>
            </w:pPr>
            <w:r>
              <w:rPr>
                <w:rFonts w:ascii="Arial" w:cs="Arial" w:eastAsia="Arial" w:hAnsi="Arial"/>
                <w:sz w:val="13"/>
                <w:szCs w:val="13"/>
                <w:color w:val="auto"/>
                <w:w w:val="98"/>
              </w:rPr>
              <w:t>Total allowance for credit losses</w:t>
            </w: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88,375</w:t>
            </w:r>
          </w:p>
        </w:tc>
        <w:tc>
          <w:tcPr>
            <w:tcW w:w="3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(8,059)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1,910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33,543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115,769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64,783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(3,827)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1,389</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3,250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65,595</w:t>
            </w:r>
          </w:p>
        </w:tc>
      </w:tr>
      <w:tr>
        <w:trPr>
          <w:trHeight w:val="21"/>
        </w:trPr>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38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23495</wp:posOffset>
            </wp:positionV>
            <wp:extent cx="59747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CECL</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7"/>
              </w:rPr>
              <w:t>Incurred Loss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January 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0"/>
                <w:szCs w:val="10"/>
                <w:color w:val="auto"/>
              </w:rPr>
            </w:pPr>
          </w:p>
        </w:tc>
        <w:tc>
          <w:tcPr>
            <w:tcW w:w="7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Adoption of</w:t>
            </w:r>
          </w:p>
        </w:tc>
        <w:tc>
          <w:tcPr>
            <w:tcW w:w="80" w:type="dxa"/>
            <w:vAlign w:val="bottom"/>
          </w:tcPr>
          <w:p>
            <w:pPr>
              <w:spacing w:after="0"/>
              <w:rPr>
                <w:sz w:val="10"/>
                <w:szCs w:val="10"/>
                <w:color w:val="auto"/>
              </w:rPr>
            </w:pPr>
          </w:p>
        </w:tc>
        <w:tc>
          <w:tcPr>
            <w:tcW w:w="60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(Release)</w:t>
            </w:r>
          </w:p>
        </w:tc>
        <w:tc>
          <w:tcPr>
            <w:tcW w:w="14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Ending</w:t>
            </w: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Beginning</w:t>
            </w:r>
          </w:p>
        </w:tc>
        <w:tc>
          <w:tcPr>
            <w:tcW w:w="120" w:type="dxa"/>
            <w:vAlign w:val="bottom"/>
          </w:tcPr>
          <w:p>
            <w:pPr>
              <w:spacing w:after="0"/>
              <w:rPr>
                <w:sz w:val="10"/>
                <w:szCs w:val="10"/>
                <w:color w:val="auto"/>
              </w:rPr>
            </w:pPr>
          </w:p>
        </w:tc>
        <w:tc>
          <w:tcPr>
            <w:tcW w:w="560" w:type="dxa"/>
            <w:vAlign w:val="bottom"/>
          </w:tcPr>
          <w:p>
            <w:pPr>
              <w:jc w:val="right"/>
              <w:ind w:right="98"/>
              <w:spacing w:after="0" w:line="122" w:lineRule="exact"/>
              <w:rPr>
                <w:sz w:val="20"/>
                <w:szCs w:val="20"/>
                <w:color w:val="auto"/>
              </w:rPr>
            </w:pPr>
            <w:r>
              <w:rPr>
                <w:rFonts w:ascii="Arial" w:cs="Arial" w:eastAsia="Arial" w:hAnsi="Arial"/>
                <w:sz w:val="11"/>
                <w:szCs w:val="11"/>
                <w:b w:val="1"/>
                <w:bCs w:val="1"/>
                <w:color w:val="auto"/>
                <w:w w:val="91"/>
              </w:rPr>
              <w:t>Charge-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(Release)</w:t>
            </w:r>
          </w:p>
        </w:tc>
        <w:tc>
          <w:tcPr>
            <w:tcW w:w="100" w:type="dxa"/>
            <w:vAlign w:val="bottom"/>
          </w:tcPr>
          <w:p>
            <w:pPr>
              <w:spacing w:after="0"/>
              <w:rPr>
                <w:sz w:val="10"/>
                <w:szCs w:val="10"/>
                <w:color w:val="auto"/>
              </w:rPr>
            </w:pPr>
          </w:p>
        </w:tc>
        <w:tc>
          <w:tcPr>
            <w:tcW w:w="520" w:type="dxa"/>
            <w:vAlign w:val="bottom"/>
          </w:tcPr>
          <w:p>
            <w:pPr>
              <w:jc w:val="right"/>
              <w:ind w:right="78"/>
              <w:spacing w:after="0" w:line="122" w:lineRule="exact"/>
              <w:rPr>
                <w:sz w:val="20"/>
                <w:szCs w:val="20"/>
                <w:color w:val="auto"/>
              </w:rPr>
            </w:pPr>
            <w:r>
              <w:rPr>
                <w:rFonts w:ascii="Arial" w:cs="Arial" w:eastAsia="Arial" w:hAnsi="Arial"/>
                <w:sz w:val="11"/>
                <w:szCs w:val="11"/>
                <w:b w:val="1"/>
                <w:bCs w:val="1"/>
                <w:color w:val="auto"/>
                <w:w w:val="96"/>
              </w:rPr>
              <w:t>Ending</w:t>
            </w:r>
          </w:p>
        </w:tc>
        <w:tc>
          <w:tcPr>
            <w:tcW w:w="0" w:type="dxa"/>
            <w:vAlign w:val="bottom"/>
          </w:tcPr>
          <w:p>
            <w:pPr>
              <w:spacing w:after="0"/>
              <w:rPr>
                <w:sz w:val="1"/>
                <w:szCs w:val="1"/>
                <w:color w:val="auto"/>
              </w:rPr>
            </w:pPr>
          </w:p>
        </w:tc>
      </w:tr>
      <w:tr>
        <w:trPr>
          <w:trHeight w:val="140"/>
        </w:trPr>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Balance</w:t>
            </w:r>
          </w:p>
        </w:tc>
        <w:tc>
          <w:tcPr>
            <w:tcW w:w="140" w:type="dxa"/>
            <w:vAlign w:val="bottom"/>
          </w:tcPr>
          <w:p>
            <w:pPr>
              <w:spacing w:after="0"/>
              <w:rPr>
                <w:sz w:val="12"/>
                <w:szCs w:val="12"/>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CECL</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Balance</w:t>
            </w:r>
          </w:p>
        </w:tc>
        <w:tc>
          <w:tcPr>
            <w:tcW w:w="780" w:type="dxa"/>
            <w:vAlign w:val="bottom"/>
            <w:gridSpan w:val="3"/>
          </w:tcPr>
          <w:p>
            <w:pPr>
              <w:ind w:left="40"/>
              <w:spacing w:after="0"/>
              <w:rPr>
                <w:sz w:val="20"/>
                <w:szCs w:val="20"/>
                <w:color w:val="auto"/>
              </w:rPr>
            </w:pPr>
            <w:r>
              <w:rPr>
                <w:rFonts w:ascii="Arial" w:cs="Arial" w:eastAsia="Arial" w:hAnsi="Arial"/>
                <w:sz w:val="11"/>
                <w:szCs w:val="11"/>
                <w:b w:val="1"/>
                <w:bCs w:val="1"/>
                <w:color w:val="auto"/>
              </w:rPr>
              <w:t>Charge-Offs</w:t>
            </w:r>
          </w:p>
        </w:tc>
        <w:tc>
          <w:tcPr>
            <w:tcW w:w="8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Recoveries</w:t>
            </w:r>
          </w:p>
        </w:tc>
        <w:tc>
          <w:tcPr>
            <w:tcW w:w="10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Provision</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Balance</w:t>
            </w:r>
          </w:p>
        </w:tc>
        <w:tc>
          <w:tcPr>
            <w:tcW w:w="120" w:type="dxa"/>
            <w:vAlign w:val="bottom"/>
          </w:tcPr>
          <w:p>
            <w:pPr>
              <w:spacing w:after="0"/>
              <w:rPr>
                <w:sz w:val="12"/>
                <w:szCs w:val="12"/>
                <w:color w:val="auto"/>
              </w:rPr>
            </w:pPr>
          </w:p>
        </w:tc>
        <w:tc>
          <w:tcPr>
            <w:tcW w:w="560" w:type="dxa"/>
            <w:vAlign w:val="bottom"/>
          </w:tcPr>
          <w:p>
            <w:pPr>
              <w:jc w:val="right"/>
              <w:ind w:right="178"/>
              <w:spacing w:after="0"/>
              <w:rPr>
                <w:sz w:val="20"/>
                <w:szCs w:val="20"/>
                <w:color w:val="auto"/>
              </w:rPr>
            </w:pPr>
            <w:r>
              <w:rPr>
                <w:rFonts w:ascii="Arial" w:cs="Arial" w:eastAsia="Arial" w:hAnsi="Arial"/>
                <w:sz w:val="11"/>
                <w:szCs w:val="11"/>
                <w:b w:val="1"/>
                <w:bCs w:val="1"/>
                <w:color w:val="auto"/>
              </w:rPr>
              <w:t>Offs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Recoveries</w:t>
            </w:r>
          </w:p>
        </w:tc>
        <w:tc>
          <w:tcPr>
            <w:tcW w:w="10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Provision</w:t>
            </w:r>
          </w:p>
        </w:tc>
        <w:tc>
          <w:tcPr>
            <w:tcW w:w="100" w:type="dxa"/>
            <w:vAlign w:val="bottom"/>
          </w:tcPr>
          <w:p>
            <w:pPr>
              <w:spacing w:after="0"/>
              <w:rPr>
                <w:sz w:val="12"/>
                <w:szCs w:val="12"/>
                <w:color w:val="auto"/>
              </w:rPr>
            </w:pPr>
          </w:p>
        </w:tc>
        <w:tc>
          <w:tcPr>
            <w:tcW w:w="520" w:type="dxa"/>
            <w:vAlign w:val="bottom"/>
          </w:tcPr>
          <w:p>
            <w:pPr>
              <w:jc w:val="right"/>
              <w:ind w:right="58"/>
              <w:spacing w:after="0"/>
              <w:rPr>
                <w:sz w:val="20"/>
                <w:szCs w:val="20"/>
                <w:color w:val="auto"/>
              </w:rPr>
            </w:pPr>
            <w:r>
              <w:rPr>
                <w:rFonts w:ascii="Arial" w:cs="Arial" w:eastAsia="Arial" w:hAnsi="Arial"/>
                <w:sz w:val="11"/>
                <w:szCs w:val="11"/>
                <w:b w:val="1"/>
                <w:bCs w:val="1"/>
                <w:color w:val="auto"/>
                <w:w w:val="89"/>
              </w:rPr>
              <w:t>Balance</w:t>
            </w:r>
          </w:p>
        </w:tc>
        <w:tc>
          <w:tcPr>
            <w:tcW w:w="0" w:type="dxa"/>
            <w:vAlign w:val="bottom"/>
          </w:tcPr>
          <w:p>
            <w:pPr>
              <w:spacing w:after="0"/>
              <w:rPr>
                <w:sz w:val="1"/>
                <w:szCs w:val="1"/>
                <w:color w:val="auto"/>
              </w:rPr>
            </w:pPr>
          </w:p>
        </w:tc>
      </w:tr>
      <w:tr>
        <w:trPr>
          <w:trHeight w:val="22"/>
        </w:trPr>
        <w:tc>
          <w:tcPr>
            <w:tcW w:w="1840" w:type="dxa"/>
            <w:vAlign w:val="bottom"/>
            <w:vMerge w:val="restart"/>
          </w:tcPr>
          <w:p>
            <w:pPr>
              <w:ind w:left="20"/>
              <w:spacing w:after="0"/>
              <w:rPr>
                <w:sz w:val="20"/>
                <w:szCs w:val="20"/>
                <w:color w:val="auto"/>
              </w:rPr>
            </w:pPr>
            <w:r>
              <w:rPr>
                <w:rFonts w:ascii="Arial" w:cs="Arial" w:eastAsia="Arial" w:hAnsi="Arial"/>
                <w:sz w:val="13"/>
                <w:szCs w:val="13"/>
                <w:color w:val="auto"/>
                <w:w w:val="95"/>
              </w:rPr>
              <w:t>Owner occupied commercial real</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0"/>
              <w:spacing w:after="0"/>
              <w:rPr>
                <w:sz w:val="20"/>
                <w:szCs w:val="20"/>
                <w:color w:val="auto"/>
              </w:rPr>
            </w:pPr>
            <w:r>
              <w:rPr>
                <w:rFonts w:ascii="Arial" w:cs="Arial" w:eastAsia="Arial" w:hAnsi="Arial"/>
                <w:sz w:val="13"/>
                <w:szCs w:val="13"/>
                <w:color w:val="auto"/>
              </w:rPr>
              <w:t>estate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11,404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w w:val="97"/>
              </w:rPr>
              <w:t>(1,616)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9,788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3,310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14,592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12,207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w w:val="90"/>
              </w:rPr>
              <w:t>11,545</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producing commercial</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real estate</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12,306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12,276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14,241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21,699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11,073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366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0"/>
              </w:rPr>
              <w:t>11,020</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80" w:type="dxa"/>
            <w:vAlign w:val="bottom"/>
          </w:tcPr>
          <w:p>
            <w:pPr>
              <w:spacing w:after="0"/>
              <w:rPr>
                <w:sz w:val="15"/>
                <w:szCs w:val="15"/>
                <w:color w:val="auto"/>
              </w:rPr>
            </w:pP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5,266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4,012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9,278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(7,815)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6,459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8,589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4,802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(2,935)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438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3,003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5,308</w:t>
            </w: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construction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9,668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7"/>
              </w:rPr>
              <w:t>(2,583)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7,085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7,410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14,514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10,337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557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w w:val="90"/>
              </w:rPr>
              <w:t>10,318</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3"/>
                <w:szCs w:val="13"/>
                <w:color w:val="auto"/>
              </w:rPr>
              <w:t>Equipment financing</w:t>
            </w:r>
          </w:p>
        </w:tc>
        <w:tc>
          <w:tcPr>
            <w:tcW w:w="80" w:type="dxa"/>
            <w:vAlign w:val="bottom"/>
          </w:tcPr>
          <w:p>
            <w:pPr>
              <w:spacing w:after="0"/>
              <w:rPr>
                <w:sz w:val="15"/>
                <w:szCs w:val="15"/>
                <w:color w:val="auto"/>
              </w:rPr>
            </w:pP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7,384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5,871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13,255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(3,948)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10,222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20,305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5,452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(2,434)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264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3,653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6,935</w:t>
            </w: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8,081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9,650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3,179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12,826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8,295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8,290</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3"/>
                <w:szCs w:val="13"/>
                <w:color w:val="auto"/>
              </w:rPr>
              <w:t>Home equity lines of credit</w:t>
            </w:r>
          </w:p>
        </w:tc>
        <w:tc>
          <w:tcPr>
            <w:tcW w:w="80" w:type="dxa"/>
            <w:vAlign w:val="bottom"/>
          </w:tcPr>
          <w:p>
            <w:pPr>
              <w:spacing w:after="0"/>
              <w:rPr>
                <w:sz w:val="15"/>
                <w:szCs w:val="15"/>
                <w:color w:val="auto"/>
              </w:rPr>
            </w:pP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4,575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1,919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6,494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8,687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4,752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4,794</w:t>
            </w: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2,504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7"/>
              </w:rPr>
              <w:t>(1,771)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733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1,247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2,433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2,365</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3"/>
                <w:szCs w:val="13"/>
                <w:color w:val="auto"/>
              </w:rPr>
              <w:t>Consumer</w:t>
            </w:r>
          </w:p>
        </w:tc>
        <w:tc>
          <w:tcPr>
            <w:tcW w:w="80" w:type="dxa"/>
            <w:vAlign w:val="bottom"/>
          </w:tcPr>
          <w:p>
            <w:pPr>
              <w:spacing w:after="0"/>
              <w:rPr>
                <w:sz w:val="15"/>
                <w:szCs w:val="15"/>
                <w:color w:val="auto"/>
              </w:rPr>
            </w:pP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(491)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883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(1,076)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446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632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855</w:t>
            </w:r>
          </w:p>
        </w:tc>
        <w:tc>
          <w:tcPr>
            <w:tcW w:w="0" w:type="dxa"/>
            <w:vAlign w:val="bottom"/>
          </w:tcPr>
          <w:p>
            <w:pPr>
              <w:spacing w:after="0"/>
              <w:rPr>
                <w:sz w:val="1"/>
                <w:szCs w:val="1"/>
                <w:color w:val="auto"/>
              </w:rPr>
            </w:pPr>
          </w:p>
        </w:tc>
      </w:tr>
      <w:tr>
        <w:trPr>
          <w:trHeight w:val="197"/>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Indirect auto</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774</w:t>
            </w:r>
          </w:p>
        </w:tc>
        <w:tc>
          <w:tcPr>
            <w:tcW w:w="0" w:type="dxa"/>
            <w:vAlign w:val="bottom"/>
          </w:tcPr>
          <w:p>
            <w:pPr>
              <w:spacing w:after="0"/>
              <w:rPr>
                <w:sz w:val="1"/>
                <w:szCs w:val="1"/>
                <w:color w:val="auto"/>
              </w:rPr>
            </w:pPr>
          </w:p>
        </w:tc>
      </w:tr>
      <w:tr>
        <w:trPr>
          <w:trHeight w:val="128"/>
        </w:trPr>
        <w:tc>
          <w:tcPr>
            <w:tcW w:w="1840" w:type="dxa"/>
            <w:vAlign w:val="bottom"/>
          </w:tcPr>
          <w:p>
            <w:pPr>
              <w:ind w:left="220"/>
              <w:spacing w:after="0" w:line="128" w:lineRule="exact"/>
              <w:rPr>
                <w:sz w:val="20"/>
                <w:szCs w:val="20"/>
                <w:color w:val="auto"/>
              </w:rPr>
            </w:pPr>
            <w:r>
              <w:rPr>
                <w:rFonts w:ascii="Arial" w:cs="Arial" w:eastAsia="Arial" w:hAnsi="Arial"/>
                <w:sz w:val="13"/>
                <w:szCs w:val="13"/>
                <w:color w:val="auto"/>
              </w:rPr>
              <w:t>Total allowance for credit</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220"/>
              <w:spacing w:after="0"/>
              <w:rPr>
                <w:sz w:val="20"/>
                <w:szCs w:val="20"/>
                <w:color w:val="auto"/>
              </w:rPr>
            </w:pPr>
            <w:r>
              <w:rPr>
                <w:rFonts w:ascii="Arial" w:cs="Arial" w:eastAsia="Arial" w:hAnsi="Arial"/>
                <w:sz w:val="13"/>
                <w:szCs w:val="13"/>
                <w:color w:val="auto"/>
              </w:rPr>
              <w:t>losses - loans</w:t>
            </w:r>
          </w:p>
        </w:tc>
        <w:tc>
          <w:tcPr>
            <w:tcW w:w="80" w:type="dxa"/>
            <w:vAlign w:val="bottom"/>
          </w:tcPr>
          <w:p>
            <w:pPr>
              <w:spacing w:after="0"/>
              <w:rPr>
                <w:sz w:val="14"/>
                <w:szCs w:val="14"/>
                <w:color w:val="auto"/>
              </w:rPr>
            </w:pPr>
          </w:p>
        </w:tc>
        <w:tc>
          <w:tcPr>
            <w:tcW w:w="720" w:type="dxa"/>
            <w:vAlign w:val="bottom"/>
          </w:tcPr>
          <w:p>
            <w:pPr>
              <w:jc w:val="right"/>
              <w:ind w:right="79"/>
              <w:spacing w:after="0"/>
              <w:rPr>
                <w:sz w:val="20"/>
                <w:szCs w:val="20"/>
                <w:color w:val="auto"/>
              </w:rPr>
            </w:pPr>
            <w:r>
              <w:rPr>
                <w:rFonts w:ascii="Arial" w:cs="Arial" w:eastAsia="Arial" w:hAnsi="Arial"/>
                <w:sz w:val="13"/>
                <w:szCs w:val="13"/>
                <w:color w:val="auto"/>
              </w:rPr>
              <w:t>62,089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58"/>
              <w:spacing w:after="0"/>
              <w:rPr>
                <w:sz w:val="20"/>
                <w:szCs w:val="20"/>
                <w:color w:val="auto"/>
              </w:rPr>
            </w:pPr>
            <w:r>
              <w:rPr>
                <w:rFonts w:ascii="Arial" w:cs="Arial" w:eastAsia="Arial" w:hAnsi="Arial"/>
                <w:sz w:val="13"/>
                <w:szCs w:val="13"/>
                <w:color w:val="auto"/>
              </w:rPr>
              <w:t>6,880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79"/>
              <w:spacing w:after="0"/>
              <w:rPr>
                <w:sz w:val="20"/>
                <w:szCs w:val="20"/>
                <w:color w:val="auto"/>
              </w:rPr>
            </w:pPr>
            <w:r>
              <w:rPr>
                <w:rFonts w:ascii="Arial" w:cs="Arial" w:eastAsia="Arial" w:hAnsi="Arial"/>
                <w:sz w:val="13"/>
                <w:szCs w:val="13"/>
                <w:color w:val="auto"/>
              </w:rPr>
              <w:t>68,969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0"/>
              </w:rPr>
              <w:t>(18,864)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4,601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48,963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w w:val="93"/>
              </w:rPr>
              <w:t>103,669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61,203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(8,187)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color w:val="auto"/>
              </w:rPr>
              <w:t>2,619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8"/>
              <w:spacing w:after="0"/>
              <w:rPr>
                <w:sz w:val="20"/>
                <w:szCs w:val="20"/>
                <w:color w:val="auto"/>
              </w:rPr>
            </w:pPr>
            <w:r>
              <w:rPr>
                <w:rFonts w:ascii="Arial" w:cs="Arial" w:eastAsia="Arial" w:hAnsi="Arial"/>
                <w:sz w:val="13"/>
                <w:szCs w:val="13"/>
                <w:color w:val="auto"/>
              </w:rPr>
              <w:t>6,569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8"/>
              <w:spacing w:after="0"/>
              <w:rPr>
                <w:sz w:val="20"/>
                <w:szCs w:val="20"/>
                <w:color w:val="auto"/>
              </w:rPr>
            </w:pPr>
            <w:r>
              <w:rPr>
                <w:rFonts w:ascii="Arial" w:cs="Arial" w:eastAsia="Arial" w:hAnsi="Arial"/>
                <w:sz w:val="13"/>
                <w:szCs w:val="13"/>
                <w:color w:val="auto"/>
                <w:w w:val="90"/>
              </w:rPr>
              <w:t>62,204</w:t>
            </w: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Allowance for unfunded</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w:t>
            </w: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3,458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1,871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3"/>
                <w:szCs w:val="13"/>
                <w:color w:val="auto"/>
              </w:rPr>
              <w:t>5,329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6,771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12,100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3,410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3,391</w:t>
            </w:r>
          </w:p>
        </w:tc>
        <w:tc>
          <w:tcPr>
            <w:tcW w:w="0" w:type="dxa"/>
            <w:vAlign w:val="bottom"/>
          </w:tcPr>
          <w:p>
            <w:pPr>
              <w:spacing w:after="0"/>
              <w:rPr>
                <w:sz w:val="1"/>
                <w:szCs w:val="1"/>
                <w:color w:val="auto"/>
              </w:rPr>
            </w:pPr>
          </w:p>
        </w:tc>
      </w:tr>
      <w:tr>
        <w:trPr>
          <w:trHeight w:val="128"/>
        </w:trPr>
        <w:tc>
          <w:tcPr>
            <w:tcW w:w="1840" w:type="dxa"/>
            <w:vAlign w:val="bottom"/>
          </w:tcPr>
          <w:p>
            <w:pPr>
              <w:ind w:left="220"/>
              <w:spacing w:after="0" w:line="128" w:lineRule="exact"/>
              <w:rPr>
                <w:sz w:val="20"/>
                <w:szCs w:val="20"/>
                <w:color w:val="auto"/>
              </w:rPr>
            </w:pPr>
            <w:r>
              <w:rPr>
                <w:rFonts w:ascii="Arial" w:cs="Arial" w:eastAsia="Arial" w:hAnsi="Arial"/>
                <w:sz w:val="13"/>
                <w:szCs w:val="13"/>
                <w:color w:val="auto"/>
              </w:rPr>
              <w:t>Total allowance for credit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ind w:right="79"/>
              <w:spacing w:after="0"/>
              <w:rPr>
                <w:sz w:val="20"/>
                <w:szCs w:val="20"/>
                <w:color w:val="auto"/>
              </w:rPr>
            </w:pPr>
            <w:r>
              <w:rPr>
                <w:rFonts w:ascii="Arial" w:cs="Arial" w:eastAsia="Arial" w:hAnsi="Arial"/>
                <w:sz w:val="13"/>
                <w:szCs w:val="13"/>
                <w:color w:val="auto"/>
              </w:rPr>
              <w:t>65,547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58"/>
              <w:spacing w:after="0"/>
              <w:rPr>
                <w:sz w:val="20"/>
                <w:szCs w:val="20"/>
                <w:color w:val="auto"/>
              </w:rPr>
            </w:pPr>
            <w:r>
              <w:rPr>
                <w:rFonts w:ascii="Arial" w:cs="Arial" w:eastAsia="Arial" w:hAnsi="Arial"/>
                <w:sz w:val="13"/>
                <w:szCs w:val="13"/>
                <w:color w:val="auto"/>
              </w:rPr>
              <w:t>8,751</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74,298</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w w:val="90"/>
              </w:rPr>
              <w:t>(18,864)</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78"/>
              <w:spacing w:after="0"/>
              <w:rPr>
                <w:sz w:val="20"/>
                <w:szCs w:val="20"/>
                <w:color w:val="auto"/>
              </w:rPr>
            </w:pPr>
            <w:r>
              <w:rPr>
                <w:rFonts w:ascii="Arial" w:cs="Arial" w:eastAsia="Arial" w:hAnsi="Arial"/>
                <w:sz w:val="13"/>
                <w:szCs w:val="13"/>
                <w:color w:val="auto"/>
              </w:rPr>
              <w:t>4,601</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78"/>
              <w:spacing w:after="0"/>
              <w:rPr>
                <w:sz w:val="20"/>
                <w:szCs w:val="20"/>
                <w:color w:val="auto"/>
              </w:rPr>
            </w:pPr>
            <w:r>
              <w:rPr>
                <w:rFonts w:ascii="Arial" w:cs="Arial" w:eastAsia="Arial" w:hAnsi="Arial"/>
                <w:sz w:val="13"/>
                <w:szCs w:val="13"/>
                <w:color w:val="auto"/>
              </w:rPr>
              <w:t>55,734</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8"/>
              <w:spacing w:after="0"/>
              <w:rPr>
                <w:sz w:val="20"/>
                <w:szCs w:val="20"/>
                <w:color w:val="auto"/>
              </w:rPr>
            </w:pPr>
            <w:r>
              <w:rPr>
                <w:rFonts w:ascii="Arial" w:cs="Arial" w:eastAsia="Arial" w:hAnsi="Arial"/>
                <w:sz w:val="13"/>
                <w:szCs w:val="13"/>
                <w:color w:val="auto"/>
                <w:w w:val="93"/>
              </w:rPr>
              <w:t>115,769</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78"/>
              <w:spacing w:after="0"/>
              <w:rPr>
                <w:sz w:val="20"/>
                <w:szCs w:val="20"/>
                <w:color w:val="auto"/>
              </w:rPr>
            </w:pPr>
            <w:r>
              <w:rPr>
                <w:rFonts w:ascii="Arial" w:cs="Arial" w:eastAsia="Arial" w:hAnsi="Arial"/>
                <w:sz w:val="13"/>
                <w:szCs w:val="13"/>
                <w:color w:val="auto"/>
              </w:rPr>
              <w:t>64,613</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58"/>
              <w:spacing w:after="0"/>
              <w:rPr>
                <w:sz w:val="20"/>
                <w:szCs w:val="20"/>
                <w:color w:val="auto"/>
              </w:rPr>
            </w:pPr>
            <w:r>
              <w:rPr>
                <w:rFonts w:ascii="Arial" w:cs="Arial" w:eastAsia="Arial" w:hAnsi="Arial"/>
                <w:sz w:val="13"/>
                <w:szCs w:val="13"/>
                <w:color w:val="auto"/>
              </w:rPr>
              <w:t>(8,187)</w:t>
            </w: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8"/>
              <w:spacing w:after="0"/>
              <w:rPr>
                <w:sz w:val="20"/>
                <w:szCs w:val="20"/>
                <w:color w:val="auto"/>
              </w:rPr>
            </w:pPr>
            <w:r>
              <w:rPr>
                <w:rFonts w:ascii="Arial" w:cs="Arial" w:eastAsia="Arial" w:hAnsi="Arial"/>
                <w:sz w:val="13"/>
                <w:szCs w:val="13"/>
                <w:color w:val="auto"/>
              </w:rPr>
              <w:t>2,619</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78"/>
              <w:spacing w:after="0"/>
              <w:rPr>
                <w:sz w:val="20"/>
                <w:szCs w:val="20"/>
                <w:color w:val="auto"/>
              </w:rPr>
            </w:pPr>
            <w:r>
              <w:rPr>
                <w:rFonts w:ascii="Arial" w:cs="Arial" w:eastAsia="Arial" w:hAnsi="Arial"/>
                <w:sz w:val="13"/>
                <w:szCs w:val="13"/>
                <w:color w:val="auto"/>
              </w:rPr>
              <w:t>6,550</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78"/>
              <w:spacing w:after="0"/>
              <w:rPr>
                <w:sz w:val="20"/>
                <w:szCs w:val="20"/>
                <w:color w:val="auto"/>
              </w:rPr>
            </w:pPr>
            <w:r>
              <w:rPr>
                <w:rFonts w:ascii="Arial" w:cs="Arial" w:eastAsia="Arial" w:hAnsi="Arial"/>
                <w:sz w:val="13"/>
                <w:szCs w:val="13"/>
                <w:color w:val="auto"/>
                <w:w w:val="90"/>
              </w:rPr>
              <w:t>65,595</w:t>
            </w:r>
          </w:p>
        </w:tc>
        <w:tc>
          <w:tcPr>
            <w:tcW w:w="0" w:type="dxa"/>
            <w:vAlign w:val="bottom"/>
          </w:tcPr>
          <w:p>
            <w:pPr>
              <w:spacing w:after="0"/>
              <w:rPr>
                <w:sz w:val="1"/>
                <w:szCs w:val="1"/>
                <w:color w:val="auto"/>
              </w:rPr>
            </w:pPr>
          </w:p>
        </w:tc>
      </w:tr>
      <w:tr>
        <w:trPr>
          <w:trHeight w:val="149"/>
        </w:trPr>
        <w:tc>
          <w:tcPr>
            <w:tcW w:w="1840" w:type="dxa"/>
            <w:vAlign w:val="bottom"/>
          </w:tcPr>
          <w:p>
            <w:pPr>
              <w:ind w:left="220"/>
              <w:spacing w:after="0"/>
              <w:rPr>
                <w:sz w:val="20"/>
                <w:szCs w:val="20"/>
                <w:color w:val="auto"/>
              </w:rPr>
            </w:pPr>
            <w:r>
              <w:rPr>
                <w:rFonts w:ascii="Arial" w:cs="Arial" w:eastAsia="Arial" w:hAnsi="Arial"/>
                <w:sz w:val="13"/>
                <w:szCs w:val="13"/>
                <w:color w:val="auto"/>
              </w:rPr>
              <w:t>losses</w:t>
            </w:r>
          </w:p>
        </w:tc>
        <w:tc>
          <w:tcPr>
            <w:tcW w:w="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June 30, 2020, United used a one-year reasonable and supportable forecast period. The changes in loss rates used as the basis for the estimate of credit losses during this period were modeled using historical data from peer banks and macroeconomic forecast data obtained from a third party vendor, which were then applied to United’s recent default experience as a starting point. At June 30, 2020, the forecast indicated that the markets in which United operates will experience a decline in economic conditions and an increase in the unemployment rate over the next year, primarily as a result of the COVID-19 pandemic. The increase in the ACL compared to January 1, 2020 and March 31, 2020 was primarily attributable to the worsening trends in the forecast at June 30, 2020 compared to the earlier forecasts used, with the primary economic forecast driver being the change in the unemployment rate. United adjusted the economic forecast by eliminating the initial spike in unemployment to account for the impact of government stimulus programs, which mitigated some of the negative impact on forecasted losses. In addition, United further adjusted the economic forecast for residential mortgage loans and income producing commercial real estate to moderate losses in those portfolios.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 average default rates using peer data from 2000 to 2017. For loans secured by residential mortgages, the peer data was adjusted for changes in lending practices designed to prevent the magnitude of losses observed during the mortgage crisis.</w:t>
      </w:r>
    </w:p>
    <w:p>
      <w:pPr>
        <w:spacing w:after="0" w:line="21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loans were considered low risk assets due to the related 100% guarantee by the SBA.</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Disaggregation of Incurred Loss Impairment Methodology</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The following tables represent the recorded investment in loans by portfolio segment and the balance of the allowance assigned to each segment based on the method of evaluating the loans for impairment as of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Loans Outstanding</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8"/>
              </w:rPr>
              <w:t>Allowance for Credit Losses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Collectively</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Ending</w:t>
            </w:r>
          </w:p>
        </w:tc>
        <w:tc>
          <w:tcPr>
            <w:tcW w:w="120" w:type="dxa"/>
            <w:vAlign w:val="bottom"/>
          </w:tcPr>
          <w:p>
            <w:pPr>
              <w:spacing w:after="0"/>
              <w:rPr>
                <w:sz w:val="13"/>
                <w:szCs w:val="13"/>
                <w:color w:val="auto"/>
              </w:rPr>
            </w:pPr>
          </w:p>
        </w:tc>
        <w:tc>
          <w:tcPr>
            <w:tcW w:w="10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4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evaluated</w:t>
            </w: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6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for impairment</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impairment</w:t>
            </w: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for impairment</w:t>
            </w:r>
          </w:p>
        </w:tc>
        <w:tc>
          <w:tcPr>
            <w:tcW w:w="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impairment</w:t>
            </w: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2940" w:type="dxa"/>
            <w:vAlign w:val="bottom"/>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19,233</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1,692,448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8,546</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1,720,227</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10,483</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11,404</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1,962,588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27,228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2,007,950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12,306</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1,218,882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1,220,657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5,193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965,678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976,215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739,532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3,985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744,544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7,240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1,092,046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1,117,616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8,081</w:t>
            </w:r>
          </w:p>
        </w:tc>
        <w:tc>
          <w:tcPr>
            <w:tcW w:w="0" w:type="dxa"/>
            <w:vAlign w:val="bottom"/>
          </w:tcPr>
          <w:p>
            <w:pPr>
              <w:spacing w:after="0"/>
              <w:rPr>
                <w:sz w:val="1"/>
                <w:szCs w:val="1"/>
                <w:color w:val="auto"/>
              </w:rPr>
            </w:pPr>
          </w:p>
        </w:tc>
      </w:tr>
      <w:tr>
        <w:trPr>
          <w:trHeight w:val="197"/>
        </w:trPr>
        <w:tc>
          <w:tcPr>
            <w:tcW w:w="2940" w:type="dxa"/>
            <w:vAlign w:val="bottom"/>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658,273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660,675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4,541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208"/>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234,807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236,437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2,504</w:t>
            </w:r>
          </w:p>
        </w:tc>
        <w:tc>
          <w:tcPr>
            <w:tcW w:w="0" w:type="dxa"/>
            <w:vAlign w:val="bottom"/>
          </w:tcPr>
          <w:p>
            <w:pPr>
              <w:spacing w:after="0"/>
              <w:rPr>
                <w:sz w:val="1"/>
                <w:szCs w:val="1"/>
                <w:color w:val="auto"/>
              </w:rPr>
            </w:pPr>
          </w:p>
        </w:tc>
      </w:tr>
      <w:tr>
        <w:trPr>
          <w:trHeight w:val="197"/>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127,682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128,232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27"/>
        </w:trPr>
        <w:tc>
          <w:tcPr>
            <w:tcW w:w="2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61,971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8,691,936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58,646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8,812,553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2,512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59,214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62,089</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color w:val="auto"/>
              </w:rPr>
              <w:t>3,458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ind w:right="68"/>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line="20" w:lineRule="exact"/>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9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62,672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65,547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additional detail on loans individually evaluated for impairment under Incurred Loss by class as of December 31, 2019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Unpaid Principal</w:t>
            </w:r>
          </w:p>
        </w:tc>
        <w:tc>
          <w:tcPr>
            <w:tcW w:w="12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Recorded Investment</w:t>
            </w:r>
          </w:p>
        </w:tc>
        <w:tc>
          <w:tcPr>
            <w:tcW w:w="3060" w:type="dxa"/>
            <w:vAlign w:val="bottom"/>
            <w:gridSpan w:val="3"/>
          </w:tcPr>
          <w:p>
            <w:pPr>
              <w:jc w:val="center"/>
              <w:ind w:right="1220"/>
              <w:spacing w:after="0" w:line="153" w:lineRule="exact"/>
              <w:rPr>
                <w:sz w:val="20"/>
                <w:szCs w:val="20"/>
                <w:color w:val="auto"/>
              </w:rPr>
            </w:pPr>
            <w:r>
              <w:rPr>
                <w:rFonts w:ascii="Arial" w:cs="Arial" w:eastAsia="Arial" w:hAnsi="Arial"/>
                <w:sz w:val="14"/>
                <w:szCs w:val="14"/>
                <w:b w:val="1"/>
                <w:bCs w:val="1"/>
                <w:color w:val="auto"/>
                <w:w w:val="90"/>
              </w:rPr>
              <w:t>Allowance for Loan Losses</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5"/>
              </w:rPr>
              <w:t>Allocated</w:t>
            </w:r>
          </w:p>
        </w:tc>
        <w:tc>
          <w:tcPr>
            <w:tcW w:w="0" w:type="dxa"/>
            <w:vAlign w:val="bottom"/>
          </w:tcPr>
          <w:p>
            <w:pPr>
              <w:spacing w:after="0"/>
              <w:rPr>
                <w:sz w:val="1"/>
                <w:szCs w:val="1"/>
                <w:color w:val="auto"/>
              </w:rPr>
            </w:pPr>
          </w:p>
        </w:tc>
      </w:tr>
      <w:tr>
        <w:trPr>
          <w:trHeight w:val="202"/>
        </w:trPr>
        <w:tc>
          <w:tcPr>
            <w:tcW w:w="4760" w:type="dxa"/>
            <w:vAlign w:val="bottom"/>
            <w:tcBorders>
              <w:top w:val="single" w:sz="8" w:color="CCEEFF"/>
            </w:tcBorders>
            <w:shd w:val="clear" w:color="auto" w:fill="CCEEFF"/>
          </w:tcPr>
          <w:p>
            <w:pPr>
              <w:ind w:left="1240"/>
              <w:spacing w:after="0"/>
              <w:rPr>
                <w:sz w:val="20"/>
                <w:szCs w:val="20"/>
                <w:color w:val="auto"/>
              </w:rPr>
            </w:pPr>
            <w:r>
              <w:rPr>
                <w:rFonts w:ascii="Arial" w:cs="Arial" w:eastAsia="Arial" w:hAnsi="Arial"/>
                <w:sz w:val="14"/>
                <w:szCs w:val="14"/>
                <w:color w:val="auto"/>
              </w:rPr>
              <w:t>With no related allowance recorded:</w:t>
            </w: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1340"/>
              <w:spacing w:after="0"/>
              <w:rPr>
                <w:sz w:val="20"/>
                <w:szCs w:val="20"/>
                <w:color w:val="auto"/>
              </w:rPr>
            </w:pPr>
            <w:r>
              <w:rPr>
                <w:rFonts w:ascii="Arial" w:cs="Arial" w:eastAsia="Arial" w:hAnsi="Arial"/>
                <w:sz w:val="14"/>
                <w:szCs w:val="14"/>
                <w:color w:val="auto"/>
              </w:rPr>
              <w:t>Owner occupied commercial real estate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9,527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8,118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700" w:type="dxa"/>
            <w:vAlign w:val="bottom"/>
            <w:gridSpan w:val="2"/>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Income producing commercial real estate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60" w:type="dxa"/>
            <w:vAlign w:val="bottom"/>
          </w:tcPr>
          <w:p>
            <w:pPr>
              <w:ind w:left="1340"/>
              <w:spacing w:after="0"/>
              <w:rPr>
                <w:sz w:val="20"/>
                <w:szCs w:val="20"/>
                <w:color w:val="auto"/>
              </w:rPr>
            </w:pPr>
            <w:r>
              <w:rPr>
                <w:rFonts w:ascii="Arial" w:cs="Arial" w:eastAsia="Arial" w:hAnsi="Arial"/>
                <w:sz w:val="14"/>
                <w:szCs w:val="14"/>
                <w:color w:val="auto"/>
              </w:rPr>
              <w:t>Commercial &amp; industrial</w:t>
            </w:r>
          </w:p>
        </w:tc>
        <w:tc>
          <w:tcPr>
            <w:tcW w:w="18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1,144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gridSpan w:val="2"/>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Commercial construction</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60" w:type="dxa"/>
            <w:vAlign w:val="bottom"/>
            <w:tcBorders>
              <w:bottom w:val="single" w:sz="8" w:color="CCEEFF"/>
            </w:tcBorders>
          </w:tcPr>
          <w:p>
            <w:pPr>
              <w:ind w:left="1340"/>
              <w:spacing w:after="0"/>
              <w:rPr>
                <w:sz w:val="20"/>
                <w:szCs w:val="20"/>
                <w:color w:val="auto"/>
              </w:rPr>
            </w:pPr>
            <w:r>
              <w:rPr>
                <w:rFonts w:ascii="Arial" w:cs="Arial" w:eastAsia="Arial" w:hAnsi="Arial"/>
                <w:sz w:val="14"/>
                <w:szCs w:val="14"/>
                <w:color w:val="auto"/>
              </w:rPr>
              <w:t>Equipment financing</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Total commercial</w:t>
            </w: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17,131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60" w:type="dxa"/>
            <w:vAlign w:val="bottom"/>
          </w:tcPr>
          <w:p>
            <w:pPr>
              <w:ind w:left="1340"/>
              <w:spacing w:after="0"/>
              <w:rPr>
                <w:sz w:val="20"/>
                <w:szCs w:val="20"/>
                <w:color w:val="auto"/>
              </w:rPr>
            </w:pPr>
            <w:r>
              <w:rPr>
                <w:rFonts w:ascii="Arial" w:cs="Arial" w:eastAsia="Arial" w:hAnsi="Arial"/>
                <w:sz w:val="14"/>
                <w:szCs w:val="14"/>
                <w:color w:val="auto"/>
              </w:rPr>
              <w:t>Residential mortgage</w:t>
            </w:r>
          </w:p>
        </w:tc>
        <w:tc>
          <w:tcPr>
            <w:tcW w:w="18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7,362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6,436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gridSpan w:val="2"/>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Home equity lines of credit</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60" w:type="dxa"/>
            <w:vAlign w:val="bottom"/>
          </w:tcPr>
          <w:p>
            <w:pPr>
              <w:ind w:left="1340"/>
              <w:spacing w:after="0"/>
              <w:rPr>
                <w:sz w:val="20"/>
                <w:szCs w:val="20"/>
                <w:color w:val="auto"/>
              </w:rPr>
            </w:pPr>
            <w:r>
              <w:rPr>
                <w:rFonts w:ascii="Arial" w:cs="Arial" w:eastAsia="Arial" w:hAnsi="Arial"/>
                <w:sz w:val="14"/>
                <w:szCs w:val="14"/>
                <w:color w:val="auto"/>
              </w:rPr>
              <w:t>Residential construction</w:t>
            </w:r>
          </w:p>
        </w:tc>
        <w:tc>
          <w:tcPr>
            <w:tcW w:w="18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gridSpan w:val="2"/>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Consumer</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ind w:left="1420"/>
              <w:spacing w:after="0"/>
              <w:rPr>
                <w:sz w:val="20"/>
                <w:szCs w:val="20"/>
                <w:color w:val="auto"/>
              </w:rPr>
            </w:pPr>
            <w:r>
              <w:rPr>
                <w:rFonts w:ascii="Arial" w:cs="Arial" w:eastAsia="Arial" w:hAnsi="Arial"/>
                <w:sz w:val="14"/>
                <w:szCs w:val="14"/>
                <w:color w:val="auto"/>
              </w:rPr>
              <w:t>Total with no related allowance recorded</w:t>
            </w:r>
          </w:p>
        </w:tc>
        <w:tc>
          <w:tcPr>
            <w:tcW w:w="18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28,590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25,107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gridSpan w:val="2"/>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60" w:type="dxa"/>
            <w:vAlign w:val="bottom"/>
          </w:tcPr>
          <w:p>
            <w:pPr>
              <w:ind w:left="1240"/>
              <w:spacing w:after="0"/>
              <w:rPr>
                <w:sz w:val="20"/>
                <w:szCs w:val="20"/>
                <w:color w:val="auto"/>
              </w:rPr>
            </w:pPr>
            <w:r>
              <w:rPr>
                <w:rFonts w:ascii="Arial" w:cs="Arial" w:eastAsia="Arial" w:hAnsi="Arial"/>
                <w:sz w:val="14"/>
                <w:szCs w:val="14"/>
                <w:color w:val="auto"/>
              </w:rPr>
              <w:t>With an allowance recorded: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Owner occupied commercial real estate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11,115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816</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60" w:type="dxa"/>
            <w:vAlign w:val="bottom"/>
          </w:tcPr>
          <w:p>
            <w:pPr>
              <w:ind w:left="1340"/>
              <w:spacing w:after="0"/>
              <w:rPr>
                <w:sz w:val="20"/>
                <w:szCs w:val="20"/>
                <w:color w:val="auto"/>
              </w:rPr>
            </w:pPr>
            <w:r>
              <w:rPr>
                <w:rFonts w:ascii="Arial" w:cs="Arial" w:eastAsia="Arial" w:hAnsi="Arial"/>
                <w:sz w:val="14"/>
                <w:szCs w:val="14"/>
                <w:color w:val="auto"/>
              </w:rPr>
              <w:t>Income producing commercial real estate</w:t>
            </w:r>
          </w:p>
        </w:tc>
        <w:tc>
          <w:tcPr>
            <w:tcW w:w="18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13,591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13,178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770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Commercial &amp; industrial</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60" w:type="dxa"/>
            <w:vAlign w:val="bottom"/>
          </w:tcPr>
          <w:p>
            <w:pPr>
              <w:ind w:left="1340"/>
              <w:spacing w:after="0"/>
              <w:rPr>
                <w:sz w:val="20"/>
                <w:szCs w:val="20"/>
                <w:color w:val="auto"/>
              </w:rPr>
            </w:pPr>
            <w:r>
              <w:rPr>
                <w:rFonts w:ascii="Arial" w:cs="Arial" w:eastAsia="Arial" w:hAnsi="Arial"/>
                <w:sz w:val="14"/>
                <w:szCs w:val="14"/>
                <w:color w:val="auto"/>
              </w:rPr>
              <w:t>Commercial construction</w:t>
            </w:r>
          </w:p>
        </w:tc>
        <w:tc>
          <w:tcPr>
            <w:tcW w:w="18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1,535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1,535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Equipment financing</w:t>
            </w: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right"/>
              <w:ind w:righ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60" w:type="dxa"/>
            <w:vAlign w:val="bottom"/>
          </w:tcPr>
          <w:p>
            <w:pPr>
              <w:ind w:left="1420"/>
              <w:spacing w:after="0"/>
              <w:rPr>
                <w:sz w:val="20"/>
                <w:szCs w:val="20"/>
                <w:color w:val="auto"/>
              </w:rPr>
            </w:pPr>
            <w:r>
              <w:rPr>
                <w:rFonts w:ascii="Arial" w:cs="Arial" w:eastAsia="Arial" w:hAnsi="Arial"/>
                <w:sz w:val="14"/>
                <w:szCs w:val="14"/>
                <w:color w:val="auto"/>
              </w:rPr>
              <w:t>Total commercial</w:t>
            </w: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26,821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26,387</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1,662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Residential mortgage</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782</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60" w:type="dxa"/>
            <w:vAlign w:val="bottom"/>
          </w:tcPr>
          <w:p>
            <w:pPr>
              <w:ind w:left="1340"/>
              <w:spacing w:after="0"/>
              <w:rPr>
                <w:sz w:val="20"/>
                <w:szCs w:val="20"/>
                <w:color w:val="auto"/>
              </w:rPr>
            </w:pPr>
            <w:r>
              <w:rPr>
                <w:rFonts w:ascii="Arial" w:cs="Arial" w:eastAsia="Arial" w:hAnsi="Arial"/>
                <w:sz w:val="14"/>
                <w:szCs w:val="14"/>
                <w:color w:val="auto"/>
              </w:rPr>
              <w:t>Home equity lines of credit</w:t>
            </w:r>
          </w:p>
        </w:tc>
        <w:tc>
          <w:tcPr>
            <w:tcW w:w="18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Residential construction</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760" w:type="dxa"/>
            <w:vAlign w:val="bottom"/>
            <w:tcBorders>
              <w:bottom w:val="single" w:sz="8" w:color="CCEEFF"/>
            </w:tcBorders>
          </w:tcPr>
          <w:p>
            <w:pPr>
              <w:ind w:left="1340"/>
              <w:spacing w:after="0"/>
              <w:rPr>
                <w:sz w:val="20"/>
                <w:szCs w:val="20"/>
                <w:color w:val="auto"/>
              </w:rPr>
            </w:pPr>
            <w:r>
              <w:rPr>
                <w:rFonts w:ascii="Arial" w:cs="Arial" w:eastAsia="Arial" w:hAnsi="Arial"/>
                <w:sz w:val="14"/>
                <w:szCs w:val="14"/>
                <w:color w:val="auto"/>
              </w:rPr>
              <w:t>Consumer</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1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Total with an allowance recorded</w:t>
            </w: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37,395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36,864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2,512</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154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65,985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61,971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2,512</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under Incurred Loss are presented below for the period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2"/>
              </w:rPr>
              <w:t>Three Months Ended June 30, 2019</w:t>
            </w:r>
          </w:p>
        </w:tc>
        <w:tc>
          <w:tcPr>
            <w:tcW w:w="200" w:type="dxa"/>
            <w:vAlign w:val="bottom"/>
          </w:tcPr>
          <w:p>
            <w:pPr>
              <w:spacing w:after="0"/>
              <w:rPr>
                <w:sz w:val="18"/>
                <w:szCs w:val="18"/>
                <w:color w:val="auto"/>
              </w:rPr>
            </w:pPr>
          </w:p>
        </w:tc>
        <w:tc>
          <w:tcPr>
            <w:tcW w:w="3600" w:type="dxa"/>
            <w:vAlign w:val="bottom"/>
            <w:gridSpan w:val="7"/>
          </w:tcPr>
          <w:p>
            <w:pPr>
              <w:jc w:val="center"/>
              <w:ind w:right="139"/>
              <w:spacing w:after="0"/>
              <w:rPr>
                <w:sz w:val="20"/>
                <w:szCs w:val="20"/>
                <w:color w:val="auto"/>
              </w:rPr>
            </w:pPr>
            <w:r>
              <w:rPr>
                <w:rFonts w:ascii="Arial" w:cs="Arial" w:eastAsia="Arial" w:hAnsi="Arial"/>
                <w:sz w:val="16"/>
                <w:szCs w:val="16"/>
                <w:b w:val="1"/>
                <w:bCs w:val="1"/>
                <w:color w:val="auto"/>
                <w:w w:val="91"/>
              </w:rPr>
              <w:t>Six Months Ended June 30, 2019</w:t>
            </w:r>
          </w:p>
        </w:tc>
      </w:tr>
      <w:tr>
        <w:trPr>
          <w:trHeight w:val="33"/>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Cash Basis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Cash Basis</w:t>
            </w:r>
          </w:p>
        </w:tc>
      </w:t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Recognized</w:t>
            </w: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Interest</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Recognized</w:t>
            </w:r>
          </w:p>
        </w:tc>
        <w:tc>
          <w:tcPr>
            <w:tcW w:w="16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Interest</w:t>
            </w:r>
          </w:p>
        </w:tc>
      </w:t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Average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During</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Average</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During</w:t>
            </w:r>
          </w:p>
        </w:tc>
        <w:tc>
          <w:tcPr>
            <w:tcW w:w="16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Revenue</w:t>
            </w:r>
          </w:p>
        </w:tc>
      </w:tr>
      <w:tr>
        <w:trPr>
          <w:trHeight w:val="210"/>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Impairment</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Received</w:t>
            </w:r>
          </w:p>
        </w:tc>
        <w:tc>
          <w:tcPr>
            <w:tcW w:w="2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Impairment</w:t>
            </w:r>
          </w:p>
        </w:tc>
        <w:tc>
          <w:tcPr>
            <w:tcW w:w="160" w:type="dxa"/>
            <w:vAlign w:val="bottom"/>
          </w:tcPr>
          <w:p>
            <w:pPr>
              <w:spacing w:after="0"/>
              <w:rPr>
                <w:sz w:val="18"/>
                <w:szCs w:val="18"/>
                <w:color w:val="auto"/>
              </w:rPr>
            </w:pPr>
          </w:p>
        </w:tc>
        <w:tc>
          <w:tcPr>
            <w:tcW w:w="104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Received</w:t>
            </w:r>
          </w:p>
        </w:tc>
      </w:tr>
      <w:tr>
        <w:trPr>
          <w:trHeight w:val="33"/>
        </w:trPr>
        <w:tc>
          <w:tcPr>
            <w:tcW w:w="3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592</w:t>
            </w:r>
          </w:p>
        </w:tc>
      </w:tr>
      <w:tr>
        <w:trPr>
          <w:trHeight w:val="223"/>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13,680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13,959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376</w:t>
            </w:r>
          </w:p>
        </w:tc>
      </w:tr>
      <w:tr>
        <w:trPr>
          <w:trHeight w:val="33"/>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r>
      <w:tr>
        <w:trPr>
          <w:trHeight w:val="224"/>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3,369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2,886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w:t>
            </w:r>
          </w:p>
        </w:tc>
      </w:tr>
      <w:tr>
        <w:trPr>
          <w:trHeight w:val="33"/>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3480" w:type="dxa"/>
            <w:vAlign w:val="bottom"/>
            <w:gridSpan w:val="2"/>
          </w:tcPr>
          <w:p>
            <w:pPr>
              <w:ind w:left="120"/>
              <w:spacing w:after="0"/>
              <w:rPr>
                <w:sz w:val="20"/>
                <w:szCs w:val="20"/>
                <w:color w:val="auto"/>
              </w:rPr>
            </w:pPr>
            <w:r>
              <w:rPr>
                <w:rFonts w:ascii="Arial" w:cs="Arial" w:eastAsia="Arial" w:hAnsi="Arial"/>
                <w:sz w:val="16"/>
                <w:szCs w:val="16"/>
                <w:color w:val="auto"/>
              </w:rPr>
              <w:t>Total commercial</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37,721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36,745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1,078</w:t>
            </w:r>
          </w:p>
        </w:tc>
      </w:tr>
      <w:tr>
        <w:trPr>
          <w:trHeight w:val="33"/>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r>
      <w:tr>
        <w:trPr>
          <w:trHeight w:val="224"/>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Home equity lines of credit</w:t>
            </w: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w:t>
            </w:r>
          </w:p>
        </w:tc>
      </w:tr>
      <w:tr>
        <w:trPr>
          <w:trHeight w:val="33"/>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r>
      <w:tr>
        <w:trPr>
          <w:trHeight w:val="224"/>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w:t>
            </w:r>
          </w:p>
        </w:tc>
      </w:tr>
      <w:tr>
        <w:trPr>
          <w:trHeight w:val="33"/>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Indirect auto</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r>
      <w:tr>
        <w:trPr>
          <w:trHeight w:val="247"/>
        </w:trPr>
        <w:tc>
          <w:tcPr>
            <w:tcW w:w="348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56,890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55,611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1,523</w:t>
            </w:r>
          </w:p>
        </w:tc>
      </w:tr>
      <w:tr>
        <w:trPr>
          <w:trHeight w:val="23"/>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represents the premium paid for acquired companies above the net fair value of the assets acquired and liabilities assumed, including separately identifiable intangible assets. At June 30, 2020 and December 31, 2019, the net carrying value of goodwill was $327 million. Goodwill is not amortized but is assessed for impairment on an annual basis, or more often if events or circumstances indicate there may be impairment, referred to as a triggering event. Upon the occurrence of a triggering event, accounting guidance allows for an assessment of qualitative factors to determine whether it is more likely than not, or a greater than 50% likelihood, that the fair value of the entity is less than its carrying amount, including goodwill. When it is more likely than not that impairment has occurred, management is required to perform a quantitative analysis and, if necessary, adjust the carrying amount of goodwill by recording a goodwill impairment loss. During the latter part of the first quarter and the second quarter of 2020, as a result of market concerns about the potential impact of COVID-19, United’s stock price declined such that it traded below book value for much of that time period. As a result of this triggering event, management has qualitatively assessed and concluded that there is not a greater than 50% likelihood that United’s fair value is less than its carrying amount as of June 30, 2020, given the anticipated short duration of the change in macroeconomic conditions and excess of value as of the latest annual test performed as of September 30, 2019. Management will continue to monitor and assess the impact of the pandemic on the Company’s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through a combination of pricing and term structure of deposit product offerings, the amount and duration of its investment securities portfolio and wholesale funding and, to a lesser degree, through the use of derivative financial instruments. From time to time, United enters into derivative financial instruments to manage interest rate risk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has master netting agreements with the derivatives dealers with which it does business, but has elected to reflect gross assets and liabilities on the consolidated balance sheets.</w:t>
      </w:r>
    </w:p>
    <w:p>
      <w:pPr>
        <w:spacing w:after="0" w:line="19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United clears certain derivatives centrally through the Chicago Mercantile Exchange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purposes. Variation margin, as determined by the CME, is settled daily. As a result, derivative contracts that clear through the CME have an estimated fair value of zero.</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57150</wp:posOffset>
            </wp:positionV>
            <wp:extent cx="3060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12" w:lineRule="exact"/>
        <w:rPr>
          <w:sz w:val="20"/>
          <w:szCs w:val="20"/>
          <w:color w:val="auto"/>
        </w:rPr>
      </w:pPr>
    </w:p>
    <w:p>
      <w:pPr>
        <w:jc w:val="center"/>
        <w:ind w:left="6600"/>
        <w:spacing w:after="0"/>
        <w:rPr>
          <w:sz w:val="20"/>
          <w:szCs w:val="20"/>
          <w:color w:val="auto"/>
        </w:rPr>
      </w:pPr>
      <w:r>
        <w:rPr>
          <w:rFonts w:ascii="Arial" w:cs="Arial" w:eastAsia="Arial" w:hAnsi="Arial"/>
          <w:sz w:val="18"/>
          <w:szCs w:val="18"/>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34290</wp:posOffset>
            </wp:positionV>
            <wp:extent cx="14916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61" w:lineRule="exact"/>
        <w:rPr>
          <w:sz w:val="20"/>
          <w:szCs w:val="20"/>
          <w:color w:val="auto"/>
        </w:rPr>
      </w:pPr>
    </w:p>
    <w:p>
      <w:pPr>
        <w:ind w:left="6600"/>
        <w:spacing w:after="0"/>
        <w:tabs>
          <w:tab w:leader="none" w:pos="7800" w:val="left"/>
        </w:tabs>
        <w:rPr>
          <w:sz w:val="20"/>
          <w:szCs w:val="20"/>
          <w:color w:val="auto"/>
        </w:rPr>
      </w:pPr>
      <w:r>
        <w:rPr>
          <w:rFonts w:ascii="Arial" w:cs="Arial" w:eastAsia="Arial" w:hAnsi="Arial"/>
          <w:sz w:val="15"/>
          <w:szCs w:val="15"/>
          <w:b w:val="1"/>
          <w:bCs w:val="1"/>
          <w:color w:val="auto"/>
        </w:rPr>
        <w:t>Derivative</w:t>
      </w:r>
      <w:r>
        <w:rPr>
          <w:sz w:val="20"/>
          <w:szCs w:val="20"/>
          <w:color w:val="auto"/>
        </w:rPr>
        <w:tab/>
      </w:r>
      <w:r>
        <w:rPr>
          <w:rFonts w:ascii="Arial" w:cs="Arial" w:eastAsia="Arial" w:hAnsi="Arial"/>
          <w:sz w:val="15"/>
          <w:szCs w:val="15"/>
          <w:b w:val="1"/>
          <w:bCs w:val="1"/>
          <w:color w:val="auto"/>
        </w:rPr>
        <w:t>Derivative</w:t>
      </w:r>
    </w:p>
    <w:p>
      <w:pPr>
        <w:spacing w:after="0" w:line="38" w:lineRule="exact"/>
        <w:rPr>
          <w:sz w:val="20"/>
          <w:szCs w:val="20"/>
          <w:color w:val="auto"/>
        </w:rPr>
      </w:pPr>
    </w:p>
    <w:p>
      <w:pPr>
        <w:ind w:left="6780"/>
        <w:spacing w:after="0"/>
        <w:tabs>
          <w:tab w:leader="none" w:pos="7880" w:val="left"/>
        </w:tabs>
        <w:rPr>
          <w:sz w:val="20"/>
          <w:szCs w:val="20"/>
          <w:color w:val="auto"/>
        </w:rPr>
      </w:pPr>
      <w:r>
        <w:rPr>
          <w:rFonts w:ascii="Arial" w:cs="Arial" w:eastAsia="Arial" w:hAnsi="Arial"/>
          <w:sz w:val="16"/>
          <w:szCs w:val="16"/>
          <w:b w:val="1"/>
          <w:bCs w:val="1"/>
          <w:color w:val="auto"/>
        </w:rPr>
        <w:t>Asset</w:t>
      </w:r>
      <w:r>
        <w:rPr>
          <w:sz w:val="20"/>
          <w:szCs w:val="20"/>
          <w:color w:val="auto"/>
        </w:rPr>
        <w:tab/>
      </w:r>
      <w:r>
        <w:rPr>
          <w:rFonts w:ascii="Arial" w:cs="Arial" w:eastAsia="Arial" w:hAnsi="Arial"/>
          <w:sz w:val="16"/>
          <w:szCs w:val="16"/>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710628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34290</wp:posOffset>
            </wp:positionV>
            <wp:extent cx="15005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61"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b w:val="1"/>
          <w:bCs w:val="1"/>
          <w:color w:val="auto"/>
        </w:rPr>
        <w:t>Derivative</w:t>
      </w:r>
      <w:r>
        <w:rPr>
          <w:sz w:val="20"/>
          <w:szCs w:val="20"/>
          <w:color w:val="auto"/>
        </w:rPr>
        <w:tab/>
      </w:r>
      <w:r>
        <w:rPr>
          <w:rFonts w:ascii="Arial" w:cs="Arial" w:eastAsia="Arial" w:hAnsi="Arial"/>
          <w:sz w:val="15"/>
          <w:szCs w:val="15"/>
          <w:b w:val="1"/>
          <w:bCs w:val="1"/>
          <w:color w:val="auto"/>
        </w:rPr>
        <w:t>Derivative</w:t>
      </w:r>
    </w:p>
    <w:p>
      <w:pPr>
        <w:spacing w:after="0" w:line="38" w:lineRule="exact"/>
        <w:rPr>
          <w:sz w:val="20"/>
          <w:szCs w:val="20"/>
          <w:color w:val="auto"/>
        </w:rPr>
      </w:pPr>
    </w:p>
    <w:p>
      <w:pPr>
        <w:ind w:left="180"/>
        <w:spacing w:after="0"/>
        <w:tabs>
          <w:tab w:leader="none" w:pos="1280" w:val="left"/>
        </w:tabs>
        <w:rPr>
          <w:sz w:val="20"/>
          <w:szCs w:val="20"/>
          <w:color w:val="auto"/>
        </w:rPr>
      </w:pPr>
      <w:r>
        <w:rPr>
          <w:rFonts w:ascii="Arial" w:cs="Arial" w:eastAsia="Arial" w:hAnsi="Arial"/>
          <w:sz w:val="16"/>
          <w:szCs w:val="16"/>
          <w:b w:val="1"/>
          <w:bCs w:val="1"/>
          <w:color w:val="auto"/>
        </w:rPr>
        <w:t>Asset</w:t>
      </w:r>
      <w:r>
        <w:rPr>
          <w:sz w:val="20"/>
          <w:szCs w:val="20"/>
          <w:color w:val="auto"/>
        </w:rPr>
        <w:tab/>
      </w:r>
      <w:r>
        <w:rPr>
          <w:rFonts w:ascii="Arial" w:cs="Arial" w:eastAsia="Arial" w:hAnsi="Arial"/>
          <w:sz w:val="16"/>
          <w:szCs w:val="16"/>
          <w:b w:val="1"/>
          <w:bCs w:val="1"/>
          <w:color w:val="auto"/>
        </w:rPr>
        <w:t>Liability</w:t>
      </w:r>
    </w:p>
    <w:p>
      <w:pPr>
        <w:spacing w:after="0" w:line="69" w:lineRule="exact"/>
        <w:rPr>
          <w:sz w:val="20"/>
          <w:szCs w:val="20"/>
          <w:color w:val="auto"/>
        </w:rPr>
      </w:pPr>
    </w:p>
    <w:p>
      <w:pPr>
        <w:sectPr>
          <w:pgSz w:w="11900" w:h="16838" w:orient="portrait"/>
          <w:cols w:equalWidth="0" w:num="2">
            <w:col w:w="8540" w:space="520"/>
            <w:col w:w="2180"/>
          </w:cols>
          <w:pgMar w:left="320" w:top="121"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Derivatives designated as hedging instruments: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6360" w:type="dxa"/>
            <w:vAlign w:val="bottom"/>
          </w:tcPr>
          <w:p>
            <w:pPr>
              <w:ind w:left="200"/>
              <w:spacing w:after="0"/>
              <w:rPr>
                <w:sz w:val="20"/>
                <w:szCs w:val="20"/>
                <w:color w:val="auto"/>
              </w:rPr>
            </w:pPr>
            <w:r>
              <w:rPr>
                <w:rFonts w:ascii="Arial" w:cs="Arial" w:eastAsia="Arial" w:hAnsi="Arial"/>
                <w:sz w:val="16"/>
                <w:szCs w:val="16"/>
                <w:color w:val="auto"/>
              </w:rPr>
              <w:t>Fair value hedge of brokered time deposits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880</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6"/>
        </w:trPr>
        <w:tc>
          <w:tcPr>
            <w:tcW w:w="6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Cash flow hedge of subordinated debt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0"/>
        </w:trPr>
        <w:tc>
          <w:tcPr>
            <w:tcW w:w="6360" w:type="dxa"/>
            <w:vAlign w:val="bottom"/>
          </w:tcPr>
          <w:p>
            <w:pPr>
              <w:ind w:left="4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2,990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880</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7"/>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Derivatives not designated as hedging instruments:</w:t>
            </w: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24"/>
        </w:trPr>
        <w:tc>
          <w:tcPr>
            <w:tcW w:w="6360" w:type="dxa"/>
            <w:vAlign w:val="bottom"/>
          </w:tcPr>
          <w:p>
            <w:pPr>
              <w:ind w:left="200"/>
              <w:spacing w:after="0"/>
              <w:rPr>
                <w:sz w:val="20"/>
                <w:szCs w:val="20"/>
                <w:color w:val="auto"/>
              </w:rPr>
            </w:pPr>
            <w:r>
              <w:rPr>
                <w:rFonts w:ascii="Arial" w:cs="Arial" w:eastAsia="Arial" w:hAnsi="Arial"/>
                <w:sz w:val="16"/>
                <w:szCs w:val="16"/>
                <w:color w:val="auto"/>
              </w:rPr>
              <w:t>Customer derivative positions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79,900</w:t>
            </w:r>
          </w:p>
        </w:tc>
        <w:tc>
          <w:tcPr>
            <w:tcW w:w="1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27,277</w:t>
            </w:r>
          </w:p>
        </w:tc>
        <w:tc>
          <w:tcPr>
            <w:tcW w:w="12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446</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Dealer offsets to customer derivative positions</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20,266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6,425</w:t>
            </w:r>
          </w:p>
        </w:tc>
      </w:tr>
      <w:tr>
        <w:trPr>
          <w:trHeight w:val="223"/>
        </w:trPr>
        <w:tc>
          <w:tcPr>
            <w:tcW w:w="6360" w:type="dxa"/>
            <w:vAlign w:val="bottom"/>
          </w:tcPr>
          <w:p>
            <w:pPr>
              <w:ind w:left="200"/>
              <w:spacing w:after="0"/>
              <w:rPr>
                <w:sz w:val="20"/>
                <w:szCs w:val="20"/>
                <w:color w:val="auto"/>
              </w:rPr>
            </w:pPr>
            <w:r>
              <w:rPr>
                <w:rFonts w:ascii="Arial" w:cs="Arial" w:eastAsia="Arial" w:hAnsi="Arial"/>
                <w:sz w:val="16"/>
                <w:szCs w:val="16"/>
                <w:color w:val="auto"/>
              </w:rPr>
              <w:t>Risk participations</w:t>
            </w:r>
          </w:p>
        </w:tc>
        <w:tc>
          <w:tcPr>
            <w:tcW w:w="3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Mortgage banking - loan commitment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360" w:type="dxa"/>
            <w:vAlign w:val="bottom"/>
          </w:tcPr>
          <w:p>
            <w:pPr>
              <w:ind w:left="200"/>
              <w:spacing w:after="0"/>
              <w:rPr>
                <w:sz w:val="20"/>
                <w:szCs w:val="20"/>
                <w:color w:val="auto"/>
              </w:rPr>
            </w:pPr>
            <w:r>
              <w:rPr>
                <w:rFonts w:ascii="Arial" w:cs="Arial" w:eastAsia="Arial" w:hAnsi="Arial"/>
                <w:sz w:val="16"/>
                <w:szCs w:val="16"/>
                <w:color w:val="auto"/>
              </w:rPr>
              <w:t>Mortgage banking - forward sales commitment</w:t>
            </w:r>
          </w:p>
        </w:tc>
        <w:tc>
          <w:tcPr>
            <w:tcW w:w="320" w:type="dxa"/>
            <w:vAlign w:val="bottom"/>
          </w:tcPr>
          <w:p>
            <w:pPr>
              <w:spacing w:after="0"/>
              <w:rPr>
                <w:sz w:val="19"/>
                <w:szCs w:val="19"/>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86</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6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Bifurcated embedded derivatives</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360" w:type="dxa"/>
            <w:vAlign w:val="bottom"/>
          </w:tcPr>
          <w:p>
            <w:pPr>
              <w:ind w:left="200"/>
              <w:spacing w:after="0"/>
              <w:rPr>
                <w:sz w:val="20"/>
                <w:szCs w:val="20"/>
                <w:color w:val="auto"/>
              </w:rPr>
            </w:pPr>
            <w:r>
              <w:rPr>
                <w:rFonts w:ascii="Arial" w:cs="Arial" w:eastAsia="Arial" w:hAnsi="Arial"/>
                <w:sz w:val="16"/>
                <w:szCs w:val="16"/>
                <w:color w:val="auto"/>
              </w:rPr>
              <w:t>Dealer offsets to bifurcated embedded derivatives</w:t>
            </w:r>
          </w:p>
        </w:tc>
        <w:tc>
          <w:tcPr>
            <w:tcW w:w="3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7,667</w:t>
            </w:r>
          </w:p>
        </w:tc>
      </w:tr>
      <w:tr>
        <w:trPr>
          <w:trHeight w:val="33"/>
        </w:trPr>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2"/>
        </w:trPr>
        <w:tc>
          <w:tcPr>
            <w:tcW w:w="6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91,444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24,661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35,007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14,636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78"/>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derivatives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94,434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24,685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35,007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15,516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37"/>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gross derivative instruments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94,434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35,007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15,516</w:t>
            </w:r>
          </w:p>
        </w:tc>
      </w:tr>
      <w:tr>
        <w:trPr>
          <w:trHeight w:val="223"/>
        </w:trPr>
        <w:tc>
          <w:tcPr>
            <w:tcW w:w="6360" w:type="dxa"/>
            <w:vAlign w:val="bottom"/>
          </w:tcPr>
          <w:p>
            <w:pPr>
              <w:spacing w:after="0"/>
              <w:rPr>
                <w:sz w:val="20"/>
                <w:szCs w:val="20"/>
                <w:color w:val="auto"/>
              </w:rPr>
            </w:pPr>
            <w:r>
              <w:rPr>
                <w:rFonts w:ascii="Arial" w:cs="Arial" w:eastAsia="Arial" w:hAnsi="Arial"/>
                <w:sz w:val="16"/>
                <w:szCs w:val="16"/>
                <w:color w:val="auto"/>
              </w:rPr>
              <w:t>Less: Amounts subject to master netting agreements</w:t>
            </w:r>
          </w:p>
        </w:tc>
        <w:tc>
          <w:tcPr>
            <w:tcW w:w="3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(401)</w:t>
            </w:r>
          </w:p>
        </w:tc>
      </w:tr>
      <w:tr>
        <w:trPr>
          <w:trHeight w:val="33"/>
        </w:trPr>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Cash collateral received/pledged</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(14,933)</w:t>
            </w:r>
          </w:p>
        </w:tc>
      </w:tr>
      <w:tr>
        <w:trPr>
          <w:trHeight w:val="247"/>
        </w:trPr>
        <w:tc>
          <w:tcPr>
            <w:tcW w:w="6360" w:type="dxa"/>
            <w:vAlign w:val="bottom"/>
          </w:tcPr>
          <w:p>
            <w:pPr>
              <w:spacing w:after="0"/>
              <w:rPr>
                <w:sz w:val="20"/>
                <w:szCs w:val="20"/>
                <w:color w:val="auto"/>
              </w:rPr>
            </w:pPr>
            <w:r>
              <w:rPr>
                <w:rFonts w:ascii="Arial" w:cs="Arial" w:eastAsia="Arial" w:hAnsi="Arial"/>
                <w:sz w:val="16"/>
                <w:szCs w:val="16"/>
                <w:color w:val="auto"/>
              </w:rPr>
              <w:t>Net amount</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91,441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2,748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34,606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182</w:t>
            </w:r>
          </w:p>
        </w:tc>
      </w:tr>
      <w:tr>
        <w:trPr>
          <w:trHeight w:val="24"/>
        </w:trPr>
        <w:tc>
          <w:tcPr>
            <w:tcW w:w="6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United enters into cash flow hedges to mitigate exposure to the variability of future cash flows or other forecasted transactions. During the second quarter of 2020, United entered into three cash flow hedges using interest rate caps and swaps with an aggregate notional amount of $120 million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other comprehensive income.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$576,000 of losses from accumulated other comprehensive income into earnings related to these agreements.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United had no active cash flow hedges. The loss remaining in other comprehensive income from prior hedges that had previously been de-designated was being amortized into earnings over the original term of the swaps as the forecasted transactions that the swaps were originally designated to hedge were still expected to occur. During the second quarter of 2019, United amortized the remaining balance of losses on terminated hedging positions from other comprehensive income, which was the only effect of cash flow hedges on the consolidated statements of income for the three and six months ended June 30, 2019. See Note 11 for further detail.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2020 and December 31, 2019, United had three and four, respectively, interest rate swaps with an aggregate notional amount of $27.9 million and $37.9 million, respectively, that were designated as fair value hedges of fixed-rate brokered time deposits. The swaps involved the receipt of fixed-rate amounts from a counterparty in exchange for United making variable rate payments over the life of the agreements.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table below presents the effect of derivatives in hedging relationships on the consolidated statement of income for the periods indicated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5"/>
          </w:tcPr>
          <w:p>
            <w:pPr>
              <w:ind w:left="580"/>
              <w:spacing w:after="0"/>
              <w:rPr>
                <w:sz w:val="20"/>
                <w:szCs w:val="20"/>
                <w:color w:val="auto"/>
              </w:rPr>
            </w:pPr>
            <w:r>
              <w:rPr>
                <w:rFonts w:ascii="Arial" w:cs="Arial" w:eastAsia="Arial" w:hAnsi="Arial"/>
                <w:sz w:val="16"/>
                <w:szCs w:val="16"/>
                <w:b w:val="1"/>
                <w:bCs w:val="1"/>
                <w:color w:val="auto"/>
              </w:rPr>
              <w:t>Interest expense</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6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3"/>
        </w:trPr>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6"/>
                <w:szCs w:val="16"/>
                <w:color w:val="auto"/>
              </w:rPr>
              <w:t>Total amounts presented in the consolidated statements of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14,301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21,372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32,242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42,254</w:t>
            </w:r>
          </w:p>
        </w:tc>
      </w:tr>
      <w:tr>
        <w:trPr>
          <w:trHeight w:val="3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6"/>
                <w:szCs w:val="16"/>
                <w:color w:val="auto"/>
              </w:rPr>
              <w:t>Gains (losses) on fair value hedging relationships: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contracts: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4"/>
        </w:trPr>
        <w:tc>
          <w:tcPr>
            <w:tcW w:w="5360" w:type="dxa"/>
            <w:vAlign w:val="bottom"/>
          </w:tcPr>
          <w:p>
            <w:pPr>
              <w:ind w:left="240"/>
              <w:spacing w:after="0"/>
              <w:rPr>
                <w:sz w:val="20"/>
                <w:szCs w:val="20"/>
                <w:color w:val="auto"/>
              </w:rPr>
            </w:pPr>
            <w:r>
              <w:rPr>
                <w:rFonts w:ascii="Arial" w:cs="Arial" w:eastAsia="Arial" w:hAnsi="Arial"/>
                <w:sz w:val="16"/>
                <w:szCs w:val="16"/>
                <w:color w:val="auto"/>
              </w:rPr>
              <w:t>Amounts related to interest settlements on derivatives</w:t>
            </w:r>
          </w:p>
        </w:tc>
        <w:tc>
          <w:tcPr>
            <w:tcW w:w="26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(203)</w:t>
            </w:r>
          </w:p>
        </w:tc>
      </w:tr>
      <w:tr>
        <w:trPr>
          <w:trHeight w:val="3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Recognized on derivatives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w:t>
            </w:r>
          </w:p>
        </w:tc>
      </w:tr>
      <w:tr>
        <w:trPr>
          <w:trHeight w:val="223"/>
        </w:trPr>
        <w:tc>
          <w:tcPr>
            <w:tcW w:w="5360" w:type="dxa"/>
            <w:vAlign w:val="bottom"/>
          </w:tcPr>
          <w:p>
            <w:pPr>
              <w:ind w:left="240"/>
              <w:spacing w:after="0"/>
              <w:rPr>
                <w:sz w:val="20"/>
                <w:szCs w:val="20"/>
                <w:color w:val="auto"/>
              </w:rPr>
            </w:pPr>
            <w:r>
              <w:rPr>
                <w:rFonts w:ascii="Arial" w:cs="Arial" w:eastAsia="Arial" w:hAnsi="Arial"/>
                <w:sz w:val="16"/>
                <w:szCs w:val="16"/>
                <w:color w:val="auto"/>
              </w:rPr>
              <w:t>Recognized on hedged items</w:t>
            </w:r>
          </w:p>
        </w:tc>
        <w:tc>
          <w:tcPr>
            <w:tcW w:w="2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(613)</w:t>
            </w:r>
          </w:p>
        </w:tc>
      </w:tr>
      <w:tr>
        <w:trPr>
          <w:trHeight w:val="33"/>
        </w:trPr>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2"/>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(expense) recognized on fair value hedges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53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Gains (losses) on active cash flow hedging relationships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5360" w:type="dxa"/>
            <w:vAlign w:val="bottom"/>
          </w:tcPr>
          <w:p>
            <w:pPr>
              <w:ind w:left="100"/>
              <w:spacing w:after="0"/>
              <w:rPr>
                <w:sz w:val="20"/>
                <w:szCs w:val="20"/>
                <w:color w:val="auto"/>
              </w:rPr>
            </w:pPr>
            <w:r>
              <w:rPr>
                <w:rFonts w:ascii="Arial" w:cs="Arial" w:eastAsia="Arial" w:hAnsi="Arial"/>
                <w:sz w:val="16"/>
                <w:szCs w:val="16"/>
                <w:color w:val="auto"/>
              </w:rPr>
              <w:t>Interest rate contracts: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 xml:space="preserve">Realized gains (losses) reclassified from AOCI into net income </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7"/>
        </w:trPr>
        <w:tc>
          <w:tcPr>
            <w:tcW w:w="5360" w:type="dxa"/>
            <w:vAlign w:val="bottom"/>
          </w:tcPr>
          <w:p>
            <w:pPr>
              <w:ind w:left="20"/>
              <w:spacing w:after="0"/>
              <w:rPr>
                <w:sz w:val="20"/>
                <w:szCs w:val="20"/>
                <w:color w:val="auto"/>
              </w:rPr>
            </w:pPr>
            <w:r>
              <w:rPr>
                <w:rFonts w:ascii="Arial" w:cs="Arial" w:eastAsia="Arial" w:hAnsi="Arial"/>
                <w:sz w:val="16"/>
                <w:szCs w:val="16"/>
                <w:color w:val="auto"/>
              </w:rPr>
              <w:t>Net income (expense) recognized on cash flow hedges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
        </w:trPr>
        <w:tc>
          <w:tcPr>
            <w:tcW w:w="536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56" w:lineRule="exact"/>
        <w:rPr>
          <w:sz w:val="20"/>
          <w:szCs w:val="20"/>
          <w:color w:val="auto"/>
        </w:rPr>
      </w:pPr>
    </w:p>
    <w:p>
      <w:pPr>
        <w:ind w:left="200" w:hanging="163"/>
        <w:spacing w:after="0"/>
        <w:tabs>
          <w:tab w:leader="none" w:pos="200" w:val="left"/>
        </w:tabs>
        <w:numPr>
          <w:ilvl w:val="1"/>
          <w:numId w:val="9"/>
        </w:numPr>
        <w:rPr>
          <w:rFonts w:ascii="Arial" w:cs="Arial" w:eastAsia="Arial" w:hAnsi="Arial"/>
          <w:sz w:val="19"/>
          <w:szCs w:val="19"/>
          <w:color w:val="auto"/>
          <w:vertAlign w:val="superscript"/>
        </w:rPr>
      </w:pPr>
      <w:r>
        <w:rPr>
          <w:rFonts w:ascii="Arial" w:cs="Arial" w:eastAsia="Arial" w:hAnsi="Arial"/>
          <w:sz w:val="15"/>
          <w:szCs w:val="15"/>
          <w:color w:val="auto"/>
        </w:rPr>
        <w:t>Excludes amortization of losses related to de-designated cash flow hedges. See Note 11 for further detail.</w:t>
      </w:r>
    </w:p>
    <w:p>
      <w:pPr>
        <w:ind w:left="180" w:hanging="172"/>
        <w:spacing w:after="0" w:line="200" w:lineRule="auto"/>
        <w:tabs>
          <w:tab w:leader="none" w:pos="18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Includes $92,000 of premium amortization expense excluded from the assessment of hedge effectiveness for the three and six months ended June 30, 2020.</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5"/>
          </w:tcPr>
          <w:p>
            <w:pPr>
              <w:ind w:left="156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4180" w:type="dxa"/>
            <w:vAlign w:val="bottom"/>
            <w:gridSpan w:val="4"/>
          </w:tcPr>
          <w:p>
            <w:pPr>
              <w:jc w:val="right"/>
              <w:ind w:right="141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Hedge Accounting Basis</w:t>
            </w:r>
          </w:p>
        </w:tc>
        <w:tc>
          <w:tcPr>
            <w:tcW w:w="12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Pr>
          <w:p>
            <w:pPr>
              <w:spacing w:after="0"/>
              <w:rPr>
                <w:sz w:val="18"/>
                <w:szCs w:val="18"/>
                <w:color w:val="auto"/>
              </w:rPr>
            </w:pPr>
          </w:p>
        </w:tc>
        <w:tc>
          <w:tcPr>
            <w:tcW w:w="19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Hedge Accounting Basis</w:t>
            </w:r>
          </w:p>
        </w:tc>
      </w:tr>
      <w:tr>
        <w:trPr>
          <w:trHeight w:val="210"/>
        </w:trPr>
        <w:tc>
          <w:tcPr>
            <w:tcW w:w="2540" w:type="dxa"/>
            <w:vAlign w:val="bottom"/>
            <w:gridSpan w:val="2"/>
          </w:tcPr>
          <w:p>
            <w:pPr>
              <w:ind w:left="4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Adjustment</w:t>
            </w:r>
          </w:p>
        </w:tc>
        <w:tc>
          <w:tcPr>
            <w:tcW w:w="120" w:type="dxa"/>
            <w:vAlign w:val="bottom"/>
          </w:tcPr>
          <w:p>
            <w:pPr>
              <w:spacing w:after="0"/>
              <w:rPr>
                <w:sz w:val="18"/>
                <w:szCs w:val="18"/>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(Liabilities)</w:t>
            </w:r>
          </w:p>
        </w:tc>
        <w:tc>
          <w:tcPr>
            <w:tcW w:w="160" w:type="dxa"/>
            <w:vAlign w:val="bottom"/>
          </w:tcPr>
          <w:p>
            <w:pPr>
              <w:spacing w:after="0"/>
              <w:rPr>
                <w:sz w:val="18"/>
                <w:szCs w:val="18"/>
                <w:color w:val="auto"/>
              </w:rPr>
            </w:pPr>
          </w:p>
        </w:tc>
        <w:tc>
          <w:tcPr>
            <w:tcW w:w="194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r>
      <w:tr>
        <w:trPr>
          <w:trHeight w:val="33"/>
        </w:trPr>
        <w:tc>
          <w:tcPr>
            <w:tcW w:w="2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645</w:t>
            </w:r>
          </w:p>
        </w:tc>
      </w:tr>
      <w:tr>
        <w:trPr>
          <w:trHeight w:val="33"/>
        </w:trPr>
        <w:tc>
          <w:tcPr>
            <w:tcW w:w="2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 derivative positions include swaps, caps, and corridors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London Interbank Offered Rate (“LIBOR”) and therefore provide an economic hedge.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gains and other related fee income in the consolidated statements of income.</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2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Location of Gain (Loss)</w:t>
            </w:r>
          </w:p>
        </w:tc>
        <w:tc>
          <w:tcPr>
            <w:tcW w:w="180" w:type="dxa"/>
            <w:vAlign w:val="bottom"/>
          </w:tcPr>
          <w:p>
            <w:pPr>
              <w:spacing w:after="0"/>
              <w:rPr>
                <w:sz w:val="18"/>
                <w:szCs w:val="18"/>
                <w:color w:val="auto"/>
              </w:rPr>
            </w:pPr>
          </w:p>
        </w:tc>
        <w:tc>
          <w:tcPr>
            <w:tcW w:w="5200" w:type="dxa"/>
            <w:vAlign w:val="bottom"/>
            <w:gridSpan w:val="10"/>
          </w:tcPr>
          <w:p>
            <w:pPr>
              <w:jc w:val="right"/>
              <w:ind w:right="559"/>
              <w:spacing w:after="0"/>
              <w:rPr>
                <w:sz w:val="20"/>
                <w:szCs w:val="20"/>
                <w:color w:val="auto"/>
              </w:rPr>
            </w:pPr>
            <w:r>
              <w:rPr>
                <w:rFonts w:ascii="Arial" w:cs="Arial" w:eastAsia="Arial" w:hAnsi="Arial"/>
                <w:sz w:val="16"/>
                <w:szCs w:val="16"/>
                <w:b w:val="1"/>
                <w:bCs w:val="1"/>
                <w:color w:val="auto"/>
              </w:rPr>
              <w:t>Amount of Gain (Loss) Recognized in Income on Derivative</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32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500" w:type="dxa"/>
            <w:vAlign w:val="bottom"/>
          </w:tcPr>
          <w:p>
            <w:pPr>
              <w:spacing w:after="0"/>
              <w:rPr>
                <w:sz w:val="6"/>
                <w:szCs w:val="6"/>
                <w:color w:val="auto"/>
              </w:rPr>
            </w:pPr>
          </w:p>
        </w:tc>
        <w:tc>
          <w:tcPr>
            <w:tcW w:w="2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58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6"/>
                <w:szCs w:val="6"/>
                <w:color w:val="auto"/>
              </w:rPr>
            </w:pPr>
          </w:p>
        </w:tc>
        <w:tc>
          <w:tcPr>
            <w:tcW w:w="2380" w:type="dxa"/>
            <w:vAlign w:val="bottom"/>
            <w:gridSpan w:val="4"/>
            <w:vMerge w:val="restart"/>
          </w:tcPr>
          <w:p>
            <w:pPr>
              <w:jc w:val="right"/>
              <w:ind w:right="279"/>
              <w:spacing w:after="0"/>
              <w:rPr>
                <w:sz w:val="20"/>
                <w:szCs w:val="20"/>
                <w:color w:val="auto"/>
              </w:rPr>
            </w:pPr>
            <w:r>
              <w:rPr>
                <w:rFonts w:ascii="Arial" w:cs="Arial" w:eastAsia="Arial" w:hAnsi="Arial"/>
                <w:sz w:val="16"/>
                <w:szCs w:val="16"/>
                <w:b w:val="1"/>
                <w:bCs w:val="1"/>
                <w:color w:val="auto"/>
                <w:w w:val="96"/>
              </w:rPr>
              <w:t>Six Months Ended June 30,</w:t>
            </w:r>
          </w:p>
        </w:tc>
        <w:tc>
          <w:tcPr>
            <w:tcW w:w="0" w:type="dxa"/>
            <w:vAlign w:val="bottom"/>
          </w:tcPr>
          <w:p>
            <w:pPr>
              <w:spacing w:after="0"/>
              <w:rPr>
                <w:sz w:val="1"/>
                <w:szCs w:val="1"/>
                <w:color w:val="auto"/>
              </w:rPr>
            </w:pPr>
          </w:p>
        </w:tc>
      </w:tr>
      <w:tr>
        <w:trPr>
          <w:trHeight w:val="143"/>
        </w:trPr>
        <w:tc>
          <w:tcPr>
            <w:tcW w:w="3500" w:type="dxa"/>
            <w:vAlign w:val="bottom"/>
          </w:tcPr>
          <w:p>
            <w:pPr>
              <w:spacing w:after="0"/>
              <w:rPr>
                <w:sz w:val="12"/>
                <w:szCs w:val="12"/>
                <w:color w:val="auto"/>
              </w:rPr>
            </w:pPr>
          </w:p>
        </w:tc>
        <w:tc>
          <w:tcPr>
            <w:tcW w:w="2320" w:type="dxa"/>
            <w:vAlign w:val="bottom"/>
            <w:vMerge w:val="restart"/>
          </w:tcPr>
          <w:p>
            <w:pPr>
              <w:jc w:val="center"/>
              <w:spacing w:after="0" w:line="176" w:lineRule="exact"/>
              <w:rPr>
                <w:sz w:val="20"/>
                <w:szCs w:val="20"/>
                <w:color w:val="auto"/>
              </w:rPr>
            </w:pPr>
            <w:r>
              <w:rPr>
                <w:rFonts w:ascii="Arial" w:cs="Arial" w:eastAsia="Arial" w:hAnsi="Arial"/>
                <w:sz w:val="16"/>
                <w:szCs w:val="16"/>
                <w:b w:val="1"/>
                <w:bCs w:val="1"/>
                <w:color w:val="auto"/>
                <w:w w:val="90"/>
              </w:rPr>
              <w:t>Recognized in Income on</w:t>
            </w:r>
          </w:p>
        </w:tc>
        <w:tc>
          <w:tcPr>
            <w:tcW w:w="18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32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00" w:type="dxa"/>
            <w:vAlign w:val="bottom"/>
          </w:tcPr>
          <w:p>
            <w:pPr>
              <w:ind w:left="20"/>
              <w:spacing w:after="0"/>
              <w:rPr>
                <w:sz w:val="20"/>
                <w:szCs w:val="20"/>
                <w:color w:val="auto"/>
              </w:rPr>
            </w:pPr>
            <w:r>
              <w:rPr>
                <w:rFonts w:ascii="Arial" w:cs="Arial" w:eastAsia="Arial" w:hAnsi="Arial"/>
                <w:sz w:val="16"/>
                <w:szCs w:val="16"/>
                <w:color w:val="auto"/>
              </w:rPr>
              <w:t>Customer derivatives and dealer offsets</w:t>
            </w:r>
          </w:p>
        </w:tc>
        <w:tc>
          <w:tcPr>
            <w:tcW w:w="2320" w:type="dxa"/>
            <w:vAlign w:val="bottom"/>
          </w:tcPr>
          <w:p>
            <w:pPr>
              <w:ind w:left="16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1,224</w:t>
            </w: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2,592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1,727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4"/>
              </w:rPr>
              <w:t>Bifurcated embedded derivatives and dealer offsets</w:t>
            </w:r>
          </w:p>
        </w:tc>
        <w:tc>
          <w:tcPr>
            <w:tcW w:w="2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noninterest income</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De-designated hedges</w:t>
            </w:r>
          </w:p>
        </w:tc>
        <w:tc>
          <w:tcPr>
            <w:tcW w:w="2320" w:type="dxa"/>
            <w:vAlign w:val="bottom"/>
          </w:tcPr>
          <w:p>
            <w:pPr>
              <w:ind w:left="16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Mortgage banking derivatives</w:t>
            </w:r>
          </w:p>
        </w:tc>
        <w:tc>
          <w:tcPr>
            <w:tcW w:w="2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Mortgage loan revenue</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0" w:type="dxa"/>
            <w:vAlign w:val="bottom"/>
          </w:tcPr>
          <w:p>
            <w:pPr>
              <w:spacing w:after="0"/>
              <w:rPr>
                <w:sz w:val="1"/>
                <w:szCs w:val="1"/>
                <w:color w:val="auto"/>
              </w:rPr>
            </w:pP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Risk participations</w:t>
            </w:r>
          </w:p>
        </w:tc>
        <w:tc>
          <w:tcPr>
            <w:tcW w:w="2320" w:type="dxa"/>
            <w:vAlign w:val="bottom"/>
          </w:tcPr>
          <w:p>
            <w:pPr>
              <w:ind w:left="16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50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Stated</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Earliest</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b w:val="1"/>
                <w:bCs w:val="1"/>
                <w:color w:val="auto"/>
              </w:rPr>
              <w:t>Issue</w:t>
            </w:r>
          </w:p>
        </w:tc>
        <w:tc>
          <w:tcPr>
            <w:tcW w:w="9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Maturity</w:t>
            </w:r>
          </w:p>
        </w:tc>
        <w:tc>
          <w:tcPr>
            <w:tcW w:w="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5"/>
              </w:rPr>
              <w:t>Call</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December 31, 2019</w:t>
            </w:r>
          </w:p>
        </w:tc>
        <w:tc>
          <w:tcPr>
            <w:tcW w:w="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6"/>
                <w:szCs w:val="16"/>
                <w:b w:val="1"/>
                <w:bCs w:val="1"/>
                <w:color w:val="auto"/>
              </w:rPr>
              <w:t>Date</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2400" w:type="dxa"/>
            <w:vAlign w:val="bottom"/>
          </w:tcPr>
          <w:p>
            <w:pPr>
              <w:ind w:left="740"/>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3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w w:val="98"/>
              </w:rPr>
              <w:t>5.000% through August 13, 2020,</w:t>
            </w:r>
          </w:p>
        </w:tc>
        <w:tc>
          <w:tcPr>
            <w:tcW w:w="0" w:type="dxa"/>
            <w:vAlign w:val="bottom"/>
          </w:tcPr>
          <w:p>
            <w:pPr>
              <w:spacing w:after="0"/>
              <w:rPr>
                <w:sz w:val="1"/>
                <w:szCs w:val="1"/>
                <w:color w:val="auto"/>
              </w:rPr>
            </w:pPr>
          </w:p>
        </w:tc>
      </w:tr>
      <w:tr>
        <w:trPr>
          <w:trHeight w:val="162"/>
        </w:trPr>
        <w:tc>
          <w:tcPr>
            <w:tcW w:w="3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2022 senior debentures</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50,000</w:t>
            </w:r>
          </w:p>
        </w:tc>
        <w:tc>
          <w:tcPr>
            <w:tcW w:w="8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50,000</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3-month LIBOR plus 3.814%</w:t>
            </w:r>
          </w:p>
        </w:tc>
        <w:tc>
          <w:tcPr>
            <w:tcW w:w="0" w:type="dxa"/>
            <w:vAlign w:val="bottom"/>
          </w:tcPr>
          <w:p>
            <w:pPr>
              <w:spacing w:after="0"/>
              <w:rPr>
                <w:sz w:val="1"/>
                <w:szCs w:val="1"/>
                <w:color w:val="auto"/>
              </w:rPr>
            </w:pPr>
          </w:p>
        </w:tc>
      </w:tr>
      <w:tr>
        <w:trPr>
          <w:trHeight w:val="212"/>
        </w:trPr>
        <w:tc>
          <w:tcPr>
            <w:tcW w:w="33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ind w:left="20"/>
              <w:spacing w:after="0" w:line="166" w:lineRule="exact"/>
              <w:rPr>
                <w:sz w:val="20"/>
                <w:szCs w:val="20"/>
                <w:color w:val="auto"/>
              </w:rPr>
            </w:pPr>
            <w:r>
              <w:rPr>
                <w:rFonts w:ascii="Arial" w:cs="Arial" w:eastAsia="Arial" w:hAnsi="Arial"/>
                <w:sz w:val="16"/>
                <w:szCs w:val="16"/>
                <w:color w:val="auto"/>
                <w:w w:val="98"/>
              </w:rPr>
              <w:t>5.500% through August 13, 2025,</w:t>
            </w:r>
          </w:p>
        </w:tc>
        <w:tc>
          <w:tcPr>
            <w:tcW w:w="0" w:type="dxa"/>
            <w:vAlign w:val="bottom"/>
          </w:tcPr>
          <w:p>
            <w:pPr>
              <w:spacing w:after="0"/>
              <w:rPr>
                <w:sz w:val="1"/>
                <w:szCs w:val="1"/>
                <w:color w:val="auto"/>
              </w:rPr>
            </w:pPr>
          </w:p>
        </w:tc>
      </w:tr>
      <w:tr>
        <w:trPr>
          <w:trHeight w:val="162"/>
        </w:trPr>
        <w:tc>
          <w:tcPr>
            <w:tcW w:w="3300" w:type="dxa"/>
            <w:vAlign w:val="bottom"/>
            <w:vMerge w:val="restart"/>
          </w:tcPr>
          <w:p>
            <w:pPr>
              <w:ind w:left="20"/>
              <w:spacing w:after="0"/>
              <w:rPr>
                <w:sz w:val="20"/>
                <w:szCs w:val="20"/>
                <w:color w:val="auto"/>
              </w:rPr>
            </w:pPr>
            <w:r>
              <w:rPr>
                <w:rFonts w:ascii="Arial" w:cs="Arial" w:eastAsia="Arial" w:hAnsi="Arial"/>
                <w:sz w:val="16"/>
                <w:szCs w:val="16"/>
                <w:color w:val="auto"/>
              </w:rPr>
              <w:t>2027 senior debentures</w:t>
            </w:r>
          </w:p>
        </w:tc>
        <w:tc>
          <w:tcPr>
            <w:tcW w:w="22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color w:val="auto"/>
              </w:rPr>
              <w:t>35,000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35,000</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2015</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2027</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14"/>
                <w:szCs w:val="14"/>
                <w:color w:val="auto"/>
              </w:rPr>
            </w:pPr>
          </w:p>
        </w:tc>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3-month LIBOR plus 3.71%</w:t>
            </w:r>
          </w:p>
        </w:tc>
        <w:tc>
          <w:tcPr>
            <w:tcW w:w="0" w:type="dxa"/>
            <w:vAlign w:val="bottom"/>
          </w:tcPr>
          <w:p>
            <w:pPr>
              <w:spacing w:after="0"/>
              <w:rPr>
                <w:sz w:val="1"/>
                <w:szCs w:val="1"/>
                <w:color w:val="auto"/>
              </w:rPr>
            </w:pPr>
          </w:p>
        </w:tc>
      </w:tr>
      <w:tr>
        <w:trPr>
          <w:trHeight w:val="209"/>
        </w:trPr>
        <w:tc>
          <w:tcPr>
            <w:tcW w:w="3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169"/>
        </w:trPr>
        <w:tc>
          <w:tcPr>
            <w:tcW w:w="3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2030 senior debentures</w:t>
            </w: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5.00% through June 15, 2025, 3-</w:t>
            </w:r>
          </w:p>
        </w:tc>
        <w:tc>
          <w:tcPr>
            <w:tcW w:w="0" w:type="dxa"/>
            <w:vAlign w:val="bottom"/>
          </w:tcPr>
          <w:p>
            <w:pPr>
              <w:spacing w:after="0"/>
              <w:rPr>
                <w:sz w:val="1"/>
                <w:szCs w:val="1"/>
                <w:color w:val="auto"/>
              </w:rPr>
            </w:pPr>
          </w:p>
        </w:tc>
      </w:tr>
      <w:tr>
        <w:trPr>
          <w:trHeight w:val="209"/>
        </w:trPr>
        <w:tc>
          <w:tcPr>
            <w:tcW w:w="330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month SOFR plus 4.87% thereafter</w:t>
            </w:r>
          </w:p>
        </w:tc>
        <w:tc>
          <w:tcPr>
            <w:tcW w:w="0" w:type="dxa"/>
            <w:vAlign w:val="bottom"/>
          </w:tcPr>
          <w:p>
            <w:pPr>
              <w:spacing w:after="0"/>
              <w:rPr>
                <w:sz w:val="1"/>
                <w:szCs w:val="1"/>
                <w:color w:val="auto"/>
              </w:rPr>
            </w:pPr>
          </w:p>
        </w:tc>
      </w:tr>
      <w:tr>
        <w:trPr>
          <w:trHeight w:val="220"/>
        </w:trPr>
        <w:tc>
          <w:tcPr>
            <w:tcW w:w="3300" w:type="dxa"/>
            <w:vAlign w:val="bottom"/>
          </w:tcPr>
          <w:p>
            <w:pPr>
              <w:ind w:left="120"/>
              <w:spacing w:after="0"/>
              <w:rPr>
                <w:sz w:val="20"/>
                <w:szCs w:val="20"/>
                <w:color w:val="auto"/>
              </w:rPr>
            </w:pPr>
            <w:r>
              <w:rPr>
                <w:rFonts w:ascii="Arial" w:cs="Arial" w:eastAsia="Arial" w:hAnsi="Arial"/>
                <w:sz w:val="16"/>
                <w:szCs w:val="16"/>
                <w:color w:val="auto"/>
              </w:rPr>
              <w:t>Total senior debentures</w:t>
            </w:r>
          </w:p>
        </w:tc>
        <w:tc>
          <w:tcPr>
            <w:tcW w:w="2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185,000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85,000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ind w:left="20"/>
              <w:spacing w:after="0" w:line="166" w:lineRule="exact"/>
              <w:rPr>
                <w:sz w:val="20"/>
                <w:szCs w:val="20"/>
                <w:color w:val="auto"/>
              </w:rPr>
            </w:pPr>
            <w:r>
              <w:rPr>
                <w:rFonts w:ascii="Arial" w:cs="Arial" w:eastAsia="Arial" w:hAnsi="Arial"/>
                <w:sz w:val="16"/>
                <w:szCs w:val="16"/>
                <w:color w:val="auto"/>
                <w:w w:val="96"/>
              </w:rPr>
              <w:t>4.500% through January 30, 2023,</w:t>
            </w:r>
          </w:p>
        </w:tc>
        <w:tc>
          <w:tcPr>
            <w:tcW w:w="0" w:type="dxa"/>
            <w:vAlign w:val="bottom"/>
          </w:tcPr>
          <w:p>
            <w:pPr>
              <w:spacing w:after="0"/>
              <w:rPr>
                <w:sz w:val="1"/>
                <w:szCs w:val="1"/>
                <w:color w:val="auto"/>
              </w:rPr>
            </w:pPr>
          </w:p>
        </w:tc>
      </w:tr>
      <w:tr>
        <w:trPr>
          <w:trHeight w:val="162"/>
        </w:trPr>
        <w:tc>
          <w:tcPr>
            <w:tcW w:w="3300" w:type="dxa"/>
            <w:vAlign w:val="bottom"/>
            <w:vMerge w:val="restart"/>
          </w:tcPr>
          <w:p>
            <w:pPr>
              <w:ind w:left="20"/>
              <w:spacing w:after="0"/>
              <w:rPr>
                <w:sz w:val="20"/>
                <w:szCs w:val="20"/>
                <w:color w:val="auto"/>
              </w:rPr>
            </w:pPr>
            <w:r>
              <w:rPr>
                <w:rFonts w:ascii="Arial" w:cs="Arial" w:eastAsia="Arial" w:hAnsi="Arial"/>
                <w:sz w:val="16"/>
                <w:szCs w:val="16"/>
                <w:color w:val="auto"/>
              </w:rPr>
              <w:t>2028 subordinated debentures</w:t>
            </w:r>
          </w:p>
        </w:tc>
        <w:tc>
          <w:tcPr>
            <w:tcW w:w="22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100,000</w:t>
            </w: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2018</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2028</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4"/>
                <w:szCs w:val="14"/>
                <w:color w:val="auto"/>
              </w:rPr>
            </w:pPr>
          </w:p>
        </w:tc>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3-month LIBOR plus 2.12%</w:t>
            </w:r>
          </w:p>
        </w:tc>
        <w:tc>
          <w:tcPr>
            <w:tcW w:w="0" w:type="dxa"/>
            <w:vAlign w:val="bottom"/>
          </w:tcPr>
          <w:p>
            <w:pPr>
              <w:spacing w:after="0"/>
              <w:rPr>
                <w:sz w:val="1"/>
                <w:szCs w:val="1"/>
                <w:color w:val="auto"/>
              </w:rPr>
            </w:pPr>
          </w:p>
        </w:tc>
      </w:tr>
      <w:tr>
        <w:trPr>
          <w:trHeight w:val="209"/>
        </w:trPr>
        <w:tc>
          <w:tcPr>
            <w:tcW w:w="3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257"/>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subordinated debentures</w:t>
            </w: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11,250</w:t>
            </w:r>
          </w:p>
        </w:tc>
        <w:tc>
          <w:tcPr>
            <w:tcW w:w="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80" w:type="dxa"/>
            <w:vAlign w:val="bottom"/>
            <w:shd w:val="clear" w:color="auto" w:fill="CCEEFF"/>
          </w:tcPr>
          <w:p>
            <w:pPr>
              <w:spacing w:after="0"/>
              <w:rPr>
                <w:sz w:val="22"/>
                <w:szCs w:val="2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20"/>
        </w:trPr>
        <w:tc>
          <w:tcPr>
            <w:tcW w:w="3300" w:type="dxa"/>
            <w:vAlign w:val="bottom"/>
          </w:tcPr>
          <w:p>
            <w:pPr>
              <w:ind w:left="120"/>
              <w:spacing w:after="0"/>
              <w:rPr>
                <w:sz w:val="20"/>
                <w:szCs w:val="20"/>
                <w:color w:val="auto"/>
              </w:rPr>
            </w:pPr>
            <w:r>
              <w:rPr>
                <w:rFonts w:ascii="Arial" w:cs="Arial" w:eastAsia="Arial" w:hAnsi="Arial"/>
                <w:sz w:val="16"/>
                <w:szCs w:val="16"/>
                <w:color w:val="auto"/>
              </w:rPr>
              <w:t>Total subordinated debentures</w:t>
            </w:r>
          </w:p>
        </w:tc>
        <w:tc>
          <w:tcPr>
            <w:tcW w:w="22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111,250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111,250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300" w:type="dxa"/>
            <w:vAlign w:val="bottom"/>
          </w:tcPr>
          <w:p>
            <w:pPr>
              <w:ind w:left="20"/>
              <w:spacing w:after="0"/>
              <w:rPr>
                <w:sz w:val="20"/>
                <w:szCs w:val="20"/>
                <w:color w:val="auto"/>
              </w:rPr>
            </w:pPr>
            <w:r>
              <w:rPr>
                <w:rFonts w:ascii="Arial" w:cs="Arial" w:eastAsia="Arial" w:hAnsi="Arial"/>
                <w:sz w:val="16"/>
                <w:szCs w:val="16"/>
                <w:color w:val="auto"/>
              </w:rPr>
              <w:t>Southern Bancorp Capital Trust I</w:t>
            </w:r>
          </w:p>
        </w:tc>
        <w:tc>
          <w:tcPr>
            <w:tcW w:w="220" w:type="dxa"/>
            <w:vAlign w:val="bottom"/>
          </w:tcPr>
          <w:p>
            <w:pPr>
              <w:spacing w:after="0"/>
              <w:rPr>
                <w:sz w:val="22"/>
                <w:szCs w:val="22"/>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4,382</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4,382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2004</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2034</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2009</w:t>
            </w:r>
          </w:p>
        </w:tc>
        <w:tc>
          <w:tcPr>
            <w:tcW w:w="80" w:type="dxa"/>
            <w:vAlign w:val="bottom"/>
          </w:tcPr>
          <w:p>
            <w:pPr>
              <w:spacing w:after="0"/>
              <w:rPr>
                <w:sz w:val="22"/>
                <w:szCs w:val="22"/>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Prime + 1.00%</w:t>
            </w:r>
          </w:p>
        </w:tc>
        <w:tc>
          <w:tcPr>
            <w:tcW w:w="0" w:type="dxa"/>
            <w:vAlign w:val="bottom"/>
          </w:tcPr>
          <w:p>
            <w:pPr>
              <w:spacing w:after="0"/>
              <w:rPr>
                <w:sz w:val="1"/>
                <w:szCs w:val="1"/>
                <w:color w:val="auto"/>
              </w:rPr>
            </w:pPr>
          </w:p>
        </w:tc>
      </w:tr>
      <w:tr>
        <w:trPr>
          <w:trHeight w:val="25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Tidelands Statutory Trust I</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8,248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80" w:type="dxa"/>
            <w:vAlign w:val="bottom"/>
            <w:shd w:val="clear" w:color="auto" w:fill="CCEEFF"/>
          </w:tcPr>
          <w:p>
            <w:pPr>
              <w:spacing w:after="0"/>
              <w:rPr>
                <w:sz w:val="22"/>
                <w:szCs w:val="22"/>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3-month LIBOR plus 1.38%</w:t>
            </w:r>
          </w:p>
        </w:tc>
        <w:tc>
          <w:tcPr>
            <w:tcW w:w="0" w:type="dxa"/>
            <w:vAlign w:val="bottom"/>
          </w:tcPr>
          <w:p>
            <w:pPr>
              <w:spacing w:after="0"/>
              <w:rPr>
                <w:sz w:val="1"/>
                <w:szCs w:val="1"/>
                <w:color w:val="auto"/>
              </w:rPr>
            </w:pPr>
          </w:p>
        </w:tc>
      </w:tr>
      <w:tr>
        <w:trPr>
          <w:trHeight w:val="25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Four Oaks Statutory Trust I</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12,372</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12,372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2006</w:t>
            </w:r>
          </w:p>
        </w:tc>
        <w:tc>
          <w:tcPr>
            <w:tcW w:w="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2036</w:t>
            </w:r>
          </w:p>
        </w:tc>
        <w:tc>
          <w:tcPr>
            <w:tcW w:w="8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2011</w:t>
            </w:r>
          </w:p>
        </w:tc>
        <w:tc>
          <w:tcPr>
            <w:tcW w:w="8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3-month LIBOR plus 1.35%</w:t>
            </w:r>
          </w:p>
        </w:tc>
        <w:tc>
          <w:tcPr>
            <w:tcW w:w="0" w:type="dxa"/>
            <w:vAlign w:val="bottom"/>
          </w:tcPr>
          <w:p>
            <w:pPr>
              <w:spacing w:after="0"/>
              <w:rPr>
                <w:sz w:val="1"/>
                <w:szCs w:val="1"/>
                <w:color w:val="auto"/>
              </w:rPr>
            </w:pPr>
          </w:p>
        </w:tc>
      </w:tr>
      <w:tr>
        <w:trPr>
          <w:trHeight w:val="253"/>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trust preferred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25,002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25,002</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00" w:type="dxa"/>
            <w:vAlign w:val="bottom"/>
          </w:tcPr>
          <w:p>
            <w:pPr>
              <w:ind w:left="20"/>
              <w:spacing w:after="0"/>
              <w:rPr>
                <w:sz w:val="20"/>
                <w:szCs w:val="20"/>
                <w:color w:val="auto"/>
              </w:rPr>
            </w:pPr>
            <w:r>
              <w:rPr>
                <w:rFonts w:ascii="Arial" w:cs="Arial" w:eastAsia="Arial" w:hAnsi="Arial"/>
                <w:sz w:val="16"/>
                <w:szCs w:val="16"/>
                <w:color w:val="auto"/>
              </w:rPr>
              <w:t>Less discount</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(9,621)</w:t>
            </w:r>
          </w:p>
        </w:tc>
        <w:tc>
          <w:tcPr>
            <w:tcW w:w="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(8,588)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311,631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212,664</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is currently paid at least semiannually for all senior and subordinated debentures and trust preferred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2020, United issued the 2030 senior debentures. The 2030 senior debentures are redeemable, in whole or in part, on any interest payment date on or after June 15, 2025 at a redemption price equal to 100% of the principal amount to be redeemed plus any accrued and unpaid interest, and will mature on June 15, 2030 if not redeemed prior to that date.</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2022 senior debentures are redeemable, in whole or in part, on or after August 14, 2020 at a redemption price equal to 100% of the principal amount to be redeemed plus any accrued and unpaid interest, and will mature on February 14, 2022 if not redeemed prior to that date.</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Subordinated Debentures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subordinated debentures qualify as Tier 2 regulatory capital.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including an acquisition-triggered asset size limitation, which United is expected to exceed in the third quarter of 2020. The trust preferred securities are mandatorily redeemable upon maturity, or upon earlier redemption as provided in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Assets and Liabilities Measured at Fair Value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(other than quoted prices), such as interest rates, foreign exchange rates, and yield curves that are observable at commonly quoted intervals.</w:t>
      </w:r>
    </w:p>
    <w:p>
      <w:pPr>
        <w:spacing w:after="0" w:line="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3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incorporates credit valuation adjustments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 During the second quarter of 2020, certain derivative assets were transferred from Level 2 to Level 3 of the fair value hierarchy due to a change in the assessment of significance of the CVA.</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Residential and SBA/USDA Loans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02"/>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7"/>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Debt securities available-for-sale: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128,866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128,866</w:t>
            </w:r>
          </w:p>
        </w:tc>
      </w:tr>
      <w:tr>
        <w:trPr>
          <w:trHeight w:val="197"/>
        </w:trPr>
        <w:tc>
          <w:tcPr>
            <w:tcW w:w="5140" w:type="dxa"/>
            <w:vAlign w:val="bottom"/>
            <w:gridSpan w:val="2"/>
          </w:tcPr>
          <w:p>
            <w:pPr>
              <w:ind w:left="220"/>
              <w:spacing w:after="0"/>
              <w:rPr>
                <w:sz w:val="20"/>
                <w:szCs w:val="20"/>
                <w:color w:val="auto"/>
              </w:rPr>
            </w:pPr>
            <w:r>
              <w:rPr>
                <w:rFonts w:ascii="Arial" w:cs="Arial" w:eastAsia="Arial" w:hAnsi="Arial"/>
                <w:sz w:val="14"/>
                <w:szCs w:val="14"/>
                <w:color w:val="auto"/>
              </w:rPr>
              <w:t>U.S. Government agencies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2,937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2,937</w:t>
            </w:r>
          </w:p>
        </w:tc>
      </w:tr>
      <w:tr>
        <w:trPr>
          <w:trHeight w:val="208"/>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230,709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230,709</w:t>
            </w:r>
          </w:p>
        </w:tc>
      </w:tr>
      <w:tr>
        <w:trPr>
          <w:trHeight w:val="197"/>
        </w:trPr>
        <w:tc>
          <w:tcPr>
            <w:tcW w:w="5140" w:type="dxa"/>
            <w:vAlign w:val="bottom"/>
            <w:gridSpan w:val="2"/>
          </w:tcPr>
          <w:p>
            <w:pPr>
              <w:ind w:left="220"/>
              <w:spacing w:after="0"/>
              <w:rPr>
                <w:sz w:val="20"/>
                <w:szCs w:val="20"/>
                <w:color w:val="auto"/>
              </w:rPr>
            </w:pPr>
            <w:r>
              <w:rPr>
                <w:rFonts w:ascii="Arial" w:cs="Arial" w:eastAsia="Arial" w:hAnsi="Arial"/>
                <w:sz w:val="14"/>
                <w:szCs w:val="14"/>
                <w:color w:val="auto"/>
              </w:rPr>
              <w:t>Residential mortgage-backed securities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1,212,021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1,212,021</w:t>
            </w:r>
          </w:p>
        </w:tc>
      </w:tr>
      <w:tr>
        <w:trPr>
          <w:trHeight w:val="208"/>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261,678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261,678</w:t>
            </w:r>
          </w:p>
        </w:tc>
      </w:tr>
      <w:tr>
        <w:trPr>
          <w:trHeight w:val="197"/>
        </w:trPr>
        <w:tc>
          <w:tcPr>
            <w:tcW w:w="514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172,476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173,476</w:t>
            </w:r>
          </w:p>
        </w:tc>
      </w:tr>
      <w:tr>
        <w:trPr>
          <w:trHeight w:val="208"/>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115,522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115,522</w:t>
            </w: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Equity securities with readily available fair values</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725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1,356</w:t>
            </w:r>
          </w:p>
        </w:tc>
      </w:tr>
      <w:tr>
        <w:trPr>
          <w:trHeight w:val="209"/>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99,477</w:t>
            </w: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Deferred compensation plan assets</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8,070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8,070</w:t>
            </w:r>
          </w:p>
        </w:tc>
      </w:tr>
      <w:tr>
        <w:trPr>
          <w:trHeight w:val="209"/>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Servicing rights for SBA/USDA loans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6,034</w:t>
            </w: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Residential mortgage servicing rights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12,492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12,492</w:t>
            </w:r>
          </w:p>
        </w:tc>
      </w:tr>
      <w:tr>
        <w:trPr>
          <w:trHeight w:val="203"/>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Derivative financial instruments</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82,327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12,107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94,434</w:t>
            </w:r>
          </w:p>
        </w:tc>
      </w:tr>
      <w:tr>
        <w:trPr>
          <w:trHeight w:val="202"/>
        </w:trPr>
        <w:tc>
          <w:tcPr>
            <w:tcW w:w="514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137,567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2,177,872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31,633</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2,347,072</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97"/>
        </w:trPr>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Deferred compensation plan liability</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8,082</w:t>
            </w: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Derivative financial instruments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22,116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2,569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24,685</w:t>
            </w:r>
          </w:p>
        </w:tc>
      </w:tr>
      <w:tr>
        <w:trPr>
          <w:trHeight w:val="227"/>
        </w:trPr>
        <w:tc>
          <w:tcPr>
            <w:tcW w:w="51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22,116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32,767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202"/>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Debt securities available-for-sale</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154,618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154,618</w:t>
            </w:r>
          </w:p>
        </w:tc>
      </w:tr>
      <w:tr>
        <w:trPr>
          <w:trHeight w:val="196"/>
        </w:trPr>
        <w:tc>
          <w:tcPr>
            <w:tcW w:w="5140" w:type="dxa"/>
            <w:vAlign w:val="bottom"/>
            <w:gridSpan w:val="2"/>
          </w:tcPr>
          <w:p>
            <w:pPr>
              <w:ind w:left="220"/>
              <w:spacing w:after="0"/>
              <w:rPr>
                <w:sz w:val="20"/>
                <w:szCs w:val="20"/>
                <w:color w:val="auto"/>
              </w:rPr>
            </w:pPr>
            <w:r>
              <w:rPr>
                <w:rFonts w:ascii="Arial" w:cs="Arial" w:eastAsia="Arial" w:hAnsi="Arial"/>
                <w:sz w:val="14"/>
                <w:szCs w:val="14"/>
                <w:color w:val="auto"/>
              </w:rPr>
              <w:t>U.S. Agencies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3,035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3,035</w:t>
            </w:r>
          </w:p>
        </w:tc>
      </w:tr>
      <w:tr>
        <w:trPr>
          <w:trHeight w:val="209"/>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226,490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226,490</w:t>
            </w:r>
          </w:p>
        </w:tc>
      </w:tr>
      <w:tr>
        <w:trPr>
          <w:trHeight w:val="196"/>
        </w:trPr>
        <w:tc>
          <w:tcPr>
            <w:tcW w:w="5140" w:type="dxa"/>
            <w:vAlign w:val="bottom"/>
            <w:gridSpan w:val="2"/>
          </w:tcPr>
          <w:p>
            <w:pPr>
              <w:ind w:left="220"/>
              <w:spacing w:after="0"/>
              <w:rPr>
                <w:sz w:val="20"/>
                <w:szCs w:val="20"/>
                <w:color w:val="auto"/>
              </w:rPr>
            </w:pPr>
            <w:r>
              <w:rPr>
                <w:rFonts w:ascii="Arial" w:cs="Arial" w:eastAsia="Arial" w:hAnsi="Arial"/>
                <w:sz w:val="14"/>
                <w:szCs w:val="14"/>
                <w:color w:val="auto"/>
              </w:rPr>
              <w:t>Residential mortgage-backed securities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1,299,025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1,299,025</w:t>
            </w:r>
          </w:p>
        </w:tc>
      </w:tr>
      <w:tr>
        <w:trPr>
          <w:trHeight w:val="209"/>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284,953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284,953</w:t>
            </w:r>
          </w:p>
        </w:tc>
      </w:tr>
      <w:tr>
        <w:trPr>
          <w:trHeight w:val="196"/>
        </w:trPr>
        <w:tc>
          <w:tcPr>
            <w:tcW w:w="514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202,093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203,091</w:t>
            </w:r>
          </w:p>
        </w:tc>
      </w:tr>
      <w:tr>
        <w:trPr>
          <w:trHeight w:val="209"/>
        </w:trPr>
        <w:tc>
          <w:tcPr>
            <w:tcW w:w="5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103,369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103,369</w:t>
            </w: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Equity securities with readily available fair values</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1,973</w:t>
            </w:r>
          </w:p>
        </w:tc>
      </w:tr>
      <w:tr>
        <w:trPr>
          <w:trHeight w:val="209"/>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Mortgage loans held for sale</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58,484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58,484</w:t>
            </w: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Deferred compensation plan assets</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8,133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8,133</w:t>
            </w:r>
          </w:p>
        </w:tc>
      </w:tr>
      <w:tr>
        <w:trPr>
          <w:trHeight w:val="209"/>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Servicing rights for SBA/USDA loans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6,794</w:t>
            </w: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Residential mortgage servicing rights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13,565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13,565</w:t>
            </w:r>
          </w:p>
        </w:tc>
      </w:tr>
      <w:tr>
        <w:trPr>
          <w:trHeight w:val="203"/>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Derivative financial instruments</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27,769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35,007</w:t>
            </w:r>
          </w:p>
        </w:tc>
      </w:tr>
      <w:tr>
        <w:trPr>
          <w:trHeight w:val="202"/>
        </w:trPr>
        <w:tc>
          <w:tcPr>
            <w:tcW w:w="514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164,724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2,205,218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28,595</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2,398,537</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96"/>
        </w:trPr>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5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Deferred compensation plan liability</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8,132</w:t>
            </w:r>
          </w:p>
        </w:tc>
      </w:tr>
      <w:tr>
        <w:trPr>
          <w:trHeight w:val="196"/>
        </w:trPr>
        <w:tc>
          <w:tcPr>
            <w:tcW w:w="5140" w:type="dxa"/>
            <w:vAlign w:val="bottom"/>
            <w:gridSpan w:val="2"/>
          </w:tcPr>
          <w:p>
            <w:pPr>
              <w:ind w:left="120"/>
              <w:spacing w:after="0"/>
              <w:rPr>
                <w:sz w:val="20"/>
                <w:szCs w:val="20"/>
                <w:color w:val="auto"/>
              </w:rPr>
            </w:pPr>
            <w:r>
              <w:rPr>
                <w:rFonts w:ascii="Arial" w:cs="Arial" w:eastAsia="Arial" w:hAnsi="Arial"/>
                <w:sz w:val="14"/>
                <w:szCs w:val="14"/>
                <w:color w:val="auto"/>
              </w:rPr>
              <w:t>Derivative financial instruments</w:t>
            </w:r>
          </w:p>
        </w:tc>
        <w:tc>
          <w:tcPr>
            <w:tcW w:w="2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6,957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8,559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15,516</w:t>
            </w:r>
          </w:p>
        </w:tc>
      </w:tr>
      <w:tr>
        <w:trPr>
          <w:trHeight w:val="227"/>
        </w:trPr>
        <w:tc>
          <w:tcPr>
            <w:tcW w:w="51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8,559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23,648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63"/>
        </w:trPr>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Servicing</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Residential</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Debt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Servicing</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Residential</w:t>
            </w:r>
          </w:p>
        </w:tc>
        <w:tc>
          <w:tcPr>
            <w:tcW w:w="120" w:type="dxa"/>
            <w:vAlign w:val="bottom"/>
          </w:tcPr>
          <w:p>
            <w:pPr>
              <w:spacing w:after="0"/>
              <w:rPr>
                <w:sz w:val="14"/>
                <w:szCs w:val="14"/>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auto"/>
                <w:w w:val="96"/>
              </w:rPr>
              <w:t>Debt</w:t>
            </w:r>
          </w:p>
        </w:tc>
      </w:tr>
      <w:tr>
        <w:trPr>
          <w:trHeight w:val="149"/>
        </w:trPr>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rights for</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mortgage</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rights for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mortgage</w:t>
            </w:r>
          </w:p>
        </w:tc>
        <w:tc>
          <w:tcPr>
            <w:tcW w:w="120" w:type="dxa"/>
            <w:vAlign w:val="bottom"/>
          </w:tcPr>
          <w:p>
            <w:pPr>
              <w:spacing w:after="0"/>
              <w:rPr>
                <w:sz w:val="12"/>
                <w:szCs w:val="12"/>
                <w:color w:val="auto"/>
              </w:rPr>
            </w:pPr>
          </w:p>
        </w:tc>
        <w:tc>
          <w:tcPr>
            <w:tcW w:w="760" w:type="dxa"/>
            <w:vAlign w:val="bottom"/>
          </w:tcPr>
          <w:p>
            <w:pPr>
              <w:jc w:val="center"/>
              <w:ind w:right="53"/>
              <w:spacing w:after="0"/>
              <w:rPr>
                <w:sz w:val="20"/>
                <w:szCs w:val="20"/>
                <w:color w:val="auto"/>
              </w:rPr>
            </w:pPr>
            <w:r>
              <w:rPr>
                <w:rFonts w:ascii="Arial" w:cs="Arial" w:eastAsia="Arial" w:hAnsi="Arial"/>
                <w:sz w:val="13"/>
                <w:szCs w:val="13"/>
                <w:b w:val="1"/>
                <w:bCs w:val="1"/>
                <w:color w:val="auto"/>
                <w:w w:val="90"/>
              </w:rPr>
              <w:t>Securities</w:t>
            </w:r>
          </w:p>
        </w:tc>
      </w:tr>
      <w:tr>
        <w:trPr>
          <w:trHeight w:val="148"/>
        </w:trPr>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SBA/USDA</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servicing</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Available-for-</w:t>
            </w: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7"/>
              </w:rPr>
              <w:t>SBA/USDA</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servicing</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Available-for-</w:t>
            </w:r>
          </w:p>
        </w:tc>
      </w:tr>
      <w:tr>
        <w:trPr>
          <w:trHeight w:val="182"/>
        </w:trPr>
        <w:tc>
          <w:tcPr>
            <w:tcW w:w="1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6"/>
              </w:rPr>
              <w:t>Liabilities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8"/>
              </w:rPr>
              <w:t>loans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4"/>
              </w:rPr>
              <w:t>rights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9"/>
              </w:rPr>
              <w:t>Sale</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6"/>
              </w:rPr>
              <w:t>Liabilities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8"/>
              </w:rPr>
              <w:t>loans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9"/>
              </w:rPr>
              <w:t>Sale</w:t>
            </w:r>
          </w:p>
        </w:tc>
      </w:tr>
      <w:tr>
        <w:trPr>
          <w:trHeight w:val="195"/>
        </w:trPr>
        <w:tc>
          <w:tcPr>
            <w:tcW w:w="2540" w:type="dxa"/>
            <w:vAlign w:val="bottom"/>
            <w:gridSpan w:val="5"/>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72"/>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beginning of</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6"/>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7,361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2,717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6,290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11,059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9,561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11,444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7,401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11,447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995</w:t>
            </w:r>
          </w:p>
        </w:tc>
      </w:tr>
      <w:tr>
        <w:trPr>
          <w:trHeight w:val="195"/>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Additions</w:t>
            </w:r>
          </w:p>
        </w:tc>
        <w:tc>
          <w:tcPr>
            <w:tcW w:w="80" w:type="dxa"/>
            <w:vAlign w:val="bottom"/>
          </w:tcPr>
          <w:p>
            <w:pPr>
              <w:spacing w:after="0"/>
              <w:rPr>
                <w:sz w:val="17"/>
                <w:szCs w:val="17"/>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303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3,217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1,228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10"/>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Transfers into Level 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195"/>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Sales and settlements</w:t>
            </w: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53"/>
              <w:spacing w:after="0"/>
              <w:rPr>
                <w:sz w:val="20"/>
                <w:szCs w:val="20"/>
                <w:color w:val="auto"/>
              </w:rPr>
            </w:pPr>
            <w:r>
              <w:rPr>
                <w:rFonts w:ascii="Arial" w:cs="Arial" w:eastAsia="Arial" w:hAnsi="Arial"/>
                <w:sz w:val="13"/>
                <w:szCs w:val="13"/>
                <w:color w:val="auto"/>
              </w:rPr>
              <w:t>(682)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80" w:type="dxa"/>
            <w:vAlign w:val="bottom"/>
          </w:tcPr>
          <w:p>
            <w:pPr>
              <w:jc w:val="right"/>
              <w:ind w:right="33"/>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172"/>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comprehensive</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income</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165"/>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Amounts included in</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9"/>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earnings - fair value</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80"/>
        </w:trPr>
        <w:tc>
          <w:tcPr>
            <w:tcW w:w="16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adjustments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4,156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(148)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(525)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(1,817)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(2,432)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(238)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(1,843)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r>
      <w:tr>
        <w:trPr>
          <w:trHeight w:val="223"/>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12,107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6,034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12,492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7,744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9,012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10,679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995</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3"/>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w w:val="93"/>
              </w:rPr>
              <w:t>Six Months Ended June 30,</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65"/>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Balance at beginning of</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9"/>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7,238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8,559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6,794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13,565</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998</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3"/>
              <w:spacing w:after="0"/>
              <w:rPr>
                <w:sz w:val="20"/>
                <w:szCs w:val="20"/>
                <w:color w:val="auto"/>
              </w:rPr>
            </w:pPr>
            <w:r>
              <w:rPr>
                <w:rFonts w:ascii="Arial" w:cs="Arial" w:eastAsia="Arial" w:hAnsi="Arial"/>
                <w:sz w:val="13"/>
                <w:szCs w:val="13"/>
                <w:color w:val="auto"/>
              </w:rPr>
              <w:t>11,841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15,732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7,510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11,877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995</w:t>
            </w:r>
          </w:p>
        </w:tc>
      </w:tr>
      <w:tr>
        <w:trPr>
          <w:trHeight w:val="210"/>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Additions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5,332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195"/>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Transfers into Level 3</w:t>
            </w:r>
          </w:p>
        </w:tc>
        <w:tc>
          <w:tcPr>
            <w:tcW w:w="80" w:type="dxa"/>
            <w:vAlign w:val="bottom"/>
          </w:tcPr>
          <w:p>
            <w:pPr>
              <w:spacing w:after="0"/>
              <w:rPr>
                <w:sz w:val="17"/>
                <w:szCs w:val="17"/>
                <w:color w:val="auto"/>
              </w:rPr>
            </w:pP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583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210"/>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Sales and settlements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(2,330)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165"/>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Other comprehensive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9"/>
        </w:trPr>
        <w:tc>
          <w:tcPr>
            <w:tcW w:w="1620" w:type="dxa"/>
            <w:vAlign w:val="bottom"/>
            <w:gridSpan w:val="2"/>
          </w:tcPr>
          <w:p>
            <w:pPr>
              <w:ind w:left="120"/>
              <w:spacing w:after="0"/>
              <w:rPr>
                <w:sz w:val="20"/>
                <w:szCs w:val="20"/>
                <w:color w:val="auto"/>
              </w:rPr>
            </w:pPr>
            <w:r>
              <w:rPr>
                <w:rFonts w:ascii="Arial" w:cs="Arial" w:eastAsia="Arial" w:hAnsi="Arial"/>
                <w:sz w:val="13"/>
                <w:szCs w:val="13"/>
                <w:color w:val="auto"/>
              </w:rPr>
              <w:t>income</w:t>
            </w:r>
          </w:p>
        </w:tc>
        <w:tc>
          <w:tcPr>
            <w:tcW w:w="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w:t>
            </w:r>
          </w:p>
        </w:tc>
      </w:tr>
      <w:tr>
        <w:trPr>
          <w:trHeight w:val="172"/>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Amounts included in</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48"/>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earnings - fair value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80"/>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4,279</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(5,990)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(817)</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(5,230)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(2,962)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(4,390)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(359)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(2,986)</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r>
      <w:tr>
        <w:trPr>
          <w:trHeight w:val="203"/>
        </w:trPr>
        <w:tc>
          <w:tcPr>
            <w:tcW w:w="1620" w:type="dxa"/>
            <w:vAlign w:val="bottom"/>
            <w:gridSpan w:val="2"/>
          </w:tcPr>
          <w:p>
            <w:pPr>
              <w:ind w:left="20"/>
              <w:spacing w:after="0"/>
              <w:rPr>
                <w:sz w:val="20"/>
                <w:szCs w:val="20"/>
                <w:color w:val="auto"/>
              </w:rPr>
            </w:pPr>
            <w:r>
              <w:rPr>
                <w:rFonts w:ascii="Arial" w:cs="Arial" w:eastAsia="Arial" w:hAnsi="Arial"/>
                <w:sz w:val="13"/>
                <w:szCs w:val="13"/>
                <w:color w:val="auto"/>
              </w:rPr>
              <w:t>Balance at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12,107</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3"/>
              <w:spacing w:after="0"/>
              <w:rPr>
                <w:sz w:val="20"/>
                <w:szCs w:val="20"/>
                <w:color w:val="auto"/>
              </w:rPr>
            </w:pPr>
            <w:r>
              <w:rPr>
                <w:rFonts w:ascii="Arial" w:cs="Arial" w:eastAsia="Arial" w:hAnsi="Arial"/>
                <w:sz w:val="13"/>
                <w:szCs w:val="13"/>
                <w:color w:val="auto"/>
              </w:rPr>
              <w:t>2,569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6,034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12,492</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93"/>
              <w:spacing w:after="0"/>
              <w:rPr>
                <w:sz w:val="20"/>
                <w:szCs w:val="20"/>
                <w:color w:val="auto"/>
              </w:rPr>
            </w:pPr>
            <w:r>
              <w:rPr>
                <w:rFonts w:ascii="Arial" w:cs="Arial" w:eastAsia="Arial" w:hAnsi="Arial"/>
                <w:sz w:val="13"/>
                <w:szCs w:val="13"/>
                <w:color w:val="auto"/>
              </w:rPr>
              <w:t>7,744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73"/>
              <w:spacing w:after="0"/>
              <w:rPr>
                <w:sz w:val="20"/>
                <w:szCs w:val="20"/>
                <w:color w:val="auto"/>
              </w:rPr>
            </w:pPr>
            <w:r>
              <w:rPr>
                <w:rFonts w:ascii="Arial" w:cs="Arial" w:eastAsia="Arial" w:hAnsi="Arial"/>
                <w:sz w:val="13"/>
                <w:szCs w:val="13"/>
                <w:color w:val="auto"/>
              </w:rPr>
              <w:t>9,012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auto"/>
              </w:rPr>
              <w:t>7,380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10,679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995</w:t>
            </w:r>
          </w:p>
        </w:tc>
      </w:tr>
      <w:tr>
        <w:trPr>
          <w:trHeight w:val="20"/>
        </w:trPr>
        <w:tc>
          <w:tcPr>
            <w:tcW w:w="1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Weighted Average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460"/>
              <w:spacing w:after="0"/>
              <w:rPr>
                <w:sz w:val="20"/>
                <w:szCs w:val="20"/>
                <w:color w:val="auto"/>
              </w:rPr>
            </w:pPr>
            <w:r>
              <w:rPr>
                <w:rFonts w:ascii="Arial" w:cs="Arial" w:eastAsia="Arial" w:hAnsi="Arial"/>
                <w:sz w:val="16"/>
                <w:szCs w:val="16"/>
                <w:b w:val="1"/>
                <w:bCs w:val="1"/>
                <w:color w:val="auto"/>
              </w:rPr>
              <w:t>Level 3 Assets and Liabilities</w:t>
            </w:r>
          </w:p>
        </w:tc>
        <w:tc>
          <w:tcPr>
            <w:tcW w:w="2200" w:type="dxa"/>
            <w:vAlign w:val="bottom"/>
            <w:gridSpan w:val="2"/>
          </w:tcPr>
          <w:p>
            <w:pPr>
              <w:ind w:left="420"/>
              <w:spacing w:after="0"/>
              <w:rPr>
                <w:sz w:val="20"/>
                <w:szCs w:val="20"/>
                <w:color w:val="auto"/>
              </w:rPr>
            </w:pPr>
            <w:r>
              <w:rPr>
                <w:rFonts w:ascii="Arial" w:cs="Arial" w:eastAsia="Arial" w:hAnsi="Arial"/>
                <w:sz w:val="16"/>
                <w:szCs w:val="16"/>
                <w:b w:val="1"/>
                <w:bCs w:val="1"/>
                <w:color w:val="auto"/>
              </w:rPr>
              <w:t>Valuation Technique</w:t>
            </w:r>
          </w:p>
        </w:tc>
        <w:tc>
          <w:tcPr>
            <w:tcW w:w="3520" w:type="dxa"/>
            <w:vAlign w:val="bottom"/>
          </w:tcPr>
          <w:p>
            <w:pPr>
              <w:ind w:left="1040"/>
              <w:spacing w:after="0"/>
              <w:rPr>
                <w:sz w:val="20"/>
                <w:szCs w:val="20"/>
                <w:color w:val="auto"/>
              </w:rPr>
            </w:pPr>
            <w:r>
              <w:rPr>
                <w:rFonts w:ascii="Arial" w:cs="Arial" w:eastAsia="Arial" w:hAnsi="Arial"/>
                <w:sz w:val="16"/>
                <w:szCs w:val="16"/>
                <w:b w:val="1"/>
                <w:bCs w:val="1"/>
                <w:color w:val="auto"/>
              </w:rPr>
              <w:t>Unobservable Inputs</w:t>
            </w:r>
          </w:p>
        </w:tc>
        <w:tc>
          <w:tcPr>
            <w:tcW w:w="11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Servicing rights for SBA/USDA loans</w:t>
            </w: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Discounted cash flow</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Prepayment rate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Residential mortgage servicing rights</w:t>
            </w: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Discounted cash flow</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24"/>
        </w:trPr>
        <w:tc>
          <w:tcPr>
            <w:tcW w:w="2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Prepayment rate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19.8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Multiple factors, including but not limited to, current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 financial condition, cash flows, and</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17"/>
                <w:szCs w:val="17"/>
                <w:color w:val="auto"/>
              </w:rPr>
            </w:pPr>
          </w:p>
        </w:tc>
        <w:tc>
          <w:tcPr>
            <w:tcW w:w="57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w w:val="97"/>
              </w:rPr>
              <w:t>Indicative bid provided by a   recently executed financing transactions related to</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broker</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the company</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2760" w:type="dxa"/>
            <w:vAlign w:val="bottom"/>
          </w:tcPr>
          <w:p>
            <w:pPr>
              <w:ind w:left="20"/>
              <w:spacing w:after="0"/>
              <w:rPr>
                <w:sz w:val="20"/>
                <w:szCs w:val="20"/>
                <w:color w:val="auto"/>
              </w:rPr>
            </w:pPr>
            <w:r>
              <w:rPr>
                <w:rFonts w:ascii="Arial" w:cs="Arial" w:eastAsia="Arial" w:hAnsi="Arial"/>
                <w:sz w:val="16"/>
                <w:szCs w:val="16"/>
                <w:color w:val="auto"/>
                <w:w w:val="98"/>
              </w:rPr>
              <w:t>Derivative assets - customer derivative</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vMerge w:val="restart"/>
          </w:tcPr>
          <w:p>
            <w:pPr>
              <w:ind w:left="20"/>
              <w:spacing w:after="0"/>
              <w:rPr>
                <w:sz w:val="20"/>
                <w:szCs w:val="20"/>
                <w:color w:val="auto"/>
              </w:rPr>
            </w:pPr>
            <w:r>
              <w:rPr>
                <w:rFonts w:ascii="Arial" w:cs="Arial" w:eastAsia="Arial" w:hAnsi="Arial"/>
                <w:sz w:val="16"/>
                <w:szCs w:val="16"/>
                <w:color w:val="auto"/>
              </w:rPr>
              <w:t>Probability of default rate</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positions</w:t>
            </w:r>
          </w:p>
        </w:tc>
        <w:tc>
          <w:tcPr>
            <w:tcW w:w="2200" w:type="dxa"/>
            <w:vAlign w:val="bottom"/>
            <w:gridSpan w:val="2"/>
            <w:vMerge w:val="restart"/>
          </w:tcPr>
          <w:p>
            <w:pPr>
              <w:ind w:left="200"/>
              <w:spacing w:after="0"/>
              <w:rPr>
                <w:sz w:val="20"/>
                <w:szCs w:val="20"/>
                <w:color w:val="auto"/>
              </w:rPr>
            </w:pPr>
            <w:r>
              <w:rPr>
                <w:rFonts w:ascii="Arial" w:cs="Arial" w:eastAsia="Arial" w:hAnsi="Arial"/>
                <w:sz w:val="16"/>
                <w:szCs w:val="16"/>
                <w:color w:val="auto"/>
              </w:rPr>
              <w:t>Internal model</w:t>
            </w:r>
          </w:p>
        </w:tc>
        <w:tc>
          <w:tcPr>
            <w:tcW w:w="3520" w:type="dxa"/>
            <w:vAlign w:val="bottom"/>
            <w:vMerge w:val="continue"/>
          </w:tcPr>
          <w:p>
            <w:pPr>
              <w:spacing w:after="0"/>
              <w:rPr>
                <w:sz w:val="8"/>
                <w:szCs w:val="8"/>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36.7</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8"/>
                <w:szCs w:val="8"/>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8"/>
        </w:trPr>
        <w:tc>
          <w:tcPr>
            <w:tcW w:w="2760" w:type="dxa"/>
            <w:vAlign w:val="bottom"/>
            <w:vMerge w:val="continue"/>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35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given default rate</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4"/>
        </w:trPr>
        <w:tc>
          <w:tcPr>
            <w:tcW w:w="2760" w:type="dxa"/>
            <w:vAlign w:val="bottom"/>
          </w:tcPr>
          <w:p>
            <w:pPr>
              <w:ind w:left="20"/>
              <w:spacing w:after="0"/>
              <w:rPr>
                <w:sz w:val="20"/>
                <w:szCs w:val="20"/>
                <w:color w:val="auto"/>
              </w:rPr>
            </w:pPr>
            <w:r>
              <w:rPr>
                <w:rFonts w:ascii="Arial" w:cs="Arial" w:eastAsia="Arial" w:hAnsi="Arial"/>
                <w:sz w:val="16"/>
                <w:szCs w:val="16"/>
                <w:color w:val="auto"/>
              </w:rPr>
              <w:t>Derivative assets - mortgage</w:t>
            </w:r>
          </w:p>
        </w:tc>
        <w:tc>
          <w:tcPr>
            <w:tcW w:w="2200" w:type="dxa"/>
            <w:vAlign w:val="bottom"/>
            <w:gridSpan w:val="2"/>
          </w:tcPr>
          <w:p>
            <w:pPr>
              <w:ind w:left="200"/>
              <w:spacing w:after="0"/>
              <w:rPr>
                <w:sz w:val="20"/>
                <w:szCs w:val="20"/>
                <w:color w:val="auto"/>
              </w:rPr>
            </w:pPr>
            <w:r>
              <w:rPr>
                <w:rFonts w:ascii="Arial" w:cs="Arial" w:eastAsia="Arial" w:hAnsi="Arial"/>
                <w:sz w:val="16"/>
                <w:szCs w:val="16"/>
                <w:color w:val="auto"/>
              </w:rPr>
              <w:t>Internal model</w:t>
            </w:r>
          </w:p>
        </w:tc>
        <w:tc>
          <w:tcPr>
            <w:tcW w:w="3520" w:type="dxa"/>
            <w:vAlign w:val="bottom"/>
          </w:tcPr>
          <w:p>
            <w:pPr>
              <w:ind w:left="20"/>
              <w:spacing w:after="0"/>
              <w:rPr>
                <w:sz w:val="20"/>
                <w:szCs w:val="20"/>
                <w:color w:val="auto"/>
              </w:rPr>
            </w:pPr>
            <w:r>
              <w:rPr>
                <w:rFonts w:ascii="Arial" w:cs="Arial" w:eastAsia="Arial" w:hAnsi="Arial"/>
                <w:sz w:val="16"/>
                <w:szCs w:val="16"/>
                <w:color w:val="auto"/>
              </w:rPr>
              <w:t>Pull through rate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 assets and liabilities- other</w:t>
            </w:r>
          </w:p>
        </w:tc>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Dealer priced</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Dealer priced</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2760" w:type="dxa"/>
            <w:vAlign w:val="bottom"/>
          </w:tcPr>
          <w:p>
            <w:pPr>
              <w:ind w:left="20"/>
              <w:spacing w:after="0"/>
              <w:rPr>
                <w:sz w:val="20"/>
                <w:szCs w:val="20"/>
                <w:color w:val="auto"/>
              </w:rPr>
            </w:pPr>
            <w:r>
              <w:rPr>
                <w:rFonts w:ascii="Arial" w:cs="Arial" w:eastAsia="Arial" w:hAnsi="Arial"/>
                <w:sz w:val="16"/>
                <w:szCs w:val="16"/>
                <w:color w:val="auto"/>
              </w:rPr>
              <w:t>Derivative assets and liabilities - risk</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0"/>
              <w:spacing w:after="0"/>
              <w:rPr>
                <w:sz w:val="20"/>
                <w:szCs w:val="20"/>
                <w:color w:val="auto"/>
              </w:rPr>
            </w:pPr>
            <w:r>
              <w:rPr>
                <w:rFonts w:ascii="Arial" w:cs="Arial" w:eastAsia="Arial" w:hAnsi="Arial"/>
                <w:sz w:val="16"/>
                <w:szCs w:val="16"/>
                <w:color w:val="auto"/>
              </w:rPr>
              <w:t>participations</w:t>
            </w:r>
          </w:p>
        </w:tc>
        <w:tc>
          <w:tcPr>
            <w:tcW w:w="2200" w:type="dxa"/>
            <w:vAlign w:val="bottom"/>
            <w:gridSpan w:val="2"/>
          </w:tcPr>
          <w:p>
            <w:pPr>
              <w:ind w:left="200"/>
              <w:spacing w:after="0"/>
              <w:rPr>
                <w:sz w:val="20"/>
                <w:szCs w:val="20"/>
                <w:color w:val="auto"/>
              </w:rPr>
            </w:pPr>
            <w:r>
              <w:rPr>
                <w:rFonts w:ascii="Arial" w:cs="Arial" w:eastAsia="Arial" w:hAnsi="Arial"/>
                <w:sz w:val="16"/>
                <w:szCs w:val="16"/>
                <w:color w:val="auto"/>
              </w:rPr>
              <w:t>Internal model</w:t>
            </w:r>
          </w:p>
        </w:tc>
        <w:tc>
          <w:tcPr>
            <w:tcW w:w="3520" w:type="dxa"/>
            <w:vAlign w:val="bottom"/>
          </w:tcPr>
          <w:p>
            <w:pPr>
              <w:ind w:left="20"/>
              <w:spacing w:after="0"/>
              <w:rPr>
                <w:sz w:val="20"/>
                <w:szCs w:val="20"/>
                <w:color w:val="auto"/>
              </w:rPr>
            </w:pPr>
            <w:r>
              <w:rPr>
                <w:rFonts w:ascii="Arial" w:cs="Arial" w:eastAsia="Arial" w:hAnsi="Arial"/>
                <w:sz w:val="16"/>
                <w:szCs w:val="16"/>
                <w:color w:val="auto"/>
              </w:rPr>
              <w:t>Probable exposure rate</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0.36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76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Probability of default rate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27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these loans, as well as the gain or loss recognized resulting from the change in fair value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80" w:type="dxa"/>
            <w:vAlign w:val="bottom"/>
            <w:gridSpan w:val="9"/>
          </w:tcPr>
          <w:p>
            <w:pPr>
              <w:jc w:val="center"/>
              <w:ind w:right="480"/>
              <w:spacing w:after="0"/>
              <w:rPr>
                <w:sz w:val="20"/>
                <w:szCs w:val="20"/>
                <w:color w:val="auto"/>
              </w:rPr>
            </w:pPr>
            <w:r>
              <w:rPr>
                <w:rFonts w:ascii="Arial" w:cs="Arial" w:eastAsia="Arial" w:hAnsi="Arial"/>
                <w:sz w:val="16"/>
                <w:szCs w:val="16"/>
                <w:b w:val="1"/>
                <w:bCs w:val="1"/>
                <w:color w:val="auto"/>
                <w:w w:val="92"/>
              </w:rPr>
              <w:t>Mortgage Loans Held for Sale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12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w w:val="90"/>
              </w:rPr>
              <w:t>December 31, 2019</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120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Outstanding principal balance</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center"/>
              <w:ind w:left="419"/>
              <w:spacing w:after="0"/>
              <w:rPr>
                <w:sz w:val="20"/>
                <w:szCs w:val="20"/>
                <w:color w:val="auto"/>
              </w:rPr>
            </w:pPr>
            <w:r>
              <w:rPr>
                <w:rFonts w:ascii="Arial" w:cs="Arial" w:eastAsia="Arial" w:hAnsi="Arial"/>
                <w:sz w:val="16"/>
                <w:szCs w:val="16"/>
                <w:color w:val="auto"/>
                <w:w w:val="89"/>
              </w:rPr>
              <w:t>94,335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8"/>
              </w:rPr>
              <w:t>56,613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200" w:type="dxa"/>
            <w:vAlign w:val="bottom"/>
          </w:tcPr>
          <w:p>
            <w:pPr>
              <w:spacing w:after="0"/>
              <w:rPr>
                <w:sz w:val="19"/>
                <w:szCs w:val="19"/>
                <w:color w:val="auto"/>
              </w:rPr>
            </w:pPr>
          </w:p>
        </w:tc>
        <w:tc>
          <w:tcPr>
            <w:tcW w:w="3720" w:type="dxa"/>
            <w:vAlign w:val="bottom"/>
          </w:tcPr>
          <w:p>
            <w:pPr>
              <w:ind w:left="560"/>
              <w:spacing w:after="0"/>
              <w:rPr>
                <w:sz w:val="20"/>
                <w:szCs w:val="20"/>
                <w:color w:val="auto"/>
              </w:rPr>
            </w:pPr>
            <w:r>
              <w:rPr>
                <w:rFonts w:ascii="Arial" w:cs="Arial" w:eastAsia="Arial" w:hAnsi="Arial"/>
                <w:sz w:val="16"/>
                <w:szCs w:val="16"/>
                <w:color w:val="auto"/>
              </w:rPr>
              <w:t>Fair value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gridSpan w:val="2"/>
          </w:tcPr>
          <w:p>
            <w:pPr>
              <w:jc w:val="center"/>
              <w:ind w:left="419"/>
              <w:spacing w:after="0"/>
              <w:rPr>
                <w:sz w:val="20"/>
                <w:szCs w:val="20"/>
                <w:color w:val="auto"/>
              </w:rPr>
            </w:pPr>
            <w:r>
              <w:rPr>
                <w:rFonts w:ascii="Arial" w:cs="Arial" w:eastAsia="Arial" w:hAnsi="Arial"/>
                <w:sz w:val="16"/>
                <w:szCs w:val="16"/>
                <w:color w:val="auto"/>
                <w:w w:val="89"/>
              </w:rPr>
              <w:t>99,477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w w:val="98"/>
              </w:rPr>
              <w:t>58,484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4"/>
        </w:trPr>
        <w:tc>
          <w:tcPr>
            <w:tcW w:w="12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80" w:type="dxa"/>
            <w:vAlign w:val="bottom"/>
            <w:gridSpan w:val="9"/>
          </w:tcPr>
          <w:p>
            <w:pPr>
              <w:jc w:val="center"/>
              <w:ind w:right="40"/>
              <w:spacing w:after="0"/>
              <w:rPr>
                <w:sz w:val="20"/>
                <w:szCs w:val="20"/>
                <w:color w:val="auto"/>
              </w:rPr>
            </w:pPr>
            <w:r>
              <w:rPr>
                <w:rFonts w:ascii="Arial" w:cs="Arial" w:eastAsia="Arial" w:hAnsi="Arial"/>
                <w:sz w:val="16"/>
                <w:szCs w:val="16"/>
                <w:b w:val="1"/>
                <w:bCs w:val="1"/>
                <w:color w:val="auto"/>
                <w:w w:val="90"/>
              </w:rPr>
              <w:t>Amount of Gain (Loss) Recognized 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2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8"/>
          </w:tcPr>
          <w:p>
            <w:pPr>
              <w:jc w:val="center"/>
              <w:ind w:right="120"/>
              <w:spacing w:after="0"/>
              <w:rPr>
                <w:sz w:val="20"/>
                <w:szCs w:val="20"/>
                <w:color w:val="auto"/>
              </w:rPr>
            </w:pPr>
            <w:r>
              <w:rPr>
                <w:rFonts w:ascii="Arial" w:cs="Arial" w:eastAsia="Arial" w:hAnsi="Arial"/>
                <w:sz w:val="16"/>
                <w:szCs w:val="16"/>
                <w:b w:val="1"/>
                <w:bCs w:val="1"/>
                <w:color w:val="auto"/>
                <w:w w:val="92"/>
              </w:rPr>
              <w:t>Mortgage Loans Held for Sale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7"/>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1200" w:type="dxa"/>
            <w:vAlign w:val="bottom"/>
          </w:tcPr>
          <w:p>
            <w:pPr>
              <w:spacing w:after="0"/>
              <w:rPr>
                <w:sz w:val="18"/>
                <w:szCs w:val="18"/>
                <w:color w:val="auto"/>
              </w:rPr>
            </w:pPr>
          </w:p>
        </w:tc>
        <w:tc>
          <w:tcPr>
            <w:tcW w:w="3720" w:type="dxa"/>
            <w:vAlign w:val="bottom"/>
          </w:tcPr>
          <w:p>
            <w:pPr>
              <w:ind w:left="1560"/>
              <w:spacing w:after="0"/>
              <w:rPr>
                <w:sz w:val="20"/>
                <w:szCs w:val="20"/>
                <w:color w:val="auto"/>
              </w:rPr>
            </w:pPr>
            <w:r>
              <w:rPr>
                <w:rFonts w:ascii="Arial" w:cs="Arial" w:eastAsia="Arial" w:hAnsi="Arial"/>
                <w:sz w:val="16"/>
                <w:szCs w:val="16"/>
                <w:b w:val="1"/>
                <w:bCs w:val="1"/>
                <w:color w:val="auto"/>
              </w:rPr>
              <w:t>Location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7"/>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500" w:type="dxa"/>
            <w:vAlign w:val="bottom"/>
            <w:gridSpan w:val="6"/>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20" w:type="dxa"/>
            <w:vAlign w:val="bottom"/>
          </w:tcPr>
          <w:p>
            <w:pPr>
              <w:spacing w:after="0"/>
              <w:rPr>
                <w:sz w:val="18"/>
                <w:szCs w:val="18"/>
                <w:color w:val="auto"/>
              </w:rPr>
            </w:pPr>
          </w:p>
        </w:tc>
      </w:tr>
      <w:tr>
        <w:trPr>
          <w:trHeight w:val="33"/>
        </w:trPr>
        <w:tc>
          <w:tcPr>
            <w:tcW w:w="120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12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98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2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r>
      <w:tr>
        <w:trPr>
          <w:trHeight w:val="217"/>
        </w:trPr>
        <w:tc>
          <w:tcPr>
            <w:tcW w:w="1200" w:type="dxa"/>
            <w:vAlign w:val="bottom"/>
            <w:shd w:val="clear" w:color="auto" w:fill="CCEEFF"/>
          </w:tcPr>
          <w:p>
            <w:pPr>
              <w:spacing w:after="0"/>
              <w:rPr>
                <w:sz w:val="18"/>
                <w:szCs w:val="18"/>
                <w:color w:val="auto"/>
              </w:rPr>
            </w:pPr>
          </w:p>
        </w:tc>
        <w:tc>
          <w:tcPr>
            <w:tcW w:w="3720" w:type="dxa"/>
            <w:vAlign w:val="bottom"/>
            <w:shd w:val="clear" w:color="auto" w:fill="CCEEFF"/>
          </w:tcPr>
          <w:p>
            <w:pPr>
              <w:ind w:left="60"/>
              <w:spacing w:after="0"/>
              <w:rPr>
                <w:sz w:val="20"/>
                <w:szCs w:val="20"/>
                <w:color w:val="auto"/>
              </w:rPr>
            </w:pPr>
            <w:r>
              <w:rPr>
                <w:rFonts w:ascii="Arial" w:cs="Arial" w:eastAsia="Arial" w:hAnsi="Arial"/>
                <w:sz w:val="16"/>
                <w:szCs w:val="16"/>
                <w:color w:val="auto"/>
              </w:rPr>
              <w:t>Mortgage loan gains and other related fees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1,546</w:t>
            </w:r>
          </w:p>
        </w:tc>
        <w:tc>
          <w:tcPr>
            <w:tcW w:w="980" w:type="dxa"/>
            <w:vAlign w:val="bottom"/>
            <w:gridSpan w:val="2"/>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7"/>
              </w:rPr>
              <w:t>569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3,271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875</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33"/>
        </w:trPr>
        <w:tc>
          <w:tcPr>
            <w:tcW w:w="120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June 30, 2020 and December 31, 2019,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33"/>
        </w:trPr>
        <w:tc>
          <w:tcPr>
            <w:tcW w:w="170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50"/>
        </w:trPr>
        <w:tc>
          <w:tcPr>
            <w:tcW w:w="170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17"/>
        </w:trPr>
        <w:tc>
          <w:tcPr>
            <w:tcW w:w="1700" w:type="dxa"/>
            <w:vAlign w:val="bottom"/>
          </w:tcPr>
          <w:p>
            <w:pPr>
              <w:spacing w:after="0"/>
              <w:rPr>
                <w:sz w:val="18"/>
                <w:szCs w:val="18"/>
                <w:color w:val="auto"/>
              </w:rPr>
            </w:pPr>
          </w:p>
        </w:tc>
        <w:tc>
          <w:tcPr>
            <w:tcW w:w="34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12,654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12,654</w:t>
            </w:r>
          </w:p>
        </w:tc>
        <w:tc>
          <w:tcPr>
            <w:tcW w:w="1720" w:type="dxa"/>
            <w:vAlign w:val="bottom"/>
          </w:tcPr>
          <w:p>
            <w:pPr>
              <w:spacing w:after="0"/>
              <w:rPr>
                <w:sz w:val="18"/>
                <w:szCs w:val="18"/>
                <w:color w:val="auto"/>
              </w:rPr>
            </w:pPr>
          </w:p>
        </w:tc>
      </w:tr>
      <w:tr>
        <w:trPr>
          <w:trHeight w:val="33"/>
        </w:trPr>
        <w:tc>
          <w:tcPr>
            <w:tcW w:w="17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6"/>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23"/>
        </w:trPr>
        <w:tc>
          <w:tcPr>
            <w:tcW w:w="170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3"/>
        </w:trPr>
        <w:tc>
          <w:tcPr>
            <w:tcW w:w="1700" w:type="dxa"/>
            <w:vAlign w:val="bottom"/>
            <w:tcBorders>
              <w:bottom w:val="single" w:sz="8" w:color="CCEEFF"/>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17"/>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20,977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20,977</w:t>
            </w:r>
          </w:p>
        </w:tc>
        <w:tc>
          <w:tcPr>
            <w:tcW w:w="1720" w:type="dxa"/>
            <w:vAlign w:val="bottom"/>
            <w:shd w:val="clear" w:color="auto" w:fill="CCEEFF"/>
          </w:tcPr>
          <w:p>
            <w:pPr>
              <w:spacing w:after="0"/>
              <w:rPr>
                <w:sz w:val="18"/>
                <w:szCs w:val="18"/>
                <w:color w:val="auto"/>
              </w:rPr>
            </w:pPr>
          </w:p>
        </w:tc>
      </w:tr>
      <w:tr>
        <w:trPr>
          <w:trHeight w:val="33"/>
        </w:trPr>
        <w:tc>
          <w:tcPr>
            <w:tcW w:w="170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specific reserves assigned to them. Nonaccrual loans that are collateral dependent are generally written down to 80% of appraised value which considers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Fair Value Level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7"/>
                <w:szCs w:val="17"/>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9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196"/>
        </w:trPr>
        <w:tc>
          <w:tcPr>
            <w:tcW w:w="3900" w:type="dxa"/>
            <w:vAlign w:val="bottom"/>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Securities held-to-maturity</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306,638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320,253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320,253</w:t>
            </w:r>
          </w:p>
        </w:tc>
      </w:tr>
      <w:tr>
        <w:trPr>
          <w:trHeight w:val="197"/>
        </w:trPr>
        <w:tc>
          <w:tcPr>
            <w:tcW w:w="3900" w:type="dxa"/>
            <w:vAlign w:val="bottom"/>
          </w:tcPr>
          <w:p>
            <w:pPr>
              <w:ind w:left="120"/>
              <w:spacing w:after="0"/>
              <w:rPr>
                <w:sz w:val="20"/>
                <w:szCs w:val="20"/>
                <w:color w:val="auto"/>
              </w:rPr>
            </w:pPr>
            <w:r>
              <w:rPr>
                <w:rFonts w:ascii="Arial" w:cs="Arial" w:eastAsia="Arial" w:hAnsi="Arial"/>
                <w:sz w:val="14"/>
                <w:szCs w:val="14"/>
                <w:color w:val="auto"/>
              </w:rPr>
              <w:t>Loans and leases,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10,028,841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9,944,499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9,944,499</w:t>
            </w:r>
          </w:p>
        </w:tc>
      </w:tr>
      <w:tr>
        <w:trPr>
          <w:trHeight w:val="222"/>
        </w:trPr>
        <w:tc>
          <w:tcPr>
            <w:tcW w:w="3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97"/>
        </w:trPr>
        <w:tc>
          <w:tcPr>
            <w:tcW w:w="390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12,702,085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12,704,397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12,704,397</w:t>
            </w:r>
          </w:p>
        </w:tc>
      </w:tr>
      <w:tr>
        <w:trPr>
          <w:trHeight w:val="197"/>
        </w:trPr>
        <w:tc>
          <w:tcPr>
            <w:tcW w:w="3900" w:type="dxa"/>
            <w:vAlign w:val="bottom"/>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311,631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295,910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295,910</w:t>
            </w:r>
          </w:p>
        </w:tc>
      </w:tr>
      <w:tr>
        <w:trPr>
          <w:trHeight w:val="222"/>
        </w:trPr>
        <w:tc>
          <w:tcPr>
            <w:tcW w:w="3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97"/>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7"/>
        </w:trPr>
        <w:tc>
          <w:tcPr>
            <w:tcW w:w="3900" w:type="dxa"/>
            <w:vAlign w:val="bottom"/>
          </w:tcPr>
          <w:p>
            <w:pPr>
              <w:ind w:left="120"/>
              <w:spacing w:after="0"/>
              <w:rPr>
                <w:sz w:val="20"/>
                <w:szCs w:val="20"/>
                <w:color w:val="auto"/>
              </w:rPr>
            </w:pPr>
            <w:r>
              <w:rPr>
                <w:rFonts w:ascii="Arial" w:cs="Arial" w:eastAsia="Arial" w:hAnsi="Arial"/>
                <w:sz w:val="14"/>
                <w:szCs w:val="14"/>
                <w:color w:val="auto"/>
              </w:rPr>
              <w:t>Securities held-to-maturity</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283,533</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287,904</w:t>
            </w:r>
          </w:p>
        </w:tc>
        <w:tc>
          <w:tcPr>
            <w:tcW w:w="12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287,904</w:t>
            </w:r>
          </w:p>
        </w:tc>
      </w:tr>
      <w:tr>
        <w:trPr>
          <w:trHeight w:val="208"/>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Loans and leases,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8,750,464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8,714,592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8,714,592</w:t>
            </w:r>
          </w:p>
        </w:tc>
      </w:tr>
      <w:tr>
        <w:trPr>
          <w:trHeight w:val="216"/>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900" w:type="dxa"/>
            <w:vAlign w:val="bottom"/>
          </w:tcPr>
          <w:p>
            <w:pPr>
              <w:ind w:left="120"/>
              <w:spacing w:after="0"/>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10,897,244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10,897,465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10,897,465</w:t>
            </w:r>
          </w:p>
        </w:tc>
      </w:tr>
      <w:tr>
        <w:trPr>
          <w:trHeight w:val="209"/>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212,664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217,665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217,665</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and Preferred Stock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of 2019, United’s Board of Directors authorized an expansion of the existing common stock repurchase plan to authorize the repurchase of its common stock up to $50 million. The program is scheduled to expire on the earlier of United’s repurchase of its common stock having an aggregate purchase price of $50 million or December 31, 2020. Under the program, shares may be repurchased in the open market or in privately negotiated transactions, from time to time, subject to market conditions. During the six months ended June 30, 2020 and 2019, 826,482 and 305,052 shares, respectively, were repurchased under the program. No shares were purchased during the three months ended June 30, 2020 and 2019. As of June 30, 2020, United had remaining authorization to repurchase up to $29.2 million of outstanding common stock under the program.</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second quarter of 2020, United issued $100 million, or 4,000 shares, of Series I perpetual non-cumulative preferred stock (“Preferred Stock”) with a dividend rate of 6.875% per annum for net proceeds of $96.7 million and corresponding depositary shares each representing a 1/1,000th interest in one share of Preferred Stock. If declared, dividends will be payable quarterly in arrears beginning on September 15, 2020. The Preferred Stock has no stated maturity and redemption is solely at the option of United in whole, but not in part, upon the occurrence of a regulatory capital treatment event, as defined. In addition, the Preferred Stock may be redeemed on or after September 15, 2025 at a cash redemption price equal to $25,000 per share (equivalent to $25 per depositary share) plus any declared and unpaid dividends. As of June 30, 2020, the Preferred Stock had a carrying amount of $96.7 million.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United has an equity compensation plan that allows for grants of various share-based compensation. Options granted under the plan have an exercise price no less than the fair market value of the underlying stock at the date of grant. The general terms of the plan include a vesting period (usually four years) with an exercisable period not to exceed ten years. Certain options and restricted stock unit awards provide for accelerated vesting if there is a change in control (as defined in the plan document). As of June 30, 2020, 1.28 million additional awards could be granted under the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six months of June 30,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120" w:type="dxa"/>
            <w:vAlign w:val="bottom"/>
            <w:gridSpan w:val="2"/>
          </w:tcPr>
          <w:p>
            <w:pPr>
              <w:ind w:left="2240"/>
              <w:spacing w:after="0"/>
              <w:rPr>
                <w:sz w:val="20"/>
                <w:szCs w:val="20"/>
                <w:color w:val="auto"/>
              </w:rPr>
            </w:pPr>
            <w:r>
              <w:rPr>
                <w:rFonts w:ascii="Arial" w:cs="Arial" w:eastAsia="Arial" w:hAnsi="Arial"/>
                <w:sz w:val="16"/>
                <w:szCs w:val="16"/>
                <w:b w:val="1"/>
                <w:bCs w:val="1"/>
                <w:color w:val="auto"/>
              </w:rPr>
              <w:t>Options</w:t>
            </w:r>
          </w:p>
        </w:tc>
        <w:tc>
          <w:tcPr>
            <w:tcW w:w="142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Term (Years)</w:t>
            </w:r>
          </w:p>
        </w:tc>
        <w:tc>
          <w:tcPr>
            <w:tcW w:w="200" w:type="dxa"/>
            <w:vAlign w:val="bottom"/>
          </w:tcPr>
          <w:p>
            <w:pPr>
              <w:spacing w:after="0"/>
              <w:rPr>
                <w:sz w:val="18"/>
                <w:szCs w:val="18"/>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Value ($000)</w:t>
            </w:r>
          </w:p>
        </w:tc>
      </w:tr>
      <w:tr>
        <w:trPr>
          <w:trHeight w:val="33"/>
        </w:trPr>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Expired</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72"/>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June 30, 2020</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66"/>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Exercisable at June 30, 2020</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fair value of each option is estimated on the date of grant using the Black-Scholes model. No stock options were granted during the six months ended June 30, 2020 and 2019. United recognized no compensation expense related to stock options during the six months ended June 30, 2020 and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 activity for the first six months of June 30,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24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240" w:type="dxa"/>
            <w:vAlign w:val="bottom"/>
          </w:tcPr>
          <w:p>
            <w:pPr>
              <w:spacing w:after="0"/>
              <w:rPr>
                <w:sz w:val="17"/>
                <w:szCs w:val="17"/>
                <w:color w:val="auto"/>
              </w:rPr>
            </w:pP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w:t>
            </w:r>
          </w:p>
        </w:tc>
        <w:tc>
          <w:tcPr>
            <w:tcW w:w="17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Remaining</w:t>
            </w: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Average Grant-</w:t>
            </w:r>
          </w:p>
        </w:tc>
        <w:tc>
          <w:tcPr>
            <w:tcW w:w="17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Contractual</w:t>
            </w: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120" w:type="dxa"/>
            <w:vAlign w:val="bottom"/>
            <w:gridSpan w:val="2"/>
          </w:tcPr>
          <w:p>
            <w:pPr>
              <w:ind w:left="1480"/>
              <w:spacing w:after="0"/>
              <w:rPr>
                <w:sz w:val="20"/>
                <w:szCs w:val="20"/>
                <w:color w:val="auto"/>
              </w:rPr>
            </w:pPr>
            <w:r>
              <w:rPr>
                <w:rFonts w:ascii="Arial" w:cs="Arial" w:eastAsia="Arial" w:hAnsi="Arial"/>
                <w:sz w:val="16"/>
                <w:szCs w:val="16"/>
                <w:b w:val="1"/>
                <w:bCs w:val="1"/>
                <w:color w:val="auto"/>
              </w:rPr>
              <w:t>Restricted Stock Unit Awards</w:t>
            </w:r>
          </w:p>
        </w:tc>
        <w:tc>
          <w:tcPr>
            <w:tcW w:w="142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Date Fair Value</w:t>
            </w:r>
          </w:p>
        </w:tc>
        <w:tc>
          <w:tcPr>
            <w:tcW w:w="17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Term (Years)</w:t>
            </w: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Value ($000)</w:t>
            </w:r>
          </w:p>
        </w:tc>
      </w:tr>
      <w:tr>
        <w:trPr>
          <w:trHeight w:val="33"/>
        </w:trPr>
        <w:tc>
          <w:tcPr>
            <w:tcW w:w="5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808,424</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27.94</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62,055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23.20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27.83</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2,798</w:t>
            </w: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6"/>
                <w:szCs w:val="16"/>
                <w:color w:val="auto"/>
              </w:rPr>
              <w:t>Cancelled</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26.45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BFE4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72"/>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June 30, 2020</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737,977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27.47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14,848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market value which was estimated using the Monte Carlo Simulation valuation model. United recognizes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impact of forfeitures as they occur. The value of restricted stock unit and performance stock unit awards is amortized into expense over the service period. For the six months ended June 30, 2020 and 2019, expense of $4.04 million and $5.83 million, respectively, was recognized related to restricted stock unit and performance stock unit awards granted to United employees. Of the expense related to restricted stock unit awards during the six months ended June 30, 2019, $1.38 million related to the modification of existing awards resulting from an acceleration of vesting of awards due to retirement and $740,000 related to awards granted in conjunction with an acquisition, both of which were recognized in merger-related and other charges in the consolidated statement of income. The remaining expense of $3.71 million for the six months ended June 30, 2019 was recognized in salaries and employee benefits expense, as was the entire amount for the six months ended June 30, 2020. In addition, for the six months ended June 30, 2020 and 2019, $217,000 and $169,000, respectively, was recognized in other operating expense for restricted stock unit awards granted to members of United’s Board of Directors.</w:t>
      </w:r>
    </w:p>
    <w:p>
      <w:pPr>
        <w:spacing w:after="0" w:line="2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 deferred income tax benefit related to stock-based compensation expense of $1.09 million and $1.53 million was included in the determination of income tax expense for the six months ended June 30, 2020 and 2019, respectively. As of June 30, 2020, there was $11.4 million of unrecognized expense related to non-vested restricted stock unit and performance stock unit awards granted under the plan. That cost is expected to be recognized over a weighted-average period of 2.2 years. As of June 30, 2020, there was no unrecognized expense related to non-vested stock options granted under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Reclassifications Out of Accumulated Other Comprehensive Income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08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Details about Accumulated Other</w:t>
            </w:r>
          </w:p>
        </w:tc>
        <w:tc>
          <w:tcPr>
            <w:tcW w:w="2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3220" w:type="dxa"/>
            <w:vAlign w:val="bottom"/>
            <w:vMerge w:val="restart"/>
          </w:tcPr>
          <w:p>
            <w:pPr>
              <w:ind w:left="180"/>
              <w:spacing w:after="0"/>
              <w:rPr>
                <w:sz w:val="20"/>
                <w:szCs w:val="20"/>
                <w:color w:val="auto"/>
              </w:rPr>
            </w:pPr>
            <w:r>
              <w:rPr>
                <w:rFonts w:ascii="Arial" w:cs="Arial" w:eastAsia="Arial" w:hAnsi="Arial"/>
                <w:sz w:val="16"/>
                <w:szCs w:val="16"/>
                <w:b w:val="1"/>
                <w:bCs w:val="1"/>
                <w:color w:val="auto"/>
                <w:w w:val="94"/>
              </w:rPr>
              <w:t>Affected Line Item in the Statement Where</w:t>
            </w:r>
          </w:p>
        </w:tc>
        <w:tc>
          <w:tcPr>
            <w:tcW w:w="0" w:type="dxa"/>
            <w:vAlign w:val="bottom"/>
          </w:tcPr>
          <w:p>
            <w:pPr>
              <w:spacing w:after="0"/>
              <w:rPr>
                <w:sz w:val="1"/>
                <w:szCs w:val="1"/>
                <w:color w:val="auto"/>
              </w:rPr>
            </w:pPr>
          </w:p>
        </w:tc>
      </w:tr>
      <w:tr>
        <w:trPr>
          <w:trHeight w:val="33"/>
        </w:trPr>
        <w:tc>
          <w:tcPr>
            <w:tcW w:w="2920" w:type="dxa"/>
            <w:vAlign w:val="bottom"/>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20" w:type="dxa"/>
            <w:vAlign w:val="bottom"/>
          </w:tcPr>
          <w:p>
            <w:pPr>
              <w:ind w:left="140"/>
              <w:spacing w:after="0"/>
              <w:rPr>
                <w:sz w:val="20"/>
                <w:szCs w:val="20"/>
                <w:color w:val="auto"/>
              </w:rPr>
            </w:pPr>
            <w:r>
              <w:rPr>
                <w:rFonts w:ascii="Arial" w:cs="Arial" w:eastAsia="Arial" w:hAnsi="Arial"/>
                <w:sz w:val="16"/>
                <w:szCs w:val="16"/>
                <w:b w:val="1"/>
                <w:bCs w:val="1"/>
                <w:color w:val="auto"/>
                <w:w w:val="97"/>
              </w:rPr>
              <w:t>Comprehensive Income Components</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220" w:type="dxa"/>
            <w:vAlign w:val="bottom"/>
          </w:tcPr>
          <w:p>
            <w:pPr>
              <w:ind w:left="820"/>
              <w:spacing w:after="0"/>
              <w:rPr>
                <w:sz w:val="20"/>
                <w:szCs w:val="20"/>
                <w:color w:val="auto"/>
              </w:rPr>
            </w:pPr>
            <w:r>
              <w:rPr>
                <w:rFonts w:ascii="Arial" w:cs="Arial" w:eastAsia="Arial" w:hAnsi="Arial"/>
                <w:sz w:val="16"/>
                <w:szCs w:val="16"/>
                <w:b w:val="1"/>
                <w:bCs w:val="1"/>
                <w:color w:val="auto"/>
              </w:rPr>
              <w:t>Net Income is Presented</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Realized (gains) losses on available-for-sale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9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3220" w:type="dxa"/>
            <w:vAlign w:val="bottom"/>
          </w:tcPr>
          <w:p>
            <w:pPr>
              <w:ind w:left="120"/>
              <w:spacing w:after="0"/>
              <w:rPr>
                <w:sz w:val="20"/>
                <w:szCs w:val="20"/>
                <w:color w:val="auto"/>
              </w:rPr>
            </w:pPr>
            <w:r>
              <w:rPr>
                <w:rFonts w:ascii="Arial" w:cs="Arial" w:eastAsia="Arial" w:hAnsi="Arial"/>
                <w:sz w:val="16"/>
                <w:szCs w:val="16"/>
                <w:color w:val="auto"/>
              </w:rPr>
              <w:t>Securities (gains) losses, net</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47"/>
        </w:trPr>
        <w:tc>
          <w:tcPr>
            <w:tcW w:w="29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(88)</w:t>
            </w:r>
          </w:p>
        </w:tc>
        <w:tc>
          <w:tcPr>
            <w:tcW w:w="3220" w:type="dxa"/>
            <w:vAlign w:val="bottom"/>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40" w:type="dxa"/>
            <w:vAlign w:val="bottom"/>
            <w:gridSpan w:val="12"/>
          </w:tcPr>
          <w:p>
            <w:pPr>
              <w:ind w:left="20"/>
              <w:spacing w:after="0"/>
              <w:rPr>
                <w:sz w:val="20"/>
                <w:szCs w:val="20"/>
                <w:color w:val="auto"/>
              </w:rPr>
            </w:pPr>
            <w:r>
              <w:rPr>
                <w:rFonts w:ascii="Arial" w:cs="Arial" w:eastAsia="Arial" w:hAnsi="Arial"/>
                <w:sz w:val="16"/>
                <w:szCs w:val="16"/>
                <w:color w:val="auto"/>
                <w:w w:val="99"/>
              </w:rPr>
              <w:t>Amortization of losses included in net income on available-for-sale securities transferred to held-to-maturity:</w:t>
            </w: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3220" w:type="dxa"/>
            <w:vAlign w:val="bottom"/>
          </w:tcPr>
          <w:p>
            <w:pPr>
              <w:ind w:left="1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gridSpan w:val="3"/>
          </w:tcPr>
          <w:p>
            <w:pPr>
              <w:spacing w:after="0" w:line="20" w:lineRule="exact"/>
              <w:rPr>
                <w:sz w:val="1"/>
                <w:szCs w:val="1"/>
                <w:color w:val="auto"/>
              </w:rPr>
            </w:pPr>
          </w:p>
        </w:tc>
        <w:tc>
          <w:tcPr>
            <w:tcW w:w="1200" w:type="dxa"/>
            <w:vAlign w:val="bottom"/>
            <w:tcBorders>
              <w:top w:val="single" w:sz="8" w:color="CCEEFF"/>
            </w:tcBorders>
            <w:gridSpan w:val="3"/>
          </w:tcPr>
          <w:p>
            <w:pPr>
              <w:spacing w:after="0" w:line="20" w:lineRule="exact"/>
              <w:rPr>
                <w:sz w:val="1"/>
                <w:szCs w:val="1"/>
                <w:color w:val="auto"/>
              </w:rPr>
            </w:pPr>
          </w:p>
        </w:tc>
        <w:tc>
          <w:tcPr>
            <w:tcW w:w="12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gridSpan w:val="10"/>
            <w:shd w:val="clear" w:color="auto" w:fill="CCEEFF"/>
          </w:tcPr>
          <w:p>
            <w:pPr>
              <w:ind w:left="20"/>
              <w:spacing w:after="0"/>
              <w:rPr>
                <w:sz w:val="20"/>
                <w:szCs w:val="20"/>
                <w:color w:val="auto"/>
              </w:rPr>
            </w:pPr>
            <w:r>
              <w:rPr>
                <w:rFonts w:ascii="Arial" w:cs="Arial" w:eastAsia="Arial" w:hAnsi="Arial"/>
                <w:sz w:val="16"/>
                <w:szCs w:val="16"/>
                <w:color w:val="auto"/>
                <w:w w:val="96"/>
              </w:rPr>
              <w:t>Reclassifications related to derivative financial instruments accounted for as cash flow hedges:</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20"/>
              <w:spacing w:after="0"/>
              <w:rPr>
                <w:sz w:val="20"/>
                <w:szCs w:val="20"/>
                <w:color w:val="auto"/>
              </w:rPr>
            </w:pPr>
            <w:r>
              <w:rPr>
                <w:rFonts w:ascii="Arial" w:cs="Arial" w:eastAsia="Arial" w:hAnsi="Arial"/>
                <w:sz w:val="16"/>
                <w:szCs w:val="16"/>
                <w:color w:val="auto"/>
              </w:rPr>
              <w:t>Interest rate contracts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20" w:type="dxa"/>
            <w:vAlign w:val="bottom"/>
          </w:tcPr>
          <w:p>
            <w:pPr>
              <w:ind w:left="120"/>
              <w:spacing w:after="0"/>
              <w:rPr>
                <w:sz w:val="20"/>
                <w:szCs w:val="20"/>
                <w:color w:val="auto"/>
              </w:rPr>
            </w:pPr>
            <w:r>
              <w:rPr>
                <w:rFonts w:ascii="Arial" w:cs="Arial" w:eastAsia="Arial" w:hAnsi="Arial"/>
                <w:sz w:val="16"/>
                <w:szCs w:val="16"/>
                <w:color w:val="auto"/>
              </w:rPr>
              <w:t>Long-term debt interest expense</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losses 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de-designated positions</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Deposit interest expense</w:t>
            </w:r>
          </w:p>
        </w:tc>
        <w:tc>
          <w:tcPr>
            <w:tcW w:w="0" w:type="dxa"/>
            <w:vAlign w:val="bottom"/>
          </w:tcPr>
          <w:p>
            <w:pPr>
              <w:spacing w:after="0"/>
              <w:rPr>
                <w:sz w:val="1"/>
                <w:szCs w:val="1"/>
                <w:color w:val="auto"/>
              </w:rPr>
            </w:pPr>
          </w:p>
        </w:tc>
      </w:tr>
      <w:tr>
        <w:trPr>
          <w:trHeight w:val="220"/>
        </w:trPr>
        <w:tc>
          <w:tcPr>
            <w:tcW w:w="2920" w:type="dxa"/>
            <w:vAlign w:val="bottom"/>
          </w:tcPr>
          <w:p>
            <w:pPr>
              <w:ind w:left="220"/>
              <w:spacing w:after="0"/>
              <w:rPr>
                <w:sz w:val="20"/>
                <w:szCs w:val="20"/>
                <w:color w:val="auto"/>
              </w:rPr>
            </w:pPr>
            <w:r>
              <w:rPr>
                <w:rFonts w:ascii="Arial" w:cs="Arial" w:eastAsia="Arial" w:hAnsi="Arial"/>
                <w:sz w:val="16"/>
                <w:szCs w:val="16"/>
                <w:color w:val="auto"/>
              </w:rPr>
              <w:t>Amortization of losses on</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20" w:type="dxa"/>
            <w:vAlign w:val="bottom"/>
          </w:tcPr>
          <w:p>
            <w:pPr>
              <w:ind w:left="220"/>
              <w:spacing w:after="0"/>
              <w:rPr>
                <w:sz w:val="20"/>
                <w:szCs w:val="20"/>
                <w:color w:val="auto"/>
              </w:rPr>
            </w:pPr>
            <w:r>
              <w:rPr>
                <w:rFonts w:ascii="Arial" w:cs="Arial" w:eastAsia="Arial" w:hAnsi="Arial"/>
                <w:sz w:val="16"/>
                <w:szCs w:val="16"/>
                <w:color w:val="auto"/>
              </w:rPr>
              <w:t>de-designated positions</w:t>
            </w:r>
          </w:p>
        </w:tc>
        <w:tc>
          <w:tcPr>
            <w:tcW w:w="240" w:type="dxa"/>
            <w:vAlign w:val="bottom"/>
          </w:tcPr>
          <w:p>
            <w:pPr>
              <w:spacing w:after="0"/>
              <w:rPr>
                <w:sz w:val="17"/>
                <w:szCs w:val="17"/>
                <w:color w:val="auto"/>
              </w:rPr>
            </w:pPr>
          </w:p>
        </w:tc>
        <w:tc>
          <w:tcPr>
            <w:tcW w:w="9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3220" w:type="dxa"/>
            <w:vAlign w:val="bottom"/>
          </w:tcPr>
          <w:p>
            <w:pPr>
              <w:ind w:left="120"/>
              <w:spacing w:after="0"/>
              <w:rPr>
                <w:sz w:val="20"/>
                <w:szCs w:val="20"/>
                <w:color w:val="auto"/>
              </w:rPr>
            </w:pPr>
            <w:r>
              <w:rPr>
                <w:rFonts w:ascii="Arial" w:cs="Arial" w:eastAsia="Arial" w:hAnsi="Arial"/>
                <w:sz w:val="16"/>
                <w:szCs w:val="16"/>
                <w:color w:val="auto"/>
              </w:rPr>
              <w:t>Other expense</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23"/>
        </w:trPr>
        <w:tc>
          <w:tcPr>
            <w:tcW w:w="2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3220" w:type="dxa"/>
            <w:vAlign w:val="bottom"/>
          </w:tcPr>
          <w:p>
            <w:pPr>
              <w:ind w:left="1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33"/>
        </w:trPr>
        <w:tc>
          <w:tcPr>
            <w:tcW w:w="2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9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(251)</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w w:val="97"/>
              </w:rPr>
              <w:t>Reclassifications related to defined benefit pension plan activity:</w:t>
            </w: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220"/>
              <w:spacing w:after="0"/>
              <w:rPr>
                <w:sz w:val="20"/>
                <w:szCs w:val="20"/>
                <w:color w:val="auto"/>
              </w:rPr>
            </w:pPr>
            <w:r>
              <w:rPr>
                <w:rFonts w:ascii="Arial" w:cs="Arial" w:eastAsia="Arial" w:hAnsi="Arial"/>
                <w:sz w:val="16"/>
                <w:szCs w:val="16"/>
                <w:color w:val="auto"/>
              </w:rPr>
              <w:t>Prior service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3220" w:type="dxa"/>
            <w:vAlign w:val="bottom"/>
          </w:tcPr>
          <w:p>
            <w:pPr>
              <w:ind w:left="120"/>
              <w:spacing w:after="0"/>
              <w:rPr>
                <w:sz w:val="20"/>
                <w:szCs w:val="20"/>
                <w:color w:val="auto"/>
              </w:rPr>
            </w:pPr>
            <w:r>
              <w:rPr>
                <w:rFonts w:ascii="Arial" w:cs="Arial" w:eastAsia="Arial" w:hAnsi="Arial"/>
                <w:sz w:val="16"/>
                <w:szCs w:val="16"/>
                <w:color w:val="auto"/>
              </w:rPr>
              <w:t>Salaries and employee benefits expense</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Actuarial losses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expense</w:t>
            </w:r>
          </w:p>
        </w:tc>
        <w:tc>
          <w:tcPr>
            <w:tcW w:w="0" w:type="dxa"/>
            <w:vAlign w:val="bottom"/>
          </w:tcPr>
          <w:p>
            <w:pPr>
              <w:spacing w:after="0"/>
              <w:rPr>
                <w:sz w:val="1"/>
                <w:szCs w:val="1"/>
                <w:color w:val="auto"/>
              </w:rPr>
            </w:pPr>
          </w:p>
        </w:tc>
      </w:tr>
      <w:tr>
        <w:trPr>
          <w:trHeight w:val="217"/>
        </w:trPr>
        <w:tc>
          <w:tcPr>
            <w:tcW w:w="2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(347)</w:t>
            </w:r>
          </w:p>
        </w:tc>
        <w:tc>
          <w:tcPr>
            <w:tcW w:w="3220" w:type="dxa"/>
            <w:vAlign w:val="bottom"/>
          </w:tcPr>
          <w:p>
            <w:pPr>
              <w:ind w:left="1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33"/>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47"/>
        </w:trPr>
        <w:tc>
          <w:tcPr>
            <w:tcW w:w="29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(259)</w:t>
            </w:r>
          </w:p>
        </w:tc>
        <w:tc>
          <w:tcPr>
            <w:tcW w:w="3220" w:type="dxa"/>
            <w:vAlign w:val="bottom"/>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920" w:type="dxa"/>
            <w:vAlign w:val="bottom"/>
          </w:tcPr>
          <w:p>
            <w:pPr>
              <w:ind w:left="20"/>
              <w:spacing w:after="0"/>
              <w:rPr>
                <w:sz w:val="20"/>
                <w:szCs w:val="20"/>
                <w:color w:val="auto"/>
              </w:rPr>
            </w:pPr>
            <w:r>
              <w:rPr>
                <w:rFonts w:ascii="Arial" w:cs="Arial" w:eastAsia="Arial" w:hAnsi="Arial"/>
                <w:sz w:val="16"/>
                <w:szCs w:val="16"/>
                <w:color w:val="auto"/>
              </w:rPr>
              <w:t>Total reclassifications for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(733)</w:t>
            </w:r>
          </w:p>
        </w:tc>
        <w:tc>
          <w:tcPr>
            <w:tcW w:w="3220" w:type="dxa"/>
            <w:vAlign w:val="bottom"/>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7"/>
                <w:szCs w:val="17"/>
                <w:color w:val="auto"/>
              </w:rPr>
            </w:pPr>
          </w:p>
        </w:tc>
        <w:tc>
          <w:tcPr>
            <w:tcW w:w="262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18"/>
                <w:szCs w:val="18"/>
                <w:color w:val="auto"/>
              </w:rPr>
            </w:pPr>
          </w:p>
        </w:tc>
      </w:tr>
      <w:tr>
        <w:trPr>
          <w:trHeight w:val="33"/>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25,096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44,085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56,980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88,347</w:t>
            </w:r>
          </w:p>
        </w:tc>
      </w:tr>
      <w:tr>
        <w:trPr>
          <w:trHeight w:val="224"/>
        </w:trPr>
        <w:tc>
          <w:tcPr>
            <w:tcW w:w="5280" w:type="dxa"/>
            <w:vAlign w:val="bottom"/>
          </w:tcPr>
          <w:p>
            <w:pPr>
              <w:ind w:left="20"/>
              <w:spacing w:after="0"/>
              <w:rPr>
                <w:sz w:val="20"/>
                <w:szCs w:val="20"/>
                <w:color w:val="auto"/>
              </w:rPr>
            </w:pPr>
            <w:r>
              <w:rPr>
                <w:rFonts w:ascii="Arial" w:cs="Arial" w:eastAsia="Arial" w:hAnsi="Arial"/>
                <w:sz w:val="16"/>
                <w:szCs w:val="16"/>
                <w:color w:val="auto"/>
              </w:rPr>
              <w:t>Dividends and undistributed earnings allocated to unvested shares</w:t>
            </w:r>
          </w:p>
        </w:tc>
        <w:tc>
          <w:tcPr>
            <w:tcW w:w="3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(631)</w:t>
            </w:r>
          </w:p>
        </w:tc>
      </w:tr>
      <w:tr>
        <w:trPr>
          <w:trHeight w:val="33"/>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24,913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43,769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56,554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87,716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6"/>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528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78,920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79,673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79,130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79,739</w:t>
            </w:r>
          </w:p>
        </w:tc>
      </w:tr>
      <w:tr>
        <w:trPr>
          <w:trHeight w:val="33"/>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Effect of dilutive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4"/>
        </w:trPr>
        <w:tc>
          <w:tcPr>
            <w:tcW w:w="5280" w:type="dxa"/>
            <w:vAlign w:val="bottom"/>
          </w:tcPr>
          <w:p>
            <w:pPr>
              <w:ind w:left="220"/>
              <w:spacing w:after="0"/>
              <w:rPr>
                <w:sz w:val="20"/>
                <w:szCs w:val="20"/>
                <w:color w:val="auto"/>
              </w:rPr>
            </w:pPr>
            <w:r>
              <w:rPr>
                <w:rFonts w:ascii="Arial" w:cs="Arial" w:eastAsia="Arial" w:hAnsi="Arial"/>
                <w:sz w:val="16"/>
                <w:szCs w:val="16"/>
                <w:color w:val="auto"/>
              </w:rPr>
              <w:t>Stock options</w:t>
            </w:r>
          </w:p>
        </w:tc>
        <w:tc>
          <w:tcPr>
            <w:tcW w:w="30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33"/>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Restricted stock units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r>
      <w:tr>
        <w:trPr>
          <w:trHeight w:val="247"/>
        </w:trPr>
        <w:tc>
          <w:tcPr>
            <w:tcW w:w="528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78,924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79,678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79,186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79,745</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5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24"/>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9"/>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0.71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8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0.71</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w:t>
            </w:r>
          </w:p>
        </w:tc>
      </w:tr>
      <w:tr>
        <w:trPr>
          <w:trHeight w:val="24"/>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United had potentially dilutive instruments outstanding in the form of 154,795 shares of common stock issuable upon vesting of restricted stock unit awards.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United excluded 1,000 potentially dilutive shares of common stock issuable upon exercise of stock options with a weighted average exercise price of $30.45 from the computation of diluted earnings per share because of their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Regulatory Matters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June 30, 2020, United and the Bank were categorized as well-capitalized under the regulatory framework for prompt corrective action in effect at such time. To be categorized as well-capitalized at June 30, 2020, United and the Bank must have exceeded the well-capitalized guideline ratios in effect at such time, as set forth in the table below and have met certain other requirements. Management believes that United and the Bank exceeded all well-capitalized requirements at June 30, 2020, and there have been no conditions or events since year-end that would change the status of well-capitalized.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CARES Act, United has adopted relief provided by federal banking regulatory agencies for the delay of the adverse capital impact of CECL at adoption and during the subsequent two-year period after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Regulatory capital ratios at June 30, 2020 and December 31, 2019,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5"/>
          </w:tcPr>
          <w:p>
            <w:pPr>
              <w:jc w:val="right"/>
              <w:ind w:right="119"/>
              <w:spacing w:after="0"/>
              <w:rPr>
                <w:sz w:val="20"/>
                <w:szCs w:val="20"/>
                <w:color w:val="auto"/>
              </w:rPr>
            </w:pPr>
            <w:r>
              <w:rPr>
                <w:rFonts w:ascii="Arial" w:cs="Arial" w:eastAsia="Arial" w:hAnsi="Arial"/>
                <w:sz w:val="16"/>
                <w:szCs w:val="16"/>
                <w:b w:val="1"/>
                <w:bCs w:val="1"/>
                <w:color w:val="auto"/>
                <w:w w:val="98"/>
              </w:rPr>
              <w:t>United Community Banks, Inc.</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0"/>
        </w:trPr>
        <w:tc>
          <w:tcPr>
            <w:tcW w:w="2540" w:type="dxa"/>
            <w:vAlign w:val="bottom"/>
          </w:tcPr>
          <w:p>
            <w:pPr>
              <w:spacing w:after="0"/>
              <w:rPr>
                <w:sz w:val="18"/>
                <w:szCs w:val="18"/>
                <w:color w:val="auto"/>
              </w:rPr>
            </w:pPr>
          </w:p>
        </w:tc>
        <w:tc>
          <w:tcPr>
            <w:tcW w:w="24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Basel III Guidelines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(Consolidated)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319"/>
              <w:spacing w:after="0"/>
              <w:rPr>
                <w:sz w:val="20"/>
                <w:szCs w:val="20"/>
                <w:color w:val="auto"/>
              </w:rPr>
            </w:pPr>
            <w:r>
              <w:rPr>
                <w:rFonts w:ascii="Arial" w:cs="Arial" w:eastAsia="Arial" w:hAnsi="Arial"/>
                <w:sz w:val="16"/>
                <w:szCs w:val="16"/>
                <w:b w:val="1"/>
                <w:bCs w:val="1"/>
                <w:color w:val="auto"/>
              </w:rPr>
              <w:t>United Community Bank</w:t>
            </w:r>
          </w:p>
        </w:tc>
        <w:tc>
          <w:tcPr>
            <w:tcW w:w="180" w:type="dxa"/>
            <w:vAlign w:val="bottom"/>
          </w:tcPr>
          <w:p>
            <w:pPr>
              <w:spacing w:after="0"/>
              <w:rPr>
                <w:sz w:val="18"/>
                <w:szCs w:val="18"/>
                <w:color w:val="auto"/>
              </w:rPr>
            </w:pPr>
          </w:p>
        </w:tc>
      </w:tr>
      <w:tr>
        <w:trPr>
          <w:trHeight w:val="33"/>
        </w:trPr>
        <w:tc>
          <w:tcPr>
            <w:tcW w:w="25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9"/>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Well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3"/>
        </w:trPr>
        <w:tc>
          <w:tcPr>
            <w:tcW w:w="2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Capitalized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w w:val="92"/>
              </w:rPr>
              <w:t>December 31, 2019</w:t>
            </w: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216"/>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4"/>
        </w:trPr>
        <w:tc>
          <w:tcPr>
            <w:tcW w:w="2540" w:type="dxa"/>
            <w:vAlign w:val="bottom"/>
          </w:tcPr>
          <w:p>
            <w:pPr>
              <w:ind w:left="120"/>
              <w:spacing w:after="0"/>
              <w:rPr>
                <w:sz w:val="20"/>
                <w:szCs w:val="20"/>
                <w:color w:val="auto"/>
              </w:rPr>
            </w:pPr>
            <w:r>
              <w:rPr>
                <w:rFonts w:ascii="Arial" w:cs="Arial" w:eastAsia="Arial" w:hAnsi="Arial"/>
                <w:sz w:val="16"/>
                <w:szCs w:val="16"/>
                <w:color w:val="auto"/>
              </w:rPr>
              <w:t>Common equity tier 1 capital</w:t>
            </w: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2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Tier 1 capital</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2540" w:type="dxa"/>
            <w:vAlign w:val="bottom"/>
          </w:tcPr>
          <w:p>
            <w:pPr>
              <w:ind w:left="120"/>
              <w:spacing w:after="0"/>
              <w:rPr>
                <w:sz w:val="20"/>
                <w:szCs w:val="20"/>
                <w:color w:val="auto"/>
              </w:rPr>
            </w:pPr>
            <w:r>
              <w:rPr>
                <w:rFonts w:ascii="Arial" w:cs="Arial" w:eastAsia="Arial" w:hAnsi="Arial"/>
                <w:sz w:val="16"/>
                <w:szCs w:val="16"/>
                <w:color w:val="auto"/>
              </w:rPr>
              <w:t>Total capital</w:t>
            </w:r>
          </w:p>
        </w:tc>
        <w:tc>
          <w:tcPr>
            <w:tcW w:w="108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15.54</w:t>
            </w:r>
          </w:p>
        </w:tc>
        <w:tc>
          <w:tcPr>
            <w:tcW w:w="180" w:type="dxa"/>
            <w:vAlign w:val="bottom"/>
          </w:tcPr>
          <w:p>
            <w:pPr>
              <w:spacing w:after="0"/>
              <w:rPr>
                <w:sz w:val="19"/>
                <w:szCs w:val="19"/>
                <w:color w:val="auto"/>
              </w:rPr>
            </w:pPr>
          </w:p>
        </w:tc>
      </w:tr>
      <w:tr>
        <w:trPr>
          <w:trHeight w:val="33"/>
        </w:trPr>
        <w:tc>
          <w:tcPr>
            <w:tcW w:w="2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6"/>
        </w:trPr>
        <w:tc>
          <w:tcPr>
            <w:tcW w:w="2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equity tier 1 capital</w:t>
            </w: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1,300,627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1,275,148</w:t>
            </w:r>
          </w:p>
        </w:tc>
        <w:tc>
          <w:tcPr>
            <w:tcW w:w="5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1,382,891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1,458,720</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254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1,421,537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1,299,398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1,382,891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1,458,720</w:t>
            </w:r>
          </w:p>
        </w:tc>
        <w:tc>
          <w:tcPr>
            <w:tcW w:w="180" w:type="dxa"/>
            <w:vAlign w:val="bottom"/>
          </w:tcPr>
          <w:p>
            <w:pPr>
              <w:spacing w:after="0"/>
              <w:rPr>
                <w:sz w:val="19"/>
                <w:szCs w:val="19"/>
                <w:color w:val="auto"/>
              </w:rPr>
            </w:pPr>
          </w:p>
        </w:tc>
      </w:tr>
      <w:tr>
        <w:trPr>
          <w:trHeight w:val="33"/>
        </w:trPr>
        <w:tc>
          <w:tcPr>
            <w:tcW w:w="2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capital</w:t>
            </w: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1,625,967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1,476,302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1,475,970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1,524,267</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2540" w:type="dxa"/>
            <w:vAlign w:val="bottom"/>
          </w:tcPr>
          <w:p>
            <w:pPr>
              <w:ind w:left="20"/>
              <w:spacing w:after="0"/>
              <w:rPr>
                <w:sz w:val="20"/>
                <w:szCs w:val="20"/>
                <w:color w:val="auto"/>
              </w:rPr>
            </w:pPr>
            <w:r>
              <w:rPr>
                <w:rFonts w:ascii="Arial" w:cs="Arial" w:eastAsia="Arial" w:hAnsi="Arial"/>
                <w:sz w:val="16"/>
                <w:szCs w:val="16"/>
                <w:color w:val="auto"/>
              </w:rPr>
              <w:t>Risk-weighted assets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10,118,998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9,834,051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10,091,674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9,810,477</w:t>
            </w:r>
          </w:p>
        </w:tc>
        <w:tc>
          <w:tcPr>
            <w:tcW w:w="180" w:type="dxa"/>
            <w:vAlign w:val="bottom"/>
          </w:tcPr>
          <w:p>
            <w:pPr>
              <w:spacing w:after="0"/>
              <w:rPr>
                <w:sz w:val="19"/>
                <w:szCs w:val="19"/>
                <w:color w:val="auto"/>
              </w:rPr>
            </w:pPr>
          </w:p>
        </w:tc>
      </w:tr>
      <w:tr>
        <w:trPr>
          <w:trHeight w:val="33"/>
        </w:trPr>
        <w:tc>
          <w:tcPr>
            <w:tcW w:w="2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total assets for the</w:t>
            </w: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0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13,784,914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12,568,563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13,755,117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12,545,254</w:t>
            </w:r>
          </w:p>
        </w:tc>
        <w:tc>
          <w:tcPr>
            <w:tcW w:w="180" w:type="dxa"/>
            <w:vAlign w:val="bottom"/>
            <w:shd w:val="clear" w:color="auto" w:fill="CCEEFF"/>
          </w:tcPr>
          <w:p>
            <w:pPr>
              <w:spacing w:after="0"/>
              <w:rPr>
                <w:sz w:val="17"/>
                <w:szCs w:val="17"/>
                <w:color w:val="auto"/>
              </w:rPr>
            </w:pPr>
          </w:p>
        </w:tc>
      </w:tr>
      <w:tr>
        <w:trPr>
          <w:trHeight w:val="33"/>
        </w:trPr>
        <w:tc>
          <w:tcPr>
            <w:tcW w:w="2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71"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As of June 30, 2020 and December 31, 2019 the additional capital conservation buffer in effect was 2.50%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7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24"/>
        </w:trPr>
        <w:tc>
          <w:tcPr>
            <w:tcW w:w="7380" w:type="dxa"/>
            <w:vAlign w:val="bottom"/>
          </w:tcPr>
          <w:p>
            <w:pPr>
              <w:ind w:left="120"/>
              <w:spacing w:after="0"/>
              <w:rPr>
                <w:sz w:val="20"/>
                <w:szCs w:val="20"/>
                <w:color w:val="auto"/>
              </w:rPr>
            </w:pPr>
            <w:r>
              <w:rPr>
                <w:rFonts w:ascii="Arial" w:cs="Arial" w:eastAsia="Arial" w:hAnsi="Arial"/>
                <w:sz w:val="16"/>
                <w:szCs w:val="16"/>
                <w:color w:val="auto"/>
              </w:rPr>
              <w:t>Commitments to extend credit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2,291,128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2,126,275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3"/>
        </w:trPr>
        <w:tc>
          <w:tcPr>
            <w:tcW w:w="7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Letters of credit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22,533</w:t>
            </w:r>
          </w:p>
        </w:tc>
      </w:tr>
      <w:tr>
        <w:trPr>
          <w:trHeight w:val="33"/>
        </w:trPr>
        <w:tc>
          <w:tcPr>
            <w:tcW w:w="7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holds minor investments in certain limited partnerships for Community Reinvestment Act purposes. As of June 30, 2020, United had committed to fund an additional $10.1 million related to future capital calls that are not reflected in the consolidated balance sheet.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Three Shores Bancorporation, Inc.</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to quarter-end, on July 1, 2020, United completed its previously announced acquisition of Three Shores Bancorporation, Inc. (“Three Shores”), including its wholly-owned subsidiary, Seaside National Bank &amp; Trust (“Seaside”), headquartered in Orlando, Florida. Seaside operated a 14 branch network located in key Florida metropolitan markets. As of June 30, 2020, Three Shores had total assets of $2.16 billion, loans of $1.47 billion and deposits of $1.79 billion. Seaside has merged into the Bank, but will operate under the brand name Seaside Bank and Trust.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merger agreement, Three Shores shareholders received $188 million in total consideration, of which $164 million was United common stock and $24.1 million was cash. United issued 8.13 million shares to Three Shores shareholders in the acquisition. The acquisition will be accounted for as a business combination. Due to the timing of the acquisition, United is currently in the process of completing the purchase accounting and has not made all of the remaining required disclosures, such as the fair value of assets acquired and supplemental pro forma information, which will be disclosed in subsequent filings.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First Madison Bank and Trust</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May 1, 2019, United completed the acquisition of First Madison Bank &amp; Trust (“FMBT”). Information related to the fair value of assets acquired and liabilities assumed is included in United’s 2019 10-K. The following table discloses the impact of the acquisition of FMBT since the acquisition date through June 30, 2019, and certain pro forma information as if FMBT had been acquired on January 1, 2018. These results combine the historical results of FMBT with United’s consolidated statement of income and, while adjustments were made for the estimated impact of certain fair value adjustments and other acquisition-related activity, they are not necessarily indicative of what would have occurred had the acquisitions taken place in earlier years.</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Merger-related costs from the FMBT acquisition of $924,000 and $1.02 million, respectively, have been excluded from the three and six months 2019 pro forma information presented below. The actual results and pro forma information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7"/>
                <w:szCs w:val="17"/>
                <w:color w:val="auto"/>
              </w:rPr>
            </w:pPr>
          </w:p>
        </w:tc>
        <w:tc>
          <w:tcPr>
            <w:tcW w:w="23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June 30,</w:t>
            </w:r>
          </w:p>
        </w:tc>
        <w:tc>
          <w:tcPr>
            <w:tcW w:w="200" w:type="dxa"/>
            <w:vAlign w:val="bottom"/>
          </w:tcPr>
          <w:p>
            <w:pPr>
              <w:spacing w:after="0"/>
              <w:rPr>
                <w:sz w:val="18"/>
                <w:szCs w:val="18"/>
                <w:color w:val="auto"/>
              </w:rPr>
            </w:pPr>
          </w:p>
        </w:tc>
        <w:tc>
          <w:tcPr>
            <w:tcW w:w="234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auto"/>
              </w:rPr>
              <w:t>June 30,</w:t>
            </w:r>
          </w:p>
        </w:tc>
      </w:tr>
      <w:tr>
        <w:trPr>
          <w:trHeight w:val="33"/>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Net Income</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7"/>
              </w:rPr>
              <w:t>Net Income</w:t>
            </w:r>
          </w:p>
        </w:tc>
      </w:tr>
      <w:tr>
        <w:trPr>
          <w:trHeight w:val="33"/>
        </w:trPr>
        <w:tc>
          <w:tcPr>
            <w:tcW w:w="5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17"/>
        </w:trPr>
        <w:tc>
          <w:tcPr>
            <w:tcW w:w="59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Actual FMBT results included in statement of income since acquisition date</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2,327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1,187</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2,327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1,187</w:t>
            </w:r>
          </w:p>
        </w:tc>
      </w:tr>
      <w:tr>
        <w:trPr>
          <w:trHeight w:val="33"/>
        </w:trPr>
        <w:tc>
          <w:tcPr>
            <w:tcW w:w="5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4"/>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Supplemental consolidated pro forma as if FMBT had been acquired January 1, 2018</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139,489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43,913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275,991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89,504</w:t>
            </w:r>
          </w:p>
        </w:tc>
      </w:tr>
      <w:tr>
        <w:trPr>
          <w:trHeight w:val="33"/>
        </w:trPr>
        <w:tc>
          <w:tcPr>
            <w:tcW w:w="5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5, 2020, United’s Board of Directors approved a regular quarterly cash dividend of $0.18 per common share and a preferred stock dividend of $453.559 per preferred share (equivalent to $0.453559 per depositary share, or 1/1000 interest per share). The common stock dividend is payable October 5, 2020, to shareholders of record on September 15, 2020. The preferred stock dividend is payable September 15, 2020 to shareholders of record on August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discussion of our financial condition at June 30, 2020 and December 31, 2019 and our results of operations for the three and six months ended June 30, 2020 and June 30, 2019.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Unless the context otherwise requires, the terms “we,” “our,” “us” or “United” refer to United Community Banks, Inc. and its direct and indirect subsidiaries, including United Community Bank, which we sometimes refer to as “the Bank,” “our bank subsidiary” or “our bank.” References to the “Holding Company” refer to United Community Banks, Inc. on an unconsolidated basis. The following discussion and analysis should be read along with our consolidated financial statements and related notes included in Part I - Item 1 of this Quarterly Report on Form 10-Q, “Cautionary Note Regarding Forward-Looking Statements” and the risk factors discussed in our Annual Report on Form 10-K for the fiscal year ended December 31, 2019 (the “2019 10-K”), as supplemented by those incorporated by reference in Part II, Item 1A of this Quarterly Report on Form 10-Q, and the other reports we have filed with the SEC after we filed the 2019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offer a wide array of commercial and consumer banking services and investment advisory services through a 149-branch network throughout Georgia, South Carolina, North Carolina and Tennessee. We have grown organically as well as through strategic acquisitions. On May 1, 2019, we acquired First Madison Bank &amp; Trust (“FMBT”), which operated four branches in the Athens-Clarke County, Georgia MSA. We acquired $245 million of assets and assumed $213 million of liabilities in the acquisition. Also, subsequent to quarter-end, on July 1, 2020, we completed the previously announced acquisition of Three Shores Bancorporation, Inc. (“Three Shores”) including its wholly-owned subsidiary, Seaside National Bank &amp; Trust (“Seaside”) headquartered in Orlando, Florida. Seaside is a premier commercial lender with a strong wealth management platform and operates a 14 branch network located in key Florida metropolitan markets. As of June 30, 2020, Three Shores had total assets of $2.16 billion, loans of $1.47 billion and deposits of $1.79 billion. Three Shores and Seaside will be included in our financial results beginning July 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six months of 2020, global financial markets experienced significant volatility resulting from the spread of a novel coronavirus known as COVID-19. In March of 2020, the World Health Organization declared COVID-19 a global pandemic and the United States declared a National Public Health Emergency. The COVID-19 pandemic has materially restricted the level of economic activity in our markets. In response to the pandemic, the governments of the states in which we have branches and of most other states have taken preventative or protective actions, such as imposing restrictions on travel and business operations, advising or requiring individuals to limit or forego time outside of their homes, and ordering temporary closures of businesses that have been deemed to be non-essential. These measures have dramatically increased unemployment in the United States and have negatively impacted many businesses, and thereby threatened the repayment ability of some of our borrowers.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address the economic impact in the United States, the Coronavirus Aid, Relief, and Economic Security Act (“CARES Act”) was signed into law on March 27, 2020. The CARES Act included a number of provisions that affected us, including accounting relief for troubled debt restructurings (“TDRs”) and relief for the effect of current expected credit losses accounting standard (“CECL”) implementation on regulatory capital. The CARES Act also established the Paycheck Protection Program (“PPP”) through the Small Business Administration (“SBA”), which allowed us to lend money to small businesses to maintain employee payrolls through the crisis with guarantees from the SBA. Under this program, loan amounts may be forgiven if the borrower maintains employee payrolls and meet certain other requirements.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Federal Reserve also took additional steps to bolster the economy by, among other things, reducing the federal funds rate and the discount-window borrowing rate to near zero.</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pandemic, we have implemented protocols and processes to help protect our employees, customers and communities. These measures have included:</w:t>
      </w:r>
    </w:p>
    <w:p>
      <w:pPr>
        <w:spacing w:after="0" w:line="197" w:lineRule="exact"/>
        <w:rPr>
          <w:sz w:val="20"/>
          <w:szCs w:val="20"/>
          <w:color w:val="auto"/>
        </w:rPr>
      </w:pPr>
    </w:p>
    <w:p>
      <w:pPr>
        <w:jc w:val="both"/>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our branches under a drive-through model with appointment-only lobby service, leveraging our business continuity plans and capabilities that include critical operations teams being divided and dispersed to separate locations and, when possible, having employees work from home.</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Offering assistance to our customers affected by the COVID-19 pandemic, which includes payment deferrals, waiving certain fees, suspending property foreclosures, and participating in the CARES Act and lending programs for businesses, including the SBA PPP.</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Temporarily suspending common stock repurchases to maximize capital and liquidity resources.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Issuing $100 million of non-cumulative perpetual preferred stock and $100 million of senior debentures to ensure our capital ratios and liquidity remain strong throughout the rapidly changing economic conditions.</w:t>
      </w:r>
    </w:p>
    <w:p>
      <w:pPr>
        <w:spacing w:after="0" w:line="1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reviewing our financial condition in light of the pandemic, we evaluated certain assets, including goodwill and other intangibles, for potential impairment. Based upon our review as of June 30, 2020, no impairments have occurred. We have also elected to delay for two years the phase-in of the capital impact from our adoption of the new accounting standard on credit losses. For more information, see Capital Resources and Dividends.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implemented various consumer and commercial loan modification programs to provide our borrowers relief from the economic impacts of COVID-19. Based on guidance in the CARES Act, COVID-19 related modifications to loans that were current as of December 31, 2019 are exempt from TDR classification under accounting principles generally accepted in the United States of America (“GAAP”). In addition, the bank regulatory agencies issued interagency guidance stating that COVID-19 related short-term modifications (i.e., payment deferrals of six months or less) granted to loans that were current as of the loan modification program implementation date are not new TDRs. For more information, see Note 4 - Loans and Leases and Allowance for Credit Losses to the consolidated financial statements.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Given the unprecedented uncertainty and rapidly evolving economic effects and social impacts of the COVID-19 pandemic, the future direct and indirect impact on our business, results of operations and financial condition are highly uncertain. Should current economic conditions persist or continue to deteriorate, we expect that this macroeconomic environment will have a continued adverse effect on our business and results of operations, which could include, but not be limited to: decreased demand for our products and services, protracted periods of lower interest rates, increased noninterest expenses, including operational losses, and increased credit losses due to deterioration in the financial condition of our consumer and commercial borrowers, including declining asset and collateral values, which may continue to increase our provision for credit losses and net charge-offs.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LIBOR and Other Benchmark Rates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previously disclosed, to facilitate an orderly transition from Interbank Offered Rates (“IBORs”) and other benchmark rates to alternative reference rates (“ARRs”), we have established an enterprise-wide program to identify, assess and monitor risks associated with the expected discontinuation or unavailability of benchmarks, including the London InterBank Offered Rate (“LIBOR”). As part of this program, we continue to identify, assess and monitor risks associated with the expected discontinuation or unavailability of LIBOR and other benchmarks, and evaluate and address documentation and contractual mechanics of outstanding IBOR-based products and contracts that mature after 2021 and new and potential future ARR-based products and contracts to achieve operational readiness. This program includes active involvement of senior management and regular reports to the Enterprise Risk Committee. The program is structured to address the industry and regulatory engagement, client and financial contract changes, internal and external communications, technology and operations modifications, introduction of new products, migration of existing clients, and program strategy and governance. As the markets for ARRs continue to grow, we continue to monitor the development and usage of ARRs, including the Secured Overnight Financing Rate (“SOFR”). Additionally, any prolonged economic and market disruptions resulting from COVID-19 may have an adverse impact on the market and industry transition to ARRs, including the readiness of other market participants and third-party vendors, and our engagement with impacted clients and their operational readiness to transition to ARRs. For more information on the expected replacement of LIBOR and other benchmark rates, see Item 1A. Risk Factors – Market Risks of the 2019 10-K.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2020, we had total consolidated assets of $15.0 billion, total loans of $10.1 billion, total deposits of $12.7 billion, and shareholders’ equity of $1.77 billion. We reported net income of $25.1 million, or $0.32 per diluted share, for the second quarter of 2020, compared to net income of $44.1 million, or $0.55 per diluted share, for the second quarter of 2019. For the six months ended June 30, 2020, we reported net income of $57.0 million, or $0.71 per diluted share, compared to $88.3 million, or $1.10 per diluted share, for the first six months of 2019.</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decreased to $109 million for the second quarter of 2020, compared to $118 million for the second quarter of 2019. The net interest margin decreased to 3.42% for the three months ended June 30, 2020 from 4.12% for the same period in 2019. For the six months ended June 30, 2020, net interest revenue was $228 million and the net interest margin was 3.73% compared to net interest revenue of $233 million and net interest margin of 4.11% for the same period in 2019. The decreases in net interest revenue and net interest margin were primarily due to the effect of falling interest rates on our asset sensitive balance sheet, which more than offset the positive impact of continued growth of our loan portfolio and the reduction of borrowed funds since June 30, 2019.</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 for credit losses was $33.5 million for the second quarter of 2020, compared to $3.25 million for the second quarter of 2019. For the six months ended June 30, 2020, the provision for credit losses was $55.7 million, compared to $6.55 million for the same period in 2019. The increase in provision expense for the second quarter and first six months of 2020 reflected higher expected losses resulting primarily from the adoption of CECL and the macroeconomic effects of the COVID-19 pandemic on our CECL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calculation. As a result, as of June 30, 2020, our allowance for credit losses (“ACL”) on loans was $104 million, or 1.02% of loans, compared to $62.1 million, or 0.70% of loans, at December 31, 2019. Net charge-offs for the second quarter of 2020 were $6.15 million compared to $2.44 million for the same period in 2019. The increase in charge-offs for the quarter was mostly attributable to a few large credits that have been deteriorating over the past several quarters. At June 30, 2020 and December 31, 2019, nonperforming assets of $48.5 million and $35.8 million, respectively, were 0.32% and 0.28% of total assets, respectively.</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Noninterest income of $40.2 million for the second quarter of 2020 was up $15.7 million, or 64%, from the second quarter of 2019. The increase was primarily attributable to an increase in mortgage origination activity which resulted in a $18.3 million increase in mortgage fees. We closed $562 million in mortgage loans in the second quarter of 2020 compared with $260 million a year ago. These increases were partially offset by decreases in service charges and fees driven mostly by a reduction in overdraft transaction volume. For the first six months of 2020, total noninterest income was up $20.6 million compared to the same period of 2019 mostly driven by the same factors affecting the quarter.</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second quarter and first six months of 2020, noninterest expenses of $84.0 million and $166 million, respectively, increased $2.17 million and $7.62 million, respectively, from the same periods of 2019. The increases were primarily attributable to increases in salaries and employee benefits, professional fees, and advertising and public relations partially offset by decreases in merger-related and other charges. Increases in salaries and employee benefits were driven by several factors including higher mortgage commissions and incentives as a result of increased mortgage production, annual merit-based salary increases awarded during the second quarter of 2020, increased overtime wages in connection with the processing of PPP loans during the second quarter of 2020, and investments in new staff for key areas of the bank. The increase in professional fees was primarily a result of increased legal and consulting fees related to various projects in process. The increase in advertising and public relations expense was primarily attributable to a $1.00 million contribution to our private foundation, United Community Bank Foundation, made during the second quarter of 2020. The decrease in merger-related and other charges was a result of elevated merger-related costs during the second quarter and first six months of 2019 due to the completion of the acquisition of FMBT on May 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(“GAAP”) and conform to general practices within the banking industry. Except as described below, there have been no significant changes to the Critical Accounting Policies as described in our 2019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the adoption of CECL on January 1, 2020, the allowance for credit losses represents management’s estimate of credit losses for the remaining estimated life of financial instruments, with particular applicability on our balance sheet to loans and unfunded loan commitments. Estimating the amount of the allowance for credit losses requires significant judgment and the use of estimates related to historical experience, current conditions, reasonable and supportable forecasts, and the value of collateral on collateral-dependent loans. The loan portfolio also represents the largest asset type on our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many factors affecting the allowance for credit losses; some are quantitative while others require qualitative judgment. Although management believes its process for determining the allowance adequately considers all the potential factors that could potentially result in credit losses, the process includes subjective elements and is susceptible to significant change. To the extent actual outcomes differ from management estimates, additional provision for credit losses could be required that could adversely affect our earnings or financial position in future periods.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on the loan portfolio and allowance for credit losses can be found in the sections of Management’s Discussion and Analysis titled “Asset Quality and Risk Elements” and “Nonperforming Assets.” Note 1 to the consolidated financial statements includes additional information on accounting policies related to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Non-GAAP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our Board of Directors each quarter. Management uses these non-GAAP measures because it believes they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Management’s Discussion and Analysis.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reported net income and diluted earnings per common share of $25.1 million and $0.32, respectively, for the second quarter of 2020. This compared to net income and diluted earnings per common share of $44.1 million and $0.55, respectively, for the same period in 2019. For the six months ended June 30, 2020, we reported net income and diluted earnings per share of $57.0 million and $0.71, respectively, compared to net income and diluted earnings per share of $88.3 million and $1.10, respectively, for the same period in 2019.</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reported net income - operating (non-GAAP) of $25.4 million and $57.9 million for the second quarter and first six months of 2020, compared to $47.2 million and $92.1 million for the same periods in 2019. For the second quarter and first six months of 2020, net income - operating (non-GAAP) excludes merger-related and branch closure charges, which net of tax, totaled $310,000 and $936,000, respectively. For the second quarter and first six months of 2019, net income - operating (non-GAAP) excludes merger-related and branch closure charges and executive retirement charges, which net of tax, totaled $3.15 million and $3.71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57"/>
        </w:trPr>
        <w:tc>
          <w:tcPr>
            <w:tcW w:w="3280" w:type="dxa"/>
            <w:vAlign w:val="bottom"/>
            <w:gridSpan w:val="2"/>
          </w:tcPr>
          <w:p>
            <w:pPr>
              <w:ind w:left="20"/>
              <w:spacing w:after="0"/>
              <w:rPr>
                <w:sz w:val="20"/>
                <w:szCs w:val="20"/>
                <w:color w:val="auto"/>
              </w:rPr>
            </w:pPr>
            <w:r>
              <w:rPr>
                <w:rFonts w:ascii="Arial" w:cs="Arial" w:eastAsia="Arial" w:hAnsi="Arial"/>
                <w:sz w:val="12"/>
                <w:szCs w:val="12"/>
                <w:b w:val="1"/>
                <w:bCs w:val="1"/>
                <w:color w:val="auto"/>
              </w:rPr>
              <w:t>UNITED COMMUNITY BANKS, INC.</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9"/>
        </w:trPr>
        <w:tc>
          <w:tcPr>
            <w:tcW w:w="3280" w:type="dxa"/>
            <w:vAlign w:val="bottom"/>
            <w:gridSpan w:val="2"/>
          </w:tcPr>
          <w:p>
            <w:pPr>
              <w:ind w:left="20"/>
              <w:spacing w:after="0"/>
              <w:rPr>
                <w:sz w:val="20"/>
                <w:szCs w:val="20"/>
                <w:color w:val="auto"/>
              </w:rPr>
            </w:pPr>
            <w:r>
              <w:rPr>
                <w:rFonts w:ascii="Arial" w:cs="Arial" w:eastAsia="Arial" w:hAnsi="Arial"/>
                <w:sz w:val="12"/>
                <w:szCs w:val="12"/>
                <w:b w:val="1"/>
                <w:bCs w:val="1"/>
                <w:color w:val="auto"/>
              </w:rPr>
              <w:t>Table 1 - Financial Highlights</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1"/>
        </w:trPr>
        <w:tc>
          <w:tcPr>
            <w:tcW w:w="3280" w:type="dxa"/>
            <w:vAlign w:val="bottom"/>
            <w:gridSpan w:val="2"/>
          </w:tcPr>
          <w:p>
            <w:pPr>
              <w:ind w:left="20"/>
              <w:spacing w:after="0"/>
              <w:rPr>
                <w:sz w:val="20"/>
                <w:szCs w:val="20"/>
                <w:color w:val="auto"/>
              </w:rPr>
            </w:pPr>
            <w:r>
              <w:rPr>
                <w:rFonts w:ascii="Arial" w:cs="Arial" w:eastAsia="Arial" w:hAnsi="Arial"/>
                <w:sz w:val="12"/>
                <w:szCs w:val="12"/>
                <w:b w:val="1"/>
                <w:bCs w:val="1"/>
                <w:color w:val="auto"/>
              </w:rPr>
              <w:t>Selected Financial Information</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8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2020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2nd Quarter</w:t>
            </w: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w w:val="92"/>
              </w:rPr>
              <w:t>For the Six Months Ended June 30,</w:t>
            </w: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YTD 2020 -</w:t>
            </w:r>
          </w:p>
        </w:tc>
      </w:tr>
      <w:tr>
        <w:trPr>
          <w:trHeight w:val="149"/>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96"/>
              </w:rPr>
              <w:t>Second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b w:val="1"/>
                <w:bCs w:val="1"/>
                <w:color w:val="auto"/>
              </w:rPr>
              <w:t>Fourth</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9"/>
              </w:rPr>
              <w:t>Third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96"/>
              </w:rPr>
              <w:t>Second</w:t>
            </w:r>
          </w:p>
        </w:tc>
        <w:tc>
          <w:tcPr>
            <w:tcW w:w="1100" w:type="dxa"/>
            <w:vAlign w:val="bottom"/>
            <w:gridSpan w:val="3"/>
          </w:tcPr>
          <w:p>
            <w:pPr>
              <w:jc w:val="center"/>
              <w:ind w:left="180"/>
              <w:spacing w:after="0"/>
              <w:rPr>
                <w:sz w:val="20"/>
                <w:szCs w:val="20"/>
                <w:color w:val="auto"/>
              </w:rPr>
            </w:pPr>
            <w:r>
              <w:rPr>
                <w:rFonts w:ascii="Arial" w:cs="Arial" w:eastAsia="Arial" w:hAnsi="Arial"/>
                <w:sz w:val="12"/>
                <w:szCs w:val="12"/>
                <w:b w:val="1"/>
                <w:bCs w:val="1"/>
                <w:color w:val="auto"/>
                <w:w w:val="90"/>
              </w:rPr>
              <w:t>2020 - 2019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left="40"/>
              <w:spacing w:after="0"/>
              <w:rPr>
                <w:sz w:val="20"/>
                <w:szCs w:val="20"/>
                <w:color w:val="auto"/>
              </w:rPr>
            </w:pPr>
            <w:r>
              <w:rPr>
                <w:rFonts w:ascii="Arial" w:cs="Arial" w:eastAsia="Arial" w:hAnsi="Arial"/>
                <w:sz w:val="12"/>
                <w:szCs w:val="12"/>
                <w:b w:val="1"/>
                <w:bCs w:val="1"/>
                <w:color w:val="auto"/>
                <w:w w:val="89"/>
              </w:rPr>
              <w:t>2019</w:t>
            </w:r>
          </w:p>
        </w:tc>
      </w:tr>
      <w:tr>
        <w:trPr>
          <w:trHeight w:val="169"/>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i w:val="1"/>
                <w:iCs w:val="1"/>
                <w:color w:val="auto"/>
              </w:rPr>
              <w:t>(in thousands, except per share data)</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Quarter</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6"/>
              </w:rPr>
              <w:t>First Quarter</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Quarter</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Quarter</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Quarter</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Change</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Change</w:t>
            </w:r>
          </w:p>
        </w:tc>
      </w:tr>
      <w:tr>
        <w:trPr>
          <w:trHeight w:val="180"/>
        </w:trPr>
        <w:tc>
          <w:tcPr>
            <w:tcW w:w="3280" w:type="dxa"/>
            <w:vAlign w:val="bottom"/>
            <w:gridSpan w:val="2"/>
          </w:tcPr>
          <w:p>
            <w:pPr>
              <w:ind w:left="20"/>
              <w:spacing w:after="0"/>
              <w:rPr>
                <w:sz w:val="20"/>
                <w:szCs w:val="20"/>
                <w:color w:val="auto"/>
              </w:rPr>
            </w:pPr>
            <w:r>
              <w:rPr>
                <w:rFonts w:ascii="Arial" w:cs="Arial" w:eastAsia="Arial" w:hAnsi="Arial"/>
                <w:sz w:val="12"/>
                <w:szCs w:val="12"/>
                <w:b w:val="1"/>
                <w:bCs w:val="1"/>
                <w:color w:val="auto"/>
              </w:rPr>
              <w:t>INCOME SUMMARY</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Interest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123,605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136,547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136,419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139,156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260,152</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275,672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3"/>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Interest expense</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14,301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17,941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19,781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21,277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21,372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32,242</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42,254</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189"/>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interest revenue</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109,304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118,606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119,338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117,784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227,910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233,418</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 %</w:t>
            </w:r>
          </w:p>
        </w:tc>
      </w:tr>
      <w:tr>
        <w:trPr>
          <w:trHeight w:val="180"/>
        </w:trPr>
        <w:tc>
          <w:tcPr>
            <w:tcW w:w="3280" w:type="dxa"/>
            <w:vAlign w:val="bottom"/>
            <w:gridSpan w:val="2"/>
          </w:tcPr>
          <w:p>
            <w:pPr>
              <w:ind w:left="20"/>
              <w:spacing w:after="0"/>
              <w:rPr>
                <w:sz w:val="20"/>
                <w:szCs w:val="20"/>
                <w:color w:val="auto"/>
              </w:rPr>
            </w:pPr>
            <w:r>
              <w:rPr>
                <w:rFonts w:ascii="Arial" w:cs="Arial" w:eastAsia="Arial" w:hAnsi="Arial"/>
                <w:sz w:val="12"/>
                <w:szCs w:val="12"/>
                <w:color w:val="auto"/>
              </w:rPr>
              <w:t>Provision for credit losses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33,543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22,191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3,250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55,734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6,550</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751</w:t>
            </w:r>
          </w:p>
        </w:tc>
      </w:tr>
      <w:tr>
        <w:trPr>
          <w:trHeight w:val="19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Noninterest income</w:t>
            </w: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40,238</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25,814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30,183</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29,031</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24,531</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66,052</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45,499</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r>
      <w:tr>
        <w:trPr>
          <w:trHeight w:val="173"/>
        </w:trPr>
        <w:tc>
          <w:tcPr>
            <w:tcW w:w="3280" w:type="dxa"/>
            <w:vAlign w:val="bottom"/>
            <w:gridSpan w:val="2"/>
          </w:tcPr>
          <w:p>
            <w:pPr>
              <w:ind w:left="120"/>
              <w:spacing w:after="0"/>
              <w:rPr>
                <w:sz w:val="20"/>
                <w:szCs w:val="20"/>
                <w:color w:val="auto"/>
              </w:rPr>
            </w:pPr>
            <w:r>
              <w:rPr>
                <w:rFonts w:ascii="Arial" w:cs="Arial" w:eastAsia="Arial" w:hAnsi="Arial"/>
                <w:sz w:val="12"/>
                <w:szCs w:val="12"/>
                <w:b w:val="1"/>
                <w:bCs w:val="1"/>
                <w:color w:val="auto"/>
              </w:rPr>
              <w:t>Total revenue</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115,999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122,229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143,321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145,269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139,065</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238,228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272,367</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r>
      <w:tr>
        <w:trPr>
          <w:trHeight w:val="192"/>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83,980</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81,538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81,424</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82,924</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81,813</w:t>
            </w: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165,518</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157,897</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Income before income tax expense</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40,691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61,897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62,345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57,252</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(44)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72,710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114,470</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(36)</w:t>
            </w:r>
          </w:p>
        </w:tc>
      </w:tr>
      <w:tr>
        <w:trPr>
          <w:trHeight w:val="19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6,923</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8,807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12,885</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13,983</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13,167</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15,730</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26,123</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w:t>
            </w:r>
          </w:p>
        </w:tc>
      </w:tr>
      <w:tr>
        <w:trPr>
          <w:trHeight w:val="173"/>
        </w:trPr>
        <w:tc>
          <w:tcPr>
            <w:tcW w:w="3280" w:type="dxa"/>
            <w:vAlign w:val="bottom"/>
            <w:gridSpan w:val="2"/>
          </w:tcPr>
          <w:p>
            <w:pPr>
              <w:ind w:left="120"/>
              <w:spacing w:after="0"/>
              <w:rPr>
                <w:sz w:val="20"/>
                <w:szCs w:val="20"/>
                <w:color w:val="auto"/>
              </w:rPr>
            </w:pPr>
            <w:r>
              <w:rPr>
                <w:rFonts w:ascii="Arial" w:cs="Arial" w:eastAsia="Arial" w:hAnsi="Arial"/>
                <w:sz w:val="12"/>
                <w:szCs w:val="12"/>
                <w:b w:val="1"/>
                <w:bCs w:val="1"/>
                <w:color w:val="auto"/>
              </w:rPr>
              <w:t>Net income</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25,096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31,884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49,012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48,362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44,085</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56,980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88,347</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(36)</w:t>
            </w:r>
          </w:p>
        </w:tc>
      </w:tr>
      <w:tr>
        <w:trPr>
          <w:trHeight w:val="19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Merger-related and other charges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3"/>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Income tax benefit of merger-related and other charges</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(1,112)</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r>
      <w:tr>
        <w:trPr>
          <w:trHeight w:val="209"/>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15"/>
                <w:szCs w:val="15"/>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25,406</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32,510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48,955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50,367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47,232</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57,916</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92,061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r>
        <w:trPr>
          <w:trHeight w:val="42"/>
        </w:trPr>
        <w:tc>
          <w:tcPr>
            <w:tcW w:w="3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189"/>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PERFORMANCE MEASURES</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Per common share:</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8"/>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Diluted net income - GAAP</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0.71</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w:t>
            </w:r>
          </w:p>
        </w:tc>
      </w:tr>
      <w:tr>
        <w:trPr>
          <w:trHeight w:val="189"/>
        </w:trPr>
        <w:tc>
          <w:tcPr>
            <w:tcW w:w="3280" w:type="dxa"/>
            <w:vAlign w:val="bottom"/>
            <w:gridSpan w:val="2"/>
          </w:tcPr>
          <w:p>
            <w:pPr>
              <w:ind w:left="22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15"/>
                <w:szCs w:val="15"/>
                <w:color w:val="auto"/>
                <w:vertAlign w:val="superscript"/>
              </w:rPr>
              <w:t>(1)</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0.59</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(37)</w:t>
            </w:r>
          </w:p>
        </w:tc>
      </w:tr>
      <w:tr>
        <w:trPr>
          <w:trHeight w:val="189"/>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Cash dividends declared</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w:t>
            </w:r>
          </w:p>
        </w:tc>
      </w:tr>
      <w:tr>
        <w:trPr>
          <w:trHeight w:val="180"/>
        </w:trPr>
        <w:tc>
          <w:tcPr>
            <w:tcW w:w="3280" w:type="dxa"/>
            <w:vAlign w:val="bottom"/>
            <w:gridSpan w:val="2"/>
          </w:tcPr>
          <w:p>
            <w:pPr>
              <w:ind w:left="220"/>
              <w:spacing w:after="0"/>
              <w:rPr>
                <w:sz w:val="20"/>
                <w:szCs w:val="20"/>
                <w:color w:val="auto"/>
              </w:rPr>
            </w:pPr>
            <w:r>
              <w:rPr>
                <w:rFonts w:ascii="Arial" w:cs="Arial" w:eastAsia="Arial" w:hAnsi="Arial"/>
                <w:sz w:val="12"/>
                <w:szCs w:val="12"/>
                <w:color w:val="auto"/>
              </w:rPr>
              <w:t>Book value</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21.22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20.80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19.65</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21.22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19.65</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8</w:t>
            </w:r>
          </w:p>
        </w:tc>
      </w:tr>
      <w:tr>
        <w:trPr>
          <w:trHeight w:val="198"/>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15"/>
                <w:szCs w:val="15"/>
                <w:color w:val="auto"/>
                <w:vertAlign w:val="superscript"/>
              </w:rPr>
              <w:t>(3)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Key performance ratios: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8"/>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15"/>
                <w:szCs w:val="15"/>
                <w:color w:val="auto"/>
                <w:vertAlign w:val="superscript"/>
              </w:rPr>
              <w:t>(2)(4)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12.16</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11.65</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9"/>
        </w:trPr>
        <w:tc>
          <w:tcPr>
            <w:tcW w:w="3280" w:type="dxa"/>
            <w:vAlign w:val="bottom"/>
            <w:gridSpan w:val="2"/>
          </w:tcPr>
          <w:p>
            <w:pPr>
              <w:ind w:left="22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15"/>
                <w:szCs w:val="15"/>
                <w:color w:val="auto"/>
                <w:vertAlign w:val="superscript"/>
              </w:rPr>
              <w:t>(1)(2)(4)</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8.01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7.13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 xml:space="preserve">Return on tangible common equity - operating </w:t>
            </w:r>
            <w:r>
              <w:rPr>
                <w:rFonts w:ascii="Arial" w:cs="Arial" w:eastAsia="Arial" w:hAnsi="Arial"/>
                <w:sz w:val="15"/>
                <w:szCs w:val="15"/>
                <w:color w:val="auto"/>
                <w:vertAlign w:val="superscript"/>
              </w:rPr>
              <w:t>(1)(2)(3)(4)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9"/>
        </w:trPr>
        <w:tc>
          <w:tcPr>
            <w:tcW w:w="3280" w:type="dxa"/>
            <w:vAlign w:val="bottom"/>
            <w:gridSpan w:val="2"/>
          </w:tcPr>
          <w:p>
            <w:pPr>
              <w:ind w:left="220"/>
              <w:spacing w:after="0"/>
              <w:rPr>
                <w:sz w:val="20"/>
                <w:szCs w:val="20"/>
                <w:color w:val="auto"/>
              </w:rPr>
            </w:pPr>
            <w:r>
              <w:rPr>
                <w:rFonts w:ascii="Arial" w:cs="Arial" w:eastAsia="Arial" w:hAnsi="Arial"/>
                <w:sz w:val="12"/>
                <w:szCs w:val="12"/>
                <w:color w:val="auto"/>
              </w:rPr>
              <w:t xml:space="preserve">Return on assets - GAAP </w:t>
            </w:r>
            <w:r>
              <w:rPr>
                <w:rFonts w:ascii="Arial" w:cs="Arial" w:eastAsia="Arial" w:hAnsi="Arial"/>
                <w:sz w:val="15"/>
                <w:szCs w:val="15"/>
                <w:color w:val="auto"/>
                <w:vertAlign w:val="superscript"/>
              </w:rPr>
              <w:t>(4)</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0.71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0.99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5"/>
                <w:szCs w:val="15"/>
                <w:color w:val="auto"/>
                <w:vertAlign w:val="superscript"/>
              </w:rPr>
              <w:t>(1)(4)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0"/>
        </w:trPr>
        <w:tc>
          <w:tcPr>
            <w:tcW w:w="3280" w:type="dxa"/>
            <w:vAlign w:val="bottom"/>
            <w:gridSpan w:val="2"/>
          </w:tcPr>
          <w:p>
            <w:pPr>
              <w:ind w:left="220"/>
              <w:spacing w:after="0"/>
              <w:rPr>
                <w:sz w:val="20"/>
                <w:szCs w:val="20"/>
                <w:color w:val="auto"/>
              </w:rPr>
            </w:pPr>
            <w:r>
              <w:rPr>
                <w:rFonts w:ascii="Arial" w:cs="Arial" w:eastAsia="Arial" w:hAnsi="Arial"/>
                <w:sz w:val="12"/>
                <w:szCs w:val="12"/>
                <w:color w:val="auto"/>
              </w:rPr>
              <w:t>Dividend payout ratio - GAAP</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56.25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28.33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30.91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50.70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8"/>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15"/>
                <w:szCs w:val="15"/>
                <w:color w:val="auto"/>
                <w:vertAlign w:val="superscript"/>
              </w:rPr>
              <w:t>(1)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43.90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9"/>
        </w:trPr>
        <w:tc>
          <w:tcPr>
            <w:tcW w:w="3280" w:type="dxa"/>
            <w:vAlign w:val="bottom"/>
            <w:gridSpan w:val="2"/>
          </w:tcPr>
          <w:p>
            <w:pPr>
              <w:ind w:left="220"/>
              <w:spacing w:after="0"/>
              <w:rPr>
                <w:sz w:val="20"/>
                <w:szCs w:val="20"/>
                <w:color w:val="auto"/>
              </w:rPr>
            </w:pPr>
            <w:r>
              <w:rPr>
                <w:rFonts w:ascii="Arial" w:cs="Arial" w:eastAsia="Arial" w:hAnsi="Arial"/>
                <w:sz w:val="12"/>
                <w:szCs w:val="12"/>
                <w:color w:val="auto"/>
              </w:rPr>
              <w:t xml:space="preserve">Net interest margin (fully taxable equivalent) </w:t>
            </w:r>
            <w:r>
              <w:rPr>
                <w:rFonts w:ascii="Arial" w:cs="Arial" w:eastAsia="Arial" w:hAnsi="Arial"/>
                <w:sz w:val="15"/>
                <w:szCs w:val="15"/>
                <w:color w:val="auto"/>
                <w:vertAlign w:val="superscript"/>
              </w:rPr>
              <w:t>(4)</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3.42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4.07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Efficiency ratio - GAAP</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56.15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9"/>
        </w:trPr>
        <w:tc>
          <w:tcPr>
            <w:tcW w:w="3280" w:type="dxa"/>
            <w:vAlign w:val="bottom"/>
            <w:gridSpan w:val="2"/>
          </w:tcPr>
          <w:p>
            <w:pPr>
              <w:ind w:left="22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15"/>
                <w:szCs w:val="15"/>
                <w:color w:val="auto"/>
                <w:vertAlign w:val="superscript"/>
              </w:rPr>
              <w:t>(1)</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55.59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55.59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54.92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53.90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55.59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54.60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9"/>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Equity to total assets</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89"/>
        </w:trPr>
        <w:tc>
          <w:tcPr>
            <w:tcW w:w="3280" w:type="dxa"/>
            <w:vAlign w:val="bottom"/>
            <w:gridSpan w:val="2"/>
          </w:tcPr>
          <w:p>
            <w:pPr>
              <w:ind w:left="220"/>
              <w:spacing w:after="0"/>
              <w:rPr>
                <w:sz w:val="20"/>
                <w:szCs w:val="20"/>
                <w:color w:val="auto"/>
              </w:rPr>
            </w:pPr>
            <w:r>
              <w:rPr>
                <w:rFonts w:ascii="Arial" w:cs="Arial" w:eastAsia="Arial" w:hAnsi="Arial"/>
                <w:sz w:val="12"/>
                <w:szCs w:val="12"/>
                <w:color w:val="auto"/>
              </w:rPr>
              <w:t xml:space="preserve">Tangible common equity to tangible assets </w:t>
            </w:r>
            <w:r>
              <w:rPr>
                <w:rFonts w:ascii="Arial" w:cs="Arial" w:eastAsia="Arial" w:hAnsi="Arial"/>
                <w:sz w:val="15"/>
                <w:szCs w:val="15"/>
                <w:color w:val="auto"/>
                <w:vertAlign w:val="superscript"/>
              </w:rPr>
              <w:t>(3)</w:t>
            </w: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95"/>
        </w:trPr>
        <w:tc>
          <w:tcPr>
            <w:tcW w:w="3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180"/>
        </w:trPr>
        <w:tc>
          <w:tcPr>
            <w:tcW w:w="3280" w:type="dxa"/>
            <w:vAlign w:val="bottom"/>
            <w:gridSpan w:val="2"/>
          </w:tcPr>
          <w:p>
            <w:pPr>
              <w:ind w:left="20"/>
              <w:spacing w:after="0"/>
              <w:rPr>
                <w:sz w:val="20"/>
                <w:szCs w:val="20"/>
                <w:color w:val="auto"/>
              </w:rPr>
            </w:pPr>
            <w:r>
              <w:rPr>
                <w:rFonts w:ascii="Arial" w:cs="Arial" w:eastAsia="Arial" w:hAnsi="Arial"/>
                <w:sz w:val="12"/>
                <w:szCs w:val="12"/>
                <w:b w:val="1"/>
                <w:bCs w:val="1"/>
                <w:color w:val="auto"/>
              </w:rPr>
              <w:t>ASSET QUALITY</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Nonperforming loans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48,021</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36,208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30,832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26,597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48,021</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26,597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w:t>
            </w:r>
          </w:p>
        </w:tc>
      </w:tr>
      <w:tr>
        <w:trPr>
          <w:trHeight w:val="183"/>
        </w:trPr>
        <w:tc>
          <w:tcPr>
            <w:tcW w:w="3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Foreclosed properties</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476</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2"/>
                <w:szCs w:val="12"/>
                <w:color w:val="auto"/>
              </w:rPr>
              <w:t>536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2"/>
                <w:szCs w:val="12"/>
                <w:color w:val="auto"/>
              </w:rPr>
              <w:t>536</w:t>
            </w:r>
          </w:p>
        </w:tc>
      </w:tr>
      <w:tr>
        <w:trPr>
          <w:trHeight w:val="189"/>
        </w:trPr>
        <w:tc>
          <w:tcPr>
            <w:tcW w:w="32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Total nonperforming assets ("NPAs")</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48,498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36,683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26,672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48,498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26,672</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82</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Allowance for credit losses - loans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103,669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81,905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62,089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62,514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62,204</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67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103,669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62,204</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67</w:t>
            </w: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charge-offs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8,114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Allowance for credit losses - loans to loans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1.02</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0.92 %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0.70</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0.70</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0.70</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1.02</w:t>
            </w:r>
          </w:p>
        </w:tc>
        <w:tc>
          <w:tcPr>
            <w:tcW w:w="140" w:type="dxa"/>
            <w:vAlign w:val="bottom"/>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0.70</w:t>
            </w:r>
          </w:p>
        </w:tc>
        <w:tc>
          <w:tcPr>
            <w:tcW w:w="12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8"/>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 xml:space="preserve">Net charge-offs to average loans </w:t>
            </w:r>
            <w:r>
              <w:rPr>
                <w:rFonts w:ascii="Arial" w:cs="Arial" w:eastAsia="Arial" w:hAnsi="Arial"/>
                <w:sz w:val="15"/>
                <w:szCs w:val="15"/>
                <w:color w:val="auto"/>
                <w:vertAlign w:val="superscript"/>
              </w:rPr>
              <w:t>(4)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NPAs to loans and foreclosed properties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NPAs to total assets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95"/>
        </w:trPr>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62"/>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i w:val="1"/>
                <w:iCs w:val="1"/>
                <w:color w:val="auto"/>
              </w:rPr>
              <w:t>($ in millions)</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Loans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9,773</w:t>
            </w:r>
          </w:p>
        </w:tc>
        <w:tc>
          <w:tcPr>
            <w:tcW w:w="3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8,829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8,890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8,836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8,670</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9,301</w:t>
            </w:r>
          </w:p>
        </w:tc>
        <w:tc>
          <w:tcPr>
            <w:tcW w:w="4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8,551</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9</w:t>
            </w: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Investment securities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2,674</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Earning assets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12,958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11,798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11,832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11,568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11,534</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12,378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11,516</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assets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12,944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12,559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Deposits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12,071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10,915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10,924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10,531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10,493</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11,493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10,427</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10</w:t>
            </w: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Shareholders’ equity</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Common shares - basic (thousands)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78,920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79,340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79,659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79,663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79,673</w:t>
            </w:r>
          </w:p>
        </w:tc>
        <w:tc>
          <w:tcPr>
            <w:tcW w:w="1100" w:type="dxa"/>
            <w:vAlign w:val="bottom"/>
            <w:gridSpan w:val="3"/>
          </w:tcPr>
          <w:p>
            <w:pPr>
              <w:jc w:val="right"/>
              <w:ind w:right="8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79,130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79,739</w:t>
            </w:r>
          </w:p>
        </w:tc>
        <w:tc>
          <w:tcPr>
            <w:tcW w:w="1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Common shares - diluted (thousands)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78,924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79,446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79,678</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79,745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r>
      <w:tr>
        <w:trPr>
          <w:trHeight w:val="95"/>
        </w:trPr>
        <w:tc>
          <w:tcPr>
            <w:tcW w:w="3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62"/>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i w:val="1"/>
                <w:iCs w:val="1"/>
                <w:color w:val="auto"/>
              </w:rPr>
              <w:t>($ in millions)</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Loans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10,133</w:t>
            </w:r>
          </w:p>
        </w:tc>
        <w:tc>
          <w:tcPr>
            <w:tcW w:w="3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8,935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8,813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8,903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8,838</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10,133</w:t>
            </w:r>
          </w:p>
        </w:tc>
        <w:tc>
          <w:tcPr>
            <w:tcW w:w="44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8,838</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15</w:t>
            </w: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Investment securities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Total assets</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13,086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12,916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12,809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12,779</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12,779</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Deposits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11,035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10,591</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12,702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10,591</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w:t>
            </w:r>
          </w:p>
        </w:tc>
      </w:tr>
      <w:tr>
        <w:trPr>
          <w:trHeight w:val="180"/>
        </w:trPr>
        <w:tc>
          <w:tcPr>
            <w:tcW w:w="3280" w:type="dxa"/>
            <w:vAlign w:val="bottom"/>
            <w:gridSpan w:val="2"/>
          </w:tcPr>
          <w:p>
            <w:pPr>
              <w:ind w:left="120"/>
              <w:spacing w:after="0"/>
              <w:rPr>
                <w:sz w:val="20"/>
                <w:szCs w:val="20"/>
                <w:color w:val="auto"/>
              </w:rPr>
            </w:pPr>
            <w:r>
              <w:rPr>
                <w:rFonts w:ascii="Arial" w:cs="Arial" w:eastAsia="Arial" w:hAnsi="Arial"/>
                <w:sz w:val="12"/>
                <w:szCs w:val="12"/>
                <w:color w:val="auto"/>
              </w:rPr>
              <w:t>Shareholders’ equity</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1,641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1,566</w:t>
            </w:r>
          </w:p>
        </w:tc>
        <w:tc>
          <w:tcPr>
            <w:tcW w:w="1100" w:type="dxa"/>
            <w:vAlign w:val="bottom"/>
            <w:gridSpan w:val="3"/>
          </w:tcPr>
          <w:p>
            <w:pPr>
              <w:jc w:val="right"/>
              <w:ind w:right="10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1,772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1,566</w:t>
            </w: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13</w:t>
            </w:r>
          </w:p>
        </w:tc>
      </w:tr>
      <w:tr>
        <w:trPr>
          <w:trHeight w:val="198"/>
        </w:trPr>
        <w:tc>
          <w:tcPr>
            <w:tcW w:w="32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Common shares outstanding (thousands)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78,284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79,075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79,075</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r>
    </w:tbl>
    <w:p>
      <w:pPr>
        <w:spacing w:after="0" w:line="67" w:lineRule="exact"/>
        <w:rPr>
          <w:sz w:val="20"/>
          <w:szCs w:val="20"/>
          <w:color w:val="auto"/>
        </w:rPr>
      </w:pPr>
    </w:p>
    <w:p>
      <w:pPr>
        <w:jc w:val="both"/>
        <w:ind w:firstLine="8"/>
        <w:spacing w:after="0" w:line="293" w:lineRule="auto"/>
        <w:tabs>
          <w:tab w:leader="none" w:pos="128"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 xml:space="preserve">Excludes merger-related and other charges which includes termination of pension plan in the third quarter of 2019, executive retirement charges in the second quarter of 2019 and amortization of certain executive change of control benefits. </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Net income divided by average realized common equity, which excludes accumulated other comprehensive income (loss). </w:t>
      </w:r>
      <w:r>
        <w:rPr>
          <w:rFonts w:ascii="Arial" w:cs="Arial" w:eastAsia="Arial" w:hAnsi="Arial"/>
          <w:sz w:val="14"/>
          <w:szCs w:val="14"/>
          <w:color w:val="auto"/>
          <w:vertAlign w:val="superscript"/>
        </w:rPr>
        <w:t>(3)</w:t>
      </w:r>
      <w:r>
        <w:rPr>
          <w:rFonts w:ascii="Arial" w:cs="Arial" w:eastAsia="Arial" w:hAnsi="Arial"/>
          <w:sz w:val="11"/>
          <w:szCs w:val="11"/>
          <w:color w:val="auto"/>
        </w:rPr>
        <w:t xml:space="preserve"> Excludes effect of acquisition related intangibles and associated amortization. </w:t>
      </w:r>
      <w:r>
        <w:rPr>
          <w:rFonts w:ascii="Arial" w:cs="Arial" w:eastAsia="Arial" w:hAnsi="Arial"/>
          <w:sz w:val="14"/>
          <w:szCs w:val="14"/>
          <w:color w:val="auto"/>
          <w:vertAlign w:val="superscript"/>
        </w:rPr>
        <w:t>(4)</w:t>
      </w:r>
      <w:r>
        <w:rPr>
          <w:rFonts w:ascii="Arial" w:cs="Arial" w:eastAsia="Arial" w:hAnsi="Arial"/>
          <w:sz w:val="11"/>
          <w:szCs w:val="11"/>
          <w:color w:val="auto"/>
        </w:rPr>
        <w:t xml:space="preserve"> Annualized.</w:t>
      </w:r>
    </w:p>
    <w:p>
      <w:pPr>
        <w:sectPr>
          <w:pgSz w:w="11900" w:h="16838" w:orient="portrait"/>
          <w:cols w:equalWidth="0" w:num="1">
            <w:col w:w="11240"/>
          </w:cols>
          <w:pgMar w:left="320" w:top="842" w:right="33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86"/>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UNITED COMMUNITY BANKS, INC.</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Table 1 (Continued) - Non-GAAP Performance Measures Reconciliation</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Financial Information</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7"/>
          </w:tcPr>
          <w:p>
            <w:pPr>
              <w:ind w:left="40"/>
              <w:spacing w:after="0" w:line="153" w:lineRule="exact"/>
              <w:rPr>
                <w:sz w:val="20"/>
                <w:szCs w:val="20"/>
                <w:color w:val="auto"/>
              </w:rPr>
            </w:pPr>
            <w:r>
              <w:rPr>
                <w:rFonts w:ascii="Arial" w:cs="Arial" w:eastAsia="Arial" w:hAnsi="Arial"/>
                <w:sz w:val="14"/>
                <w:szCs w:val="14"/>
                <w:b w:val="1"/>
                <w:bCs w:val="1"/>
                <w:color w:val="auto"/>
                <w:w w:val="93"/>
              </w:rPr>
              <w:t>For the Six Months Ended June</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Second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6"/>
              </w:rPr>
              <w:t>First Quarter</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Second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Expense reconciliation</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Expenses (GAAP)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83,980</w:t>
            </w:r>
          </w:p>
        </w:tc>
        <w:tc>
          <w:tcPr>
            <w:tcW w:w="4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81,538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81,424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82,924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81,813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165,518</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157,897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(2,605)</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(4,087)</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120"/>
              <w:spacing w:after="0"/>
              <w:rPr>
                <w:sz w:val="20"/>
                <w:szCs w:val="20"/>
                <w:color w:val="auto"/>
              </w:rPr>
            </w:pPr>
            <w:r>
              <w:rPr>
                <w:rFonts w:ascii="Arial" w:cs="Arial" w:eastAsia="Arial" w:hAnsi="Arial"/>
                <w:sz w:val="14"/>
                <w:szCs w:val="14"/>
                <w:color w:val="auto"/>
              </w:rPr>
              <w:t>Expenses - operating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83,583</w:t>
            </w:r>
          </w:p>
        </w:tc>
        <w:tc>
          <w:tcPr>
            <w:tcW w:w="4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80,730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81,498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80,319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77,726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164,313</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153,071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reconciliation</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(GAAP)</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25,096</w:t>
            </w:r>
          </w:p>
        </w:tc>
        <w:tc>
          <w:tcPr>
            <w:tcW w:w="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56,980</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Merger-related and other charges</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2,605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benefit of merger-related and other charges</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120"/>
              <w:spacing w:after="0"/>
              <w:rPr>
                <w:sz w:val="20"/>
                <w:szCs w:val="20"/>
                <w:color w:val="auto"/>
              </w:rPr>
            </w:pPr>
            <w:r>
              <w:rPr>
                <w:rFonts w:ascii="Arial" w:cs="Arial" w:eastAsia="Arial" w:hAnsi="Arial"/>
                <w:sz w:val="14"/>
                <w:szCs w:val="14"/>
                <w:color w:val="auto"/>
              </w:rPr>
              <w:t>Net income - operating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25,406</w:t>
            </w:r>
          </w:p>
        </w:tc>
        <w:tc>
          <w:tcPr>
            <w:tcW w:w="4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32,510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48,955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50,367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47,232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57,916</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92,061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income per common share (GAAP)</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 income per common share - operating</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Book value per common share reconciliation</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Book value per common share (GAAP)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21.22</w:t>
            </w:r>
          </w:p>
        </w:tc>
        <w:tc>
          <w:tcPr>
            <w:tcW w:w="4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20.53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19.65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21.22</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19.65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120"/>
              <w:spacing w:after="0"/>
              <w:rPr>
                <w:sz w:val="20"/>
                <w:szCs w:val="20"/>
                <w:color w:val="auto"/>
              </w:rPr>
            </w:pPr>
            <w:r>
              <w:rPr>
                <w:rFonts w:ascii="Arial" w:cs="Arial" w:eastAsia="Arial" w:hAnsi="Arial"/>
                <w:sz w:val="14"/>
                <w:szCs w:val="14"/>
                <w:color w:val="auto"/>
              </w:rPr>
              <w:t>Tangible book value per common share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16.95</w:t>
            </w:r>
          </w:p>
        </w:tc>
        <w:tc>
          <w:tcPr>
            <w:tcW w:w="4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16.95</w:t>
            </w:r>
          </w:p>
        </w:tc>
        <w:tc>
          <w:tcPr>
            <w:tcW w:w="4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Return on common equity (GAAP)</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0.49</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Return on common equity - operating</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Return on tangible common equity - operating</w:t>
            </w: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Return on assets reconciliation</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Return on assets (GAAP)</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0.99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0.85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120"/>
              <w:spacing w:after="0"/>
              <w:rPr>
                <w:sz w:val="20"/>
                <w:szCs w:val="20"/>
                <w:color w:val="auto"/>
              </w:rPr>
            </w:pPr>
            <w:r>
              <w:rPr>
                <w:rFonts w:ascii="Arial" w:cs="Arial" w:eastAsia="Arial" w:hAnsi="Arial"/>
                <w:sz w:val="14"/>
                <w:szCs w:val="14"/>
                <w:color w:val="auto"/>
              </w:rPr>
              <w:t>Return on assets - operating</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 payout ratio reconciliation</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payout ratio (GAAP)</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Dividend payout ratio - operating</w:t>
            </w:r>
          </w:p>
        </w:tc>
        <w:tc>
          <w:tcPr>
            <w:tcW w:w="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Efficiency ratio reconciliation</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Efficiency ratio (GAAP)</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55.86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54.87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55.64</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57.28</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56.00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56.32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120"/>
              <w:spacing w:after="0"/>
              <w:rPr>
                <w:sz w:val="20"/>
                <w:szCs w:val="20"/>
                <w:color w:val="auto"/>
              </w:rPr>
            </w:pPr>
            <w:r>
              <w:rPr>
                <w:rFonts w:ascii="Arial" w:cs="Arial" w:eastAsia="Arial" w:hAnsi="Arial"/>
                <w:sz w:val="14"/>
                <w:szCs w:val="14"/>
                <w:color w:val="auto"/>
              </w:rPr>
              <w:t>Efficiency ratio - operating</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Tangible common equity to tangible assets reconciliation</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to total assets (GAAP)</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7"/>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 of preferred equity</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80" w:type="dxa"/>
            <w:vAlign w:val="bottom"/>
            <w:gridSpan w:val="2"/>
          </w:tcPr>
          <w:p>
            <w:pPr>
              <w:ind w:left="120"/>
              <w:spacing w:after="0"/>
              <w:rPr>
                <w:sz w:val="20"/>
                <w:szCs w:val="20"/>
                <w:color w:val="auto"/>
              </w:rPr>
            </w:pPr>
            <w:r>
              <w:rPr>
                <w:rFonts w:ascii="Arial" w:cs="Arial" w:eastAsia="Arial" w:hAnsi="Arial"/>
                <w:sz w:val="14"/>
                <w:szCs w:val="14"/>
                <w:color w:val="auto"/>
              </w:rPr>
              <w:t>Tangible common equity to tangible assets</w:t>
            </w: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Net Interest Revenue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for the second quarters of 2020 and 2019 was $109 million and $118 million, respectively. As set forth in the following tables, fully taxable equivalent net interest revenue for the second quarter of 2020 was $110 million, representing a decrease of $8.33 million, or 7%, from the same period in 2019. The net interest spread and net interest margin for the second quarter of 2020 of 3.14% and 3.42%, respectively, decreased 58 basis points and 70 basis points, respectively, from the second quarter of 2019. For the first six months of 2020 and 2019, net interest revenue was $228 million and $233 million, respectively. Fully taxable equivalent net interest revenue for the first six months of 2020 was $230 million, a decrease of $5.23 million, or 2%, from the first six months of 2019.</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tables also indicate the relationship between interest revenue and expense and the average amounts of assets and liabilities for the periods indicated. As shown in the tables, both average assets and average liabilities for the three and six months ended June 30, 2020 increased compared to the same periods of 2019. For the second quarter of 2020, the increase in average assets was primarily driven by the increase in average loans of $1.10 billion, or 13%, from the second quarter of 2019, which reflects the PPP loans originated during the second quarter of 2020 and organic growth, the combination of which more than offset the impact of the sale of the indirect auto portfolio on December 31, 2019. The increase in average loans was offset by an intentional decrease in average taxable securities. The increase in average assets for the three months ended June 30, 2020 from the same period of 2019 was funded primarily through an increase in average noninterest-bearing customer deposits.</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decrease in the net interest margin during the three and six months ended June 30, 2020, was primarily attributable to the impact of falling interest rates on our asset sensitive balance sheet as loan yields fell faster than we could lower deposit rates. In March of 2020, the Federal Reserve’s Federal Open Market Committee (“FOMC”) lowered interest rates twice for a total reduction of 150 basis points in response to the COVID-19 pandemic, which was the most aggressive action taken by the FOMC since the financial crisis in 2008. This followed three other federal funds rate reductions since second quarter 2019 of 25 basis points each on July 31, September 18 and October 30. Although the earning asset mix generally improved as growth in the loan portfolio replaced an intentionally shrinking investment portfolio, lower-yielding PPP loans and cash balances exerted downward pressure on the margin. The negative impact of falling interest rates and the introduction of lower-yielding PPP loans and higher cash balances was partially mitigated by a more favorable funding mix. In the second quarter and first six months of 2020, noninterest-bearing deposits funded 34% and 32%, respectively, of our interest-earning assets compared with 29% and 28%, respectively, for the same periods of 2019. Since the first quarter of 2019, we substantially reduced our use of wholesale funding sources, with nearly all of our balance sheet funded with customer deposits as of June 30,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ind w:left="2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09"/>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rPr>
              <w:t>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Rate</w:t>
            </w:r>
          </w:p>
        </w:tc>
        <w:tc>
          <w:tcPr>
            <w:tcW w:w="160" w:type="dxa"/>
            <w:vAlign w:val="bottom"/>
          </w:tcPr>
          <w:p>
            <w:pPr>
              <w:spacing w:after="0"/>
              <w:rPr>
                <w:sz w:val="18"/>
                <w:szCs w:val="18"/>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56"/>
        </w:trPr>
        <w:tc>
          <w:tcPr>
            <w:tcW w:w="4400" w:type="dxa"/>
            <w:vAlign w:val="bottom"/>
            <w:gridSpan w:val="2"/>
          </w:tcPr>
          <w:p>
            <w:pPr>
              <w:ind w:left="14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9,772,703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107,398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8,669,847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119,668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57"/>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2,229,371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14,045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2,506,942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17,954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60" w:type="dxa"/>
            <w:vAlign w:val="bottom"/>
            <w:shd w:val="clear" w:color="auto" w:fill="CCEEFF"/>
          </w:tcPr>
          <w:p>
            <w:pPr>
              <w:spacing w:after="0"/>
              <w:rPr>
                <w:sz w:val="22"/>
                <w:szCs w:val="22"/>
                <w:color w:val="auto"/>
              </w:rPr>
            </w:pPr>
          </w:p>
        </w:tc>
      </w:tr>
      <w:tr>
        <w:trPr>
          <w:trHeight w:val="257"/>
        </w:trPr>
        <w:tc>
          <w:tcPr>
            <w:tcW w:w="4400" w:type="dxa"/>
            <w:vAlign w:val="bottom"/>
            <w:gridSpan w:val="2"/>
          </w:tcPr>
          <w:p>
            <w:pPr>
              <w:ind w:left="14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178,903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2,110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166,628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1,507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3.62</w:t>
            </w:r>
          </w:p>
        </w:tc>
        <w:tc>
          <w:tcPr>
            <w:tcW w:w="160" w:type="dxa"/>
            <w:vAlign w:val="bottom"/>
          </w:tcPr>
          <w:p>
            <w:pPr>
              <w:spacing w:after="0"/>
              <w:rPr>
                <w:sz w:val="22"/>
                <w:szCs w:val="22"/>
                <w:color w:val="auto"/>
              </w:rPr>
            </w:pPr>
          </w:p>
        </w:tc>
      </w:tr>
      <w:tr>
        <w:trPr>
          <w:trHeight w:val="257"/>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776,776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190,678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7"/>
        </w:trPr>
        <w:tc>
          <w:tcPr>
            <w:tcW w:w="44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7"/>
              </w:rPr>
              <w:t>12,957,753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124,410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11,534,095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139,808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4.86</w:t>
            </w:r>
          </w:p>
        </w:tc>
        <w:tc>
          <w:tcPr>
            <w:tcW w:w="160" w:type="dxa"/>
            <w:vAlign w:val="bottom"/>
          </w:tcPr>
          <w:p>
            <w:pPr>
              <w:spacing w:after="0"/>
              <w:rPr>
                <w:sz w:val="18"/>
                <w:szCs w:val="18"/>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96"/>
        </w:trPr>
        <w:tc>
          <w:tcPr>
            <w:tcW w:w="4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138,842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125,021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Premises and equipment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217,096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224,018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57"/>
        </w:trPr>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949,201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787,859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r>
      <w:tr>
        <w:trPr>
          <w:trHeight w:val="272"/>
        </w:trPr>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7"/>
              </w:rPr>
              <w:t>14,172,900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12,608,277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66"/>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3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Interest-bearing deposits: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57"/>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 xml:space="preserve">NOW and interest-bearing demand </w:t>
            </w:r>
            <w:r>
              <w:rPr>
                <w:rFonts w:ascii="Arial" w:cs="Arial" w:eastAsia="Arial" w:hAnsi="Arial"/>
                <w:sz w:val="21"/>
                <w:szCs w:val="21"/>
                <w:color w:val="auto"/>
                <w:vertAlign w:val="superscript"/>
              </w:rPr>
              <w:t>(5)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2,444,895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0.27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2,190,080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3,460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0.63</w:t>
            </w:r>
          </w:p>
        </w:tc>
        <w:tc>
          <w:tcPr>
            <w:tcW w:w="160" w:type="dxa"/>
            <w:vAlign w:val="bottom"/>
          </w:tcPr>
          <w:p>
            <w:pPr>
              <w:spacing w:after="0"/>
              <w:rPr>
                <w:sz w:val="22"/>
                <w:szCs w:val="22"/>
                <w:color w:val="auto"/>
              </w:rPr>
            </w:pPr>
          </w:p>
        </w:tc>
      </w:tr>
      <w:tr>
        <w:trPr>
          <w:trHeight w:val="256"/>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Money market</w:t>
            </w:r>
            <w:r>
              <w:rPr>
                <w:rFonts w:ascii="Arial" w:cs="Arial" w:eastAsia="Arial" w:hAnsi="Arial"/>
                <w:sz w:val="21"/>
                <w:szCs w:val="21"/>
                <w:color w:val="auto"/>
                <w:vertAlign w:val="superscript"/>
              </w:rPr>
              <w:t>(5)</w:t>
            </w: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2,541,805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2,186,282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160" w:type="dxa"/>
            <w:vAlign w:val="bottom"/>
            <w:shd w:val="clear" w:color="auto" w:fill="CCEEFF"/>
          </w:tcPr>
          <w:p>
            <w:pPr>
              <w:spacing w:after="0"/>
              <w:rPr>
                <w:sz w:val="22"/>
                <w:szCs w:val="22"/>
                <w:color w:val="auto"/>
              </w:rPr>
            </w:pPr>
          </w:p>
        </w:tc>
      </w:tr>
      <w:tr>
        <w:trPr>
          <w:trHeight w:val="223"/>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788,247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687,753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19"/>
                <w:szCs w:val="19"/>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1,805,671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6,058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1,773,968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6,949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1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130,556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298,553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1,822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2.45</w:t>
            </w:r>
          </w:p>
        </w:tc>
        <w:tc>
          <w:tcPr>
            <w:tcW w:w="160" w:type="dxa"/>
            <w:vAlign w:val="bottom"/>
          </w:tcPr>
          <w:p>
            <w:pPr>
              <w:spacing w:after="0"/>
              <w:rPr>
                <w:sz w:val="19"/>
                <w:szCs w:val="19"/>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7,711,174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11,271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7,136,636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17,115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7"/>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38,838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2.56</w:t>
            </w:r>
          </w:p>
        </w:tc>
        <w:tc>
          <w:tcPr>
            <w:tcW w:w="1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Federal Home Loan Bank advances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117,912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228,096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3,030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252,351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3,257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5.18</w:t>
            </w:r>
          </w:p>
        </w:tc>
        <w:tc>
          <w:tcPr>
            <w:tcW w:w="160" w:type="dxa"/>
            <w:vAlign w:val="bottom"/>
          </w:tcPr>
          <w:p>
            <w:pPr>
              <w:spacing w:after="0"/>
              <w:rPr>
                <w:sz w:val="19"/>
                <w:szCs w:val="19"/>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228,097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17"/>
        </w:trPr>
        <w:tc>
          <w:tcPr>
            <w:tcW w:w="44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7,939,271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14,301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7,545,737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21,372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8"/>
                <w:szCs w:val="18"/>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96"/>
        </w:trPr>
        <w:tc>
          <w:tcPr>
            <w:tcW w:w="4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7" w:lineRule="exact"/>
        <w:rPr>
          <w:sz w:val="20"/>
          <w:szCs w:val="20"/>
          <w:color w:val="auto"/>
        </w:rPr>
      </w:pPr>
    </w:p>
    <w:p>
      <w:pPr>
        <w:sectPr>
          <w:pgSz w:w="11900" w:h="16838" w:orient="portrait"/>
          <w:cols w:equalWidth="0" w:num="1">
            <w:col w:w="11200"/>
          </w:cols>
          <w:pgMar w:left="320" w:top="1080" w:right="379" w:bottom="952" w:gutter="0" w:footer="0" w:header="0"/>
        </w:sectPr>
      </w:pPr>
    </w:p>
    <w:p>
      <w:pPr>
        <w:ind w:left="20"/>
        <w:spacing w:after="0"/>
        <w:rPr>
          <w:sz w:val="20"/>
          <w:szCs w:val="20"/>
          <w:color w:val="auto"/>
        </w:rPr>
      </w:pPr>
      <w:r>
        <w:rPr>
          <w:rFonts w:ascii="Arial" w:cs="Arial" w:eastAsia="Arial" w:hAnsi="Arial"/>
          <w:sz w:val="16"/>
          <w:szCs w:val="16"/>
          <w:color w:val="auto"/>
        </w:rPr>
        <w:t>Noninterest-bearing liabilities: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Noninterest-bearing deposits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Shareholders' equity</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Total liabilities and shareholders' equity</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interest revenue (FTE)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interest-rate spread (FTE)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20" w:type="dxa"/>
            <w:vAlign w:val="bottom"/>
          </w:tcPr>
          <w:p>
            <w:pPr>
              <w:jc w:val="right"/>
              <w:ind w:right="59"/>
              <w:spacing w:after="0"/>
              <w:rPr>
                <w:sz w:val="20"/>
                <w:szCs w:val="20"/>
                <w:color w:val="auto"/>
              </w:rPr>
            </w:pPr>
            <w:r>
              <w:rPr>
                <w:rFonts w:ascii="Arial" w:cs="Arial" w:eastAsia="Arial" w:hAnsi="Arial"/>
                <w:sz w:val="16"/>
                <w:szCs w:val="16"/>
                <w:color w:val="auto"/>
              </w:rPr>
              <w:t>4,360,095</w:t>
            </w:r>
          </w:p>
        </w:tc>
        <w:tc>
          <w:tcPr>
            <w:tcW w:w="230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3,355,930</w:t>
            </w:r>
          </w:p>
        </w:tc>
      </w:tr>
      <w:tr>
        <w:trPr>
          <w:trHeight w:val="257"/>
        </w:trPr>
        <w:tc>
          <w:tcPr>
            <w:tcW w:w="1120" w:type="dxa"/>
            <w:vAlign w:val="bottom"/>
          </w:tcPr>
          <w:p>
            <w:pPr>
              <w:jc w:val="right"/>
              <w:ind w:right="59"/>
              <w:spacing w:after="0"/>
              <w:rPr>
                <w:sz w:val="20"/>
                <w:szCs w:val="20"/>
                <w:color w:val="auto"/>
              </w:rPr>
            </w:pPr>
            <w:r>
              <w:rPr>
                <w:rFonts w:ascii="Arial" w:cs="Arial" w:eastAsia="Arial" w:hAnsi="Arial"/>
                <w:sz w:val="16"/>
                <w:szCs w:val="16"/>
                <w:color w:val="auto"/>
              </w:rPr>
              <w:t>187,375</w:t>
            </w:r>
          </w:p>
        </w:tc>
        <w:tc>
          <w:tcPr>
            <w:tcW w:w="2300" w:type="dxa"/>
            <w:vAlign w:val="bottom"/>
          </w:tcPr>
          <w:p>
            <w:pPr>
              <w:spacing w:after="0"/>
              <w:rPr>
                <w:sz w:val="22"/>
                <w:szCs w:val="22"/>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175,806</w:t>
            </w:r>
          </w:p>
        </w:tc>
      </w:tr>
      <w:tr>
        <w:trPr>
          <w:trHeight w:val="33"/>
        </w:trPr>
        <w:tc>
          <w:tcPr>
            <w:tcW w:w="112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120" w:type="dxa"/>
            <w:vAlign w:val="bottom"/>
          </w:tcPr>
          <w:p>
            <w:pPr>
              <w:jc w:val="right"/>
              <w:ind w:right="59"/>
              <w:spacing w:after="0"/>
              <w:rPr>
                <w:sz w:val="20"/>
                <w:szCs w:val="20"/>
                <w:color w:val="auto"/>
              </w:rPr>
            </w:pPr>
            <w:r>
              <w:rPr>
                <w:rFonts w:ascii="Arial" w:cs="Arial" w:eastAsia="Arial" w:hAnsi="Arial"/>
                <w:sz w:val="16"/>
                <w:szCs w:val="16"/>
                <w:color w:val="auto"/>
              </w:rPr>
              <w:t>12,486,741</w:t>
            </w:r>
          </w:p>
        </w:tc>
        <w:tc>
          <w:tcPr>
            <w:tcW w:w="2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11,077,473</w:t>
            </w:r>
          </w:p>
        </w:tc>
      </w:tr>
      <w:tr>
        <w:trPr>
          <w:trHeight w:val="257"/>
        </w:trPr>
        <w:tc>
          <w:tcPr>
            <w:tcW w:w="1120" w:type="dxa"/>
            <w:vAlign w:val="bottom"/>
          </w:tcPr>
          <w:p>
            <w:pPr>
              <w:jc w:val="right"/>
              <w:ind w:right="59"/>
              <w:spacing w:after="0"/>
              <w:rPr>
                <w:sz w:val="20"/>
                <w:szCs w:val="20"/>
                <w:color w:val="auto"/>
              </w:rPr>
            </w:pPr>
            <w:r>
              <w:rPr>
                <w:rFonts w:ascii="Arial" w:cs="Arial" w:eastAsia="Arial" w:hAnsi="Arial"/>
                <w:sz w:val="16"/>
                <w:szCs w:val="16"/>
                <w:color w:val="auto"/>
              </w:rPr>
              <w:t>1,686,159</w:t>
            </w:r>
          </w:p>
        </w:tc>
        <w:tc>
          <w:tcPr>
            <w:tcW w:w="2300" w:type="dxa"/>
            <w:vAlign w:val="bottom"/>
          </w:tcPr>
          <w:p>
            <w:pPr>
              <w:spacing w:after="0"/>
              <w:rPr>
                <w:sz w:val="22"/>
                <w:szCs w:val="22"/>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1,530,804</w:t>
            </w:r>
          </w:p>
        </w:tc>
      </w:tr>
      <w:tr>
        <w:trPr>
          <w:trHeight w:val="33"/>
        </w:trPr>
        <w:tc>
          <w:tcPr>
            <w:tcW w:w="112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120" w:type="dxa"/>
            <w:vAlign w:val="bottom"/>
          </w:tcPr>
          <w:p>
            <w:pPr>
              <w:jc w:val="right"/>
              <w:ind w:right="59"/>
              <w:spacing w:after="0"/>
              <w:rPr>
                <w:sz w:val="20"/>
                <w:szCs w:val="20"/>
                <w:color w:val="auto"/>
              </w:rPr>
            </w:pPr>
            <w:r>
              <w:rPr>
                <w:rFonts w:ascii="Arial" w:cs="Arial" w:eastAsia="Arial" w:hAnsi="Arial"/>
                <w:sz w:val="16"/>
                <w:szCs w:val="16"/>
                <w:color w:val="auto"/>
                <w:w w:val="98"/>
              </w:rPr>
              <w:t>$  14,172,900</w:t>
            </w:r>
          </w:p>
        </w:tc>
        <w:tc>
          <w:tcPr>
            <w:tcW w:w="23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w w:val="97"/>
              </w:rPr>
              <w:t>$   12,608,277</w:t>
            </w:r>
          </w:p>
        </w:tc>
      </w:tr>
      <w:tr>
        <w:trPr>
          <w:trHeight w:val="33"/>
        </w:trPr>
        <w:tc>
          <w:tcPr>
            <w:tcW w:w="1120" w:type="dxa"/>
            <w:vAlign w:val="bottom"/>
            <w:tcBorders>
              <w:bottom w:val="single" w:sz="8" w:color="auto"/>
            </w:tcBorders>
          </w:tcPr>
          <w:p>
            <w:pPr>
              <w:spacing w:after="0"/>
              <w:rPr>
                <w:sz w:val="2"/>
                <w:szCs w:val="2"/>
                <w:color w:val="auto"/>
              </w:rPr>
            </w:pPr>
          </w:p>
        </w:tc>
        <w:tc>
          <w:tcPr>
            <w:tcW w:w="2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-864870</wp:posOffset>
            </wp:positionV>
            <wp:extent cx="7106285"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6285" cy="1625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-539115</wp:posOffset>
            </wp:positionV>
            <wp:extent cx="710628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-205105</wp:posOffset>
            </wp:positionV>
            <wp:extent cx="710628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6285" cy="18859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120015</wp:posOffset>
            </wp:positionV>
            <wp:extent cx="710628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6285" cy="180340"/>
                    </a:xfrm>
                    <a:prstGeom prst="rect">
                      <a:avLst/>
                    </a:prstGeom>
                    <a:noFill/>
                  </pic:spPr>
                </pic:pic>
              </a:graphicData>
            </a:graphic>
          </wp:anchor>
        </w:drawing>
      </w:r>
    </w:p>
    <w:p>
      <w:pPr>
        <w:spacing w:after="0" w:line="186"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1020" w:type="dxa"/>
            <w:vAlign w:val="bottom"/>
          </w:tcPr>
          <w:p>
            <w:pPr>
              <w:jc w:val="right"/>
              <w:ind w:right="59"/>
              <w:spacing w:after="0"/>
              <w:rPr>
                <w:sz w:val="20"/>
                <w:szCs w:val="20"/>
                <w:color w:val="auto"/>
              </w:rPr>
            </w:pPr>
            <w:r>
              <w:rPr>
                <w:rFonts w:ascii="Arial" w:cs="Arial" w:eastAsia="Arial" w:hAnsi="Arial"/>
                <w:sz w:val="16"/>
                <w:szCs w:val="16"/>
                <w:color w:val="auto"/>
              </w:rPr>
              <w:t>$   110,109</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$118,436</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20" w:type="dxa"/>
            <w:vAlign w:val="bottom"/>
            <w:tcBorders>
              <w:bottom w:val="single" w:sz="8" w:color="auto"/>
            </w:tcBorders>
          </w:tcPr>
          <w:p>
            <w:pPr>
              <w:spacing w:after="0"/>
              <w:rPr>
                <w:sz w:val="2"/>
                <w:szCs w:val="2"/>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3.14</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14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020" w:type="dxa"/>
            <w:vAlign w:val="bottom"/>
            <w:tcBorders>
              <w:top w:val="single" w:sz="8" w:color="auto"/>
            </w:tcBorders>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3.72</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880" w:type="dxa"/>
            <w:vAlign w:val="bottom"/>
            <w:gridSpan w:val="3"/>
          </w:tcPr>
          <w:p>
            <w:pPr>
              <w:jc w:val="right"/>
              <w:ind w:right="40"/>
              <w:spacing w:after="0"/>
              <w:rPr>
                <w:sz w:val="20"/>
                <w:szCs w:val="20"/>
                <w:color w:val="auto"/>
              </w:rPr>
            </w:pPr>
            <w:r>
              <w:rPr>
                <w:rFonts w:ascii="Arial" w:cs="Arial" w:eastAsia="Arial" w:hAnsi="Arial"/>
                <w:sz w:val="16"/>
                <w:szCs w:val="16"/>
                <w:color w:val="auto"/>
              </w:rPr>
              <w:t>3.42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320" w:type="dxa"/>
            <w:vAlign w:val="bottom"/>
            <w:gridSpan w:val="4"/>
          </w:tcPr>
          <w:p>
            <w:pPr>
              <w:jc w:val="right"/>
              <w:ind w:right="40"/>
              <w:spacing w:after="0"/>
              <w:rPr>
                <w:sz w:val="20"/>
                <w:szCs w:val="20"/>
                <w:color w:val="auto"/>
              </w:rPr>
            </w:pPr>
            <w:r>
              <w:rPr>
                <w:rFonts w:ascii="Arial" w:cs="Arial" w:eastAsia="Arial" w:hAnsi="Arial"/>
                <w:sz w:val="16"/>
                <w:szCs w:val="16"/>
                <w:color w:val="auto"/>
              </w:rPr>
              <w:t>4.12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-213995</wp:posOffset>
            </wp:positionV>
            <wp:extent cx="7106285"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19748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3680" w:space="720"/>
            <w:col w:w="6800"/>
          </w:cols>
          <w:pgMar w:left="320" w:top="1080" w:right="379" w:bottom="952" w:gutter="0" w:footer="0" w:header="0"/>
          <w:type w:val="continuous"/>
        </w:sectPr>
      </w:pPr>
    </w:p>
    <w:p>
      <w:pPr>
        <w:spacing w:after="0" w:line="90" w:lineRule="exact"/>
        <w:rPr>
          <w:sz w:val="20"/>
          <w:szCs w:val="20"/>
          <w:color w:val="auto"/>
        </w:rPr>
      </w:pPr>
    </w:p>
    <w:p>
      <w:pPr>
        <w:ind w:left="340" w:right="100" w:hanging="332"/>
        <w:spacing w:after="0" w:line="250" w:lineRule="auto"/>
        <w:tabs>
          <w:tab w:leader="none" w:pos="327" w:val="left"/>
        </w:tabs>
        <w:numPr>
          <w:ilvl w:val="0"/>
          <w:numId w:val="15"/>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tabs>
          <w:tab w:leader="none" w:pos="320" w:val="left"/>
        </w:tabs>
        <w:numPr>
          <w:ilvl w:val="0"/>
          <w:numId w:val="15"/>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340" w:right="320" w:hanging="332"/>
        <w:spacing w:after="0" w:line="241" w:lineRule="auto"/>
        <w:tabs>
          <w:tab w:leader="none" w:pos="327" w:val="left"/>
        </w:tabs>
        <w:numPr>
          <w:ilvl w:val="0"/>
          <w:numId w:val="15"/>
        </w:numPr>
        <w:rPr>
          <w:rFonts w:ascii="Arial" w:cs="Arial" w:eastAsia="Arial" w:hAnsi="Arial"/>
          <w:sz w:val="9"/>
          <w:szCs w:val="9"/>
          <w:color w:val="auto"/>
        </w:rPr>
      </w:pPr>
      <w:r>
        <w:rPr>
          <w:rFonts w:ascii="Arial" w:cs="Arial" w:eastAsia="Arial" w:hAnsi="Arial"/>
          <w:sz w:val="14"/>
          <w:szCs w:val="14"/>
          <w:color w:val="auto"/>
        </w:rPr>
        <w:t>Securities available-for-sale are shown at amortized cost. Pretax unrealized gains of $66.3 million in 2020 and unrealized gains of $5.00 million in 2019 are included in other assets for purposes of this presentation.</w:t>
      </w:r>
    </w:p>
    <w:p>
      <w:pPr>
        <w:ind w:left="320" w:hanging="312"/>
        <w:spacing w:after="0"/>
        <w:tabs>
          <w:tab w:leader="none" w:pos="320" w:val="left"/>
        </w:tabs>
        <w:numPr>
          <w:ilvl w:val="0"/>
          <w:numId w:val="15"/>
        </w:numPr>
        <w:rPr>
          <w:rFonts w:ascii="Arial" w:cs="Arial" w:eastAsia="Arial" w:hAnsi="Arial"/>
          <w:sz w:val="9"/>
          <w:szCs w:val="9"/>
          <w:color w:val="auto"/>
        </w:rPr>
      </w:pPr>
      <w:r>
        <w:rPr>
          <w:rFonts w:ascii="Arial" w:cs="Arial" w:eastAsia="Arial" w:hAnsi="Arial"/>
          <w:sz w:val="14"/>
          <w:szCs w:val="14"/>
          <w:color w:val="auto"/>
        </w:rPr>
        <w:t>Net interest margin is taxable equivalent net interest revenue divided by average interest-earning assets.</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15"/>
        </w:numPr>
        <w:rPr>
          <w:rFonts w:ascii="Arial" w:cs="Arial" w:eastAsia="Arial" w:hAnsi="Arial"/>
          <w:sz w:val="9"/>
          <w:szCs w:val="9"/>
          <w:color w:val="auto"/>
        </w:rPr>
      </w:pPr>
      <w:r>
        <w:rPr>
          <w:rFonts w:ascii="Arial" w:cs="Arial" w:eastAsia="Arial" w:hAnsi="Arial"/>
          <w:sz w:val="14"/>
          <w:szCs w:val="14"/>
          <w:color w:val="auto"/>
        </w:rPr>
        <w:t>Reflects reclassification of certain sweep deposits from money market to NOW and interest bearing demand during the third quarter of 2019.</w:t>
      </w:r>
    </w:p>
    <w:p>
      <w:pPr>
        <w:sectPr>
          <w:pgSz w:w="11900" w:h="16838" w:orient="portrait"/>
          <w:cols w:equalWidth="0" w:num="1">
            <w:col w:w="11200"/>
          </w:cols>
          <w:pgMar w:left="320" w:top="1080" w:right="379" w:bottom="9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0" w:right="379" w:bottom="952" w:gutter="0" w:footer="0" w:header="0"/>
          <w:type w:val="continuous"/>
        </w:sectPr>
      </w:pPr>
    </w:p>
    <w:bookmarkStart w:id="49" w:name="page50"/>
    <w:bookmarkEnd w:id="49"/>
    <w:p>
      <w:pPr>
        <w:ind w:left="12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31750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9"/>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Rate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rPr>
              <w:t>Interest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Average Rate</w:t>
            </w:r>
          </w:p>
        </w:tc>
      </w:tr>
      <w:tr>
        <w:trPr>
          <w:trHeight w:val="33"/>
        </w:trPr>
        <w:tc>
          <w:tcPr>
            <w:tcW w:w="4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17"/>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57"/>
        </w:trPr>
        <w:tc>
          <w:tcPr>
            <w:tcW w:w="4400" w:type="dxa"/>
            <w:vAlign w:val="bottom"/>
            <w:gridSpan w:val="2"/>
          </w:tcPr>
          <w:p>
            <w:pPr>
              <w:ind w:left="14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9,300,792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225,194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8,550,574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235,015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2,293,502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29,916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2,609,400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37,603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00" w:type="dxa"/>
            <w:vAlign w:val="bottom"/>
            <w:shd w:val="clear" w:color="auto" w:fill="CCEEFF"/>
          </w:tcPr>
          <w:p>
            <w:pPr>
              <w:spacing w:after="0"/>
              <w:rPr>
                <w:sz w:val="22"/>
                <w:szCs w:val="22"/>
                <w:color w:val="auto"/>
              </w:rPr>
            </w:pPr>
          </w:p>
        </w:tc>
      </w:tr>
      <w:tr>
        <w:trPr>
          <w:trHeight w:val="257"/>
        </w:trPr>
        <w:tc>
          <w:tcPr>
            <w:tcW w:w="4400" w:type="dxa"/>
            <w:vAlign w:val="bottom"/>
            <w:gridSpan w:val="2"/>
          </w:tcPr>
          <w:p>
            <w:pPr>
              <w:ind w:left="14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170,578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4,155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168,156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3,077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3.66</w:t>
            </w:r>
          </w:p>
        </w:tc>
        <w:tc>
          <w:tcPr>
            <w:tcW w:w="200" w:type="dxa"/>
            <w:vAlign w:val="bottom"/>
          </w:tcPr>
          <w:p>
            <w:pPr>
              <w:spacing w:after="0"/>
              <w:rPr>
                <w:sz w:val="22"/>
                <w:szCs w:val="22"/>
                <w:color w:val="auto"/>
              </w:rPr>
            </w:pPr>
          </w:p>
        </w:tc>
      </w:tr>
      <w:tr>
        <w:trPr>
          <w:trHeight w:val="257"/>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612,776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2,489</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188,165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17"/>
        </w:trPr>
        <w:tc>
          <w:tcPr>
            <w:tcW w:w="44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9"/>
              </w:rPr>
              <w:t>12,377,648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261,754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9"/>
              </w:rPr>
              <w:t>11,516,295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276,992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4.84</w:t>
            </w:r>
          </w:p>
        </w:tc>
        <w:tc>
          <w:tcPr>
            <w:tcW w:w="200" w:type="dxa"/>
            <w:vAlign w:val="bottom"/>
          </w:tcPr>
          <w:p>
            <w:pPr>
              <w:spacing w:after="0"/>
              <w:rPr>
                <w:sz w:val="18"/>
                <w:szCs w:val="18"/>
                <w:color w:val="auto"/>
              </w:rPr>
            </w:pPr>
          </w:p>
        </w:tc>
      </w:tr>
      <w:tr>
        <w:trPr>
          <w:trHeight w:val="33"/>
        </w:trPr>
        <w:tc>
          <w:tcPr>
            <w:tcW w:w="4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196"/>
        </w:trPr>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Allowance for loan losses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4"/>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133,548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124,414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Premises and equipment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218,170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220,335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57"/>
        </w:trPr>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908,828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759,899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r>
      <w:tr>
        <w:trPr>
          <w:trHeight w:val="272"/>
        </w:trPr>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13,558,309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99"/>
              </w:rPr>
              <w:t>12,558,690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66"/>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37"/>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Interest-bearing deposits: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56"/>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 xml:space="preserve">NOW and interest-bearing demand </w:t>
            </w:r>
            <w:r>
              <w:rPr>
                <w:rFonts w:ascii="Arial" w:cs="Arial" w:eastAsia="Arial" w:hAnsi="Arial"/>
                <w:sz w:val="21"/>
                <w:szCs w:val="21"/>
                <w:color w:val="auto"/>
                <w:vertAlign w:val="superscript"/>
              </w:rPr>
              <w:t>(5)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2,428,815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4,606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2,238,083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7,069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0.64</w:t>
            </w:r>
          </w:p>
        </w:tc>
        <w:tc>
          <w:tcPr>
            <w:tcW w:w="200" w:type="dxa"/>
            <w:vAlign w:val="bottom"/>
          </w:tcPr>
          <w:p>
            <w:pPr>
              <w:spacing w:after="0"/>
              <w:rPr>
                <w:sz w:val="22"/>
                <w:szCs w:val="22"/>
                <w:color w:val="auto"/>
              </w:rPr>
            </w:pPr>
          </w:p>
        </w:tc>
      </w:tr>
      <w:tr>
        <w:trPr>
          <w:trHeight w:val="257"/>
        </w:trPr>
        <w:tc>
          <w:tcPr>
            <w:tcW w:w="4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 xml:space="preserve">Money market </w:t>
            </w:r>
            <w:r>
              <w:rPr>
                <w:rFonts w:ascii="Arial" w:cs="Arial" w:eastAsia="Arial" w:hAnsi="Arial"/>
                <w:sz w:val="21"/>
                <w:szCs w:val="21"/>
                <w:color w:val="auto"/>
                <w:vertAlign w:val="superscript"/>
              </w:rPr>
              <w:t>(5)</w:t>
            </w: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2,441,264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2,142,411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200" w:type="dxa"/>
            <w:vAlign w:val="bottom"/>
            <w:shd w:val="clear" w:color="auto" w:fill="CCEEFF"/>
          </w:tcPr>
          <w:p>
            <w:pPr>
              <w:spacing w:after="0"/>
              <w:rPr>
                <w:sz w:val="22"/>
                <w:szCs w:val="22"/>
                <w:color w:val="auto"/>
              </w:rPr>
            </w:pPr>
          </w:p>
        </w:tc>
      </w:tr>
      <w:tr>
        <w:trPr>
          <w:trHeight w:val="223"/>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750,179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680,018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spacing w:after="0"/>
              <w:rPr>
                <w:sz w:val="19"/>
                <w:szCs w:val="19"/>
                <w:color w:val="auto"/>
              </w:rPr>
            </w:pPr>
          </w:p>
        </w:tc>
      </w:tr>
      <w:tr>
        <w:trPr>
          <w:trHeight w:val="3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1,823,612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13,308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1,701,181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12,285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4400" w:type="dxa"/>
            <w:vAlign w:val="bottom"/>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1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105,689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406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389,794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4,670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2.42</w:t>
            </w:r>
          </w:p>
        </w:tc>
        <w:tc>
          <w:tcPr>
            <w:tcW w:w="200" w:type="dxa"/>
            <w:vAlign w:val="bottom"/>
          </w:tcPr>
          <w:p>
            <w:pPr>
              <w:spacing w:after="0"/>
              <w:rPr>
                <w:sz w:val="19"/>
                <w:szCs w:val="19"/>
                <w:color w:val="auto"/>
              </w:rPr>
            </w:pPr>
          </w:p>
        </w:tc>
      </w:tr>
      <w:tr>
        <w:trPr>
          <w:trHeight w:val="33"/>
        </w:trPr>
        <w:tc>
          <w:tcPr>
            <w:tcW w:w="4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7,549,559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26,346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7,151,487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33,072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17"/>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30,241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44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Federal Home Loan Bank advances</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170,636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2,174</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220,429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5,894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257,134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6,599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5.18</w:t>
            </w:r>
          </w:p>
        </w:tc>
        <w:tc>
          <w:tcPr>
            <w:tcW w:w="200" w:type="dxa"/>
            <w:vAlign w:val="bottom"/>
          </w:tcPr>
          <w:p>
            <w:pPr>
              <w:spacing w:after="0"/>
              <w:rPr>
                <w:sz w:val="19"/>
                <w:szCs w:val="19"/>
                <w:color w:val="auto"/>
              </w:rPr>
            </w:pPr>
          </w:p>
        </w:tc>
      </w:tr>
      <w:tr>
        <w:trPr>
          <w:trHeight w:val="33"/>
        </w:trPr>
        <w:tc>
          <w:tcPr>
            <w:tcW w:w="4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458,011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9,182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17"/>
        </w:trPr>
        <w:tc>
          <w:tcPr>
            <w:tcW w:w="44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7,770,270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32,242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7,609,498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42,254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8"/>
                <w:szCs w:val="18"/>
                <w:color w:val="auto"/>
              </w:rPr>
            </w:pPr>
          </w:p>
        </w:tc>
      </w:tr>
      <w:tr>
        <w:trPr>
          <w:trHeight w:val="33"/>
        </w:trPr>
        <w:tc>
          <w:tcPr>
            <w:tcW w:w="4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196"/>
        </w:trPr>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17" w:lineRule="exact"/>
        <w:rPr>
          <w:sz w:val="20"/>
          <w:szCs w:val="20"/>
          <w:color w:val="auto"/>
        </w:rPr>
      </w:pPr>
    </w:p>
    <w:p>
      <w:pPr>
        <w:sectPr>
          <w:pgSz w:w="11900" w:h="16838" w:orient="portrait"/>
          <w:cols w:equalWidth="0" w:num="1">
            <w:col w:w="11320"/>
          </w:cols>
          <w:pgMar w:left="220" w:top="1080" w:right="359" w:bottom="709" w:gutter="0" w:footer="0" w:header="0"/>
        </w:sectPr>
      </w:pPr>
    </w:p>
    <w:p>
      <w:pPr>
        <w:ind w:left="120"/>
        <w:spacing w:after="0"/>
        <w:rPr>
          <w:sz w:val="20"/>
          <w:szCs w:val="20"/>
          <w:color w:val="auto"/>
        </w:rPr>
      </w:pPr>
      <w:r>
        <w:rPr>
          <w:rFonts w:ascii="Arial" w:cs="Arial" w:eastAsia="Arial" w:hAnsi="Arial"/>
          <w:sz w:val="16"/>
          <w:szCs w:val="16"/>
          <w:color w:val="auto"/>
        </w:rPr>
        <w:t>Noninterest-bearing liabilities: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Noninterest-bearing deposits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liabilities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equity</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Total liabilities and shareholders' equity</w:t>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Net interest revenue (FTE)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interest-rate spread (FTE)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jc w:val="right"/>
              <w:ind w:right="59"/>
              <w:spacing w:after="0"/>
              <w:rPr>
                <w:sz w:val="20"/>
                <w:szCs w:val="20"/>
                <w:color w:val="auto"/>
              </w:rPr>
            </w:pPr>
            <w:r>
              <w:rPr>
                <w:rFonts w:ascii="Arial" w:cs="Arial" w:eastAsia="Arial" w:hAnsi="Arial"/>
                <w:sz w:val="16"/>
                <w:szCs w:val="16"/>
                <w:color w:val="auto"/>
              </w:rPr>
              <w:t>3,943,740</w:t>
            </w:r>
          </w:p>
        </w:tc>
        <w:tc>
          <w:tcPr>
            <w:tcW w:w="228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3,275,612</w:t>
            </w:r>
          </w:p>
        </w:tc>
      </w:tr>
      <w:tr>
        <w:trPr>
          <w:trHeight w:val="256"/>
        </w:trPr>
        <w:tc>
          <w:tcPr>
            <w:tcW w:w="1140" w:type="dxa"/>
            <w:vAlign w:val="bottom"/>
          </w:tcPr>
          <w:p>
            <w:pPr>
              <w:jc w:val="right"/>
              <w:ind w:right="59"/>
              <w:spacing w:after="0"/>
              <w:rPr>
                <w:sz w:val="20"/>
                <w:szCs w:val="20"/>
                <w:color w:val="auto"/>
              </w:rPr>
            </w:pPr>
            <w:r>
              <w:rPr>
                <w:rFonts w:ascii="Arial" w:cs="Arial" w:eastAsia="Arial" w:hAnsi="Arial"/>
                <w:sz w:val="16"/>
                <w:szCs w:val="16"/>
                <w:color w:val="auto"/>
              </w:rPr>
              <w:t>174,781</w:t>
            </w:r>
          </w:p>
        </w:tc>
        <w:tc>
          <w:tcPr>
            <w:tcW w:w="2280" w:type="dxa"/>
            <w:vAlign w:val="bottom"/>
          </w:tcPr>
          <w:p>
            <w:pPr>
              <w:spacing w:after="0"/>
              <w:rPr>
                <w:sz w:val="22"/>
                <w:szCs w:val="22"/>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169,048</w:t>
            </w:r>
          </w:p>
        </w:tc>
      </w:tr>
      <w:tr>
        <w:trPr>
          <w:trHeight w:val="33"/>
        </w:trPr>
        <w:tc>
          <w:tcPr>
            <w:tcW w:w="11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140" w:type="dxa"/>
            <w:vAlign w:val="bottom"/>
          </w:tcPr>
          <w:p>
            <w:pPr>
              <w:jc w:val="right"/>
              <w:ind w:right="59"/>
              <w:spacing w:after="0"/>
              <w:rPr>
                <w:sz w:val="20"/>
                <w:szCs w:val="20"/>
                <w:color w:val="auto"/>
              </w:rPr>
            </w:pPr>
            <w:r>
              <w:rPr>
                <w:rFonts w:ascii="Arial" w:cs="Arial" w:eastAsia="Arial" w:hAnsi="Arial"/>
                <w:sz w:val="16"/>
                <w:szCs w:val="16"/>
                <w:color w:val="auto"/>
              </w:rPr>
              <w:t>11,888,791</w:t>
            </w:r>
          </w:p>
        </w:tc>
        <w:tc>
          <w:tcPr>
            <w:tcW w:w="22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11,054,158</w:t>
            </w:r>
          </w:p>
        </w:tc>
      </w:tr>
      <w:tr>
        <w:trPr>
          <w:trHeight w:val="257"/>
        </w:trPr>
        <w:tc>
          <w:tcPr>
            <w:tcW w:w="1140" w:type="dxa"/>
            <w:vAlign w:val="bottom"/>
          </w:tcPr>
          <w:p>
            <w:pPr>
              <w:jc w:val="right"/>
              <w:ind w:right="59"/>
              <w:spacing w:after="0"/>
              <w:rPr>
                <w:sz w:val="20"/>
                <w:szCs w:val="20"/>
                <w:color w:val="auto"/>
              </w:rPr>
            </w:pPr>
            <w:r>
              <w:rPr>
                <w:rFonts w:ascii="Arial" w:cs="Arial" w:eastAsia="Arial" w:hAnsi="Arial"/>
                <w:sz w:val="16"/>
                <w:szCs w:val="16"/>
                <w:color w:val="auto"/>
              </w:rPr>
              <w:t>1,669,518</w:t>
            </w:r>
          </w:p>
        </w:tc>
        <w:tc>
          <w:tcPr>
            <w:tcW w:w="2280" w:type="dxa"/>
            <w:vAlign w:val="bottom"/>
          </w:tcPr>
          <w:p>
            <w:pPr>
              <w:spacing w:after="0"/>
              <w:rPr>
                <w:sz w:val="22"/>
                <w:szCs w:val="22"/>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1,504,532</w:t>
            </w:r>
          </w:p>
        </w:tc>
      </w:tr>
      <w:tr>
        <w:trPr>
          <w:trHeight w:val="33"/>
        </w:trPr>
        <w:tc>
          <w:tcPr>
            <w:tcW w:w="11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140" w:type="dxa"/>
            <w:vAlign w:val="bottom"/>
          </w:tcPr>
          <w:p>
            <w:pPr>
              <w:jc w:val="right"/>
              <w:ind w:right="59"/>
              <w:spacing w:after="0"/>
              <w:rPr>
                <w:sz w:val="20"/>
                <w:szCs w:val="20"/>
                <w:color w:val="auto"/>
              </w:rPr>
            </w:pPr>
            <w:r>
              <w:rPr>
                <w:rFonts w:ascii="Arial" w:cs="Arial" w:eastAsia="Arial" w:hAnsi="Arial"/>
                <w:sz w:val="16"/>
                <w:szCs w:val="16"/>
                <w:color w:val="auto"/>
              </w:rPr>
              <w:t>$  13,558,309</w:t>
            </w:r>
          </w:p>
        </w:tc>
        <w:tc>
          <w:tcPr>
            <w:tcW w:w="228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  12,558,690</w:t>
            </w:r>
          </w:p>
        </w:tc>
      </w:tr>
      <w:tr>
        <w:trPr>
          <w:trHeight w:val="33"/>
        </w:trPr>
        <w:tc>
          <w:tcPr>
            <w:tcW w:w="114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-865505</wp:posOffset>
            </wp:positionV>
            <wp:extent cx="711517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-539115</wp:posOffset>
            </wp:positionV>
            <wp:extent cx="71151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-205105</wp:posOffset>
            </wp:positionV>
            <wp:extent cx="7115175"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120015</wp:posOffset>
            </wp:positionV>
            <wp:extent cx="711517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186" w:lineRule="exact"/>
        <w:rPr>
          <w:sz w:val="20"/>
          <w:szCs w:val="20"/>
          <w:color w:val="auto"/>
        </w:rPr>
      </w:pPr>
    </w:p>
    <w:tbl>
      <w:tblPr>
        <w:tblLayout w:type="fixed"/>
        <w:tblInd w:w="1260" w:type="dxa"/>
        <w:tblCellMar>
          <w:top w:w="0" w:type="dxa"/>
          <w:left w:w="0" w:type="dxa"/>
          <w:bottom w:w="0" w:type="dxa"/>
          <w:right w:w="0" w:type="dxa"/>
        </w:tblCellMar>
      </w:tblPr>
      <w:tr>
        <w:trPr>
          <w:trHeight w:val="206"/>
        </w:trPr>
        <w:tc>
          <w:tcPr>
            <w:tcW w:w="1020" w:type="dxa"/>
            <w:vAlign w:val="bottom"/>
          </w:tcPr>
          <w:p>
            <w:pPr>
              <w:jc w:val="right"/>
              <w:ind w:right="79"/>
              <w:spacing w:after="0"/>
              <w:rPr>
                <w:sz w:val="20"/>
                <w:szCs w:val="20"/>
                <w:color w:val="auto"/>
              </w:rPr>
            </w:pPr>
            <w:r>
              <w:rPr>
                <w:rFonts w:ascii="Arial" w:cs="Arial" w:eastAsia="Arial" w:hAnsi="Arial"/>
                <w:sz w:val="16"/>
                <w:szCs w:val="16"/>
                <w:color w:val="auto"/>
              </w:rPr>
              <w:t>$   229,512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2"/>
          </w:tcPr>
          <w:p>
            <w:pPr>
              <w:jc w:val="right"/>
              <w:ind w:right="160"/>
              <w:spacing w:after="0"/>
              <w:rPr>
                <w:sz w:val="20"/>
                <w:szCs w:val="20"/>
                <w:color w:val="auto"/>
              </w:rPr>
            </w:pPr>
            <w:r>
              <w:rPr>
                <w:rFonts w:ascii="Arial" w:cs="Arial" w:eastAsia="Arial" w:hAnsi="Arial"/>
                <w:sz w:val="16"/>
                <w:szCs w:val="16"/>
                <w:color w:val="auto"/>
              </w:rPr>
              <w:t>$   234,738</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020" w:type="dxa"/>
            <w:vAlign w:val="bottom"/>
            <w:tcBorders>
              <w:bottom w:val="single" w:sz="8" w:color="auto"/>
            </w:tcBorders>
          </w:tcPr>
          <w:p>
            <w:pPr>
              <w:spacing w:after="0"/>
              <w:rPr>
                <w:sz w:val="2"/>
                <w:szCs w:val="2"/>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3.42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1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gridSpan w:val="2"/>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020" w:type="dxa"/>
            <w:vAlign w:val="bottom"/>
            <w:tcBorders>
              <w:top w:val="single" w:sz="8" w:color="auto"/>
            </w:tcBorders>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3.72</w:t>
            </w:r>
          </w:p>
        </w:tc>
        <w:tc>
          <w:tcPr>
            <w:tcW w:w="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880" w:type="dxa"/>
            <w:vAlign w:val="bottom"/>
            <w:gridSpan w:val="3"/>
          </w:tcPr>
          <w:p>
            <w:pPr>
              <w:jc w:val="right"/>
              <w:ind w:right="40"/>
              <w:spacing w:after="0"/>
              <w:rPr>
                <w:sz w:val="20"/>
                <w:szCs w:val="20"/>
                <w:color w:val="auto"/>
              </w:rPr>
            </w:pPr>
            <w:r>
              <w:rPr>
                <w:rFonts w:ascii="Arial" w:cs="Arial" w:eastAsia="Arial" w:hAnsi="Arial"/>
                <w:sz w:val="16"/>
                <w:szCs w:val="16"/>
                <w:color w:val="auto"/>
              </w:rPr>
              <w:t>3.73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3300" w:type="dxa"/>
            <w:vAlign w:val="bottom"/>
            <w:gridSpan w:val="4"/>
          </w:tcPr>
          <w:p>
            <w:pPr>
              <w:jc w:val="right"/>
              <w:ind w:right="20"/>
              <w:spacing w:after="0"/>
              <w:rPr>
                <w:sz w:val="20"/>
                <w:szCs w:val="20"/>
                <w:color w:val="auto"/>
              </w:rPr>
            </w:pPr>
            <w:r>
              <w:rPr>
                <w:rFonts w:ascii="Arial" w:cs="Arial" w:eastAsia="Arial" w:hAnsi="Arial"/>
                <w:sz w:val="16"/>
                <w:szCs w:val="16"/>
                <w:color w:val="auto"/>
              </w:rPr>
              <w:t>4.11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-213995</wp:posOffset>
            </wp:positionV>
            <wp:extent cx="7115175"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96850"/>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3780" w:space="720"/>
            <w:col w:w="6820"/>
          </w:cols>
          <w:pgMar w:left="220" w:top="1080" w:right="359" w:bottom="709" w:gutter="0" w:footer="0" w:header="0"/>
          <w:type w:val="continuous"/>
        </w:sectPr>
      </w:pPr>
    </w:p>
    <w:p>
      <w:pPr>
        <w:spacing w:after="0" w:line="90" w:lineRule="exact"/>
        <w:rPr>
          <w:sz w:val="20"/>
          <w:szCs w:val="20"/>
          <w:color w:val="auto"/>
        </w:rPr>
      </w:pPr>
    </w:p>
    <w:p>
      <w:pPr>
        <w:ind w:left="280" w:right="280" w:hanging="280"/>
        <w:spacing w:after="0" w:line="250" w:lineRule="auto"/>
        <w:tabs>
          <w:tab w:leader="none" w:pos="267" w:val="left"/>
        </w:tabs>
        <w:numPr>
          <w:ilvl w:val="0"/>
          <w:numId w:val="16"/>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260" w:hanging="260"/>
        <w:spacing w:after="0"/>
        <w:tabs>
          <w:tab w:leader="none" w:pos="260" w:val="left"/>
        </w:tabs>
        <w:numPr>
          <w:ilvl w:val="0"/>
          <w:numId w:val="16"/>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280" w:right="460" w:hanging="280"/>
        <w:spacing w:after="0" w:line="241" w:lineRule="auto"/>
        <w:tabs>
          <w:tab w:leader="none" w:pos="267" w:val="left"/>
        </w:tabs>
        <w:numPr>
          <w:ilvl w:val="0"/>
          <w:numId w:val="16"/>
        </w:numPr>
        <w:rPr>
          <w:rFonts w:ascii="Arial" w:cs="Arial" w:eastAsia="Arial" w:hAnsi="Arial"/>
          <w:sz w:val="9"/>
          <w:szCs w:val="9"/>
          <w:color w:val="auto"/>
        </w:rPr>
      </w:pPr>
      <w:r>
        <w:rPr>
          <w:rFonts w:ascii="Arial" w:cs="Arial" w:eastAsia="Arial" w:hAnsi="Arial"/>
          <w:sz w:val="14"/>
          <w:szCs w:val="14"/>
          <w:color w:val="auto"/>
        </w:rPr>
        <w:t>Securities available-for-sale are shown at amortized cost. Pretax unrealized gains of $59.6 million in 2020 and unrealized losses of $10.4 million in 2019 are included in other assets for purposes of this presentation.</w:t>
      </w:r>
    </w:p>
    <w:p>
      <w:pPr>
        <w:ind w:left="260" w:hanging="260"/>
        <w:spacing w:after="0"/>
        <w:tabs>
          <w:tab w:leader="none" w:pos="260" w:val="left"/>
        </w:tabs>
        <w:numPr>
          <w:ilvl w:val="0"/>
          <w:numId w:val="16"/>
        </w:numPr>
        <w:rPr>
          <w:rFonts w:ascii="Arial" w:cs="Arial" w:eastAsia="Arial" w:hAnsi="Arial"/>
          <w:sz w:val="9"/>
          <w:szCs w:val="9"/>
          <w:color w:val="auto"/>
        </w:rPr>
      </w:pPr>
      <w:r>
        <w:rPr>
          <w:rFonts w:ascii="Arial" w:cs="Arial" w:eastAsia="Arial" w:hAnsi="Arial"/>
          <w:sz w:val="14"/>
          <w:szCs w:val="14"/>
          <w:color w:val="auto"/>
        </w:rPr>
        <w:t>Net interest margin is taxable equivalent net-interest revenue divided by average interest-earning assets.</w:t>
      </w:r>
    </w:p>
    <w:p>
      <w:pPr>
        <w:spacing w:after="0" w:line="1" w:lineRule="exact"/>
        <w:rPr>
          <w:rFonts w:ascii="Arial" w:cs="Arial" w:eastAsia="Arial" w:hAnsi="Arial"/>
          <w:sz w:val="9"/>
          <w:szCs w:val="9"/>
          <w:color w:val="auto"/>
        </w:rPr>
      </w:pPr>
    </w:p>
    <w:p>
      <w:pPr>
        <w:ind w:left="260" w:hanging="260"/>
        <w:spacing w:after="0"/>
        <w:tabs>
          <w:tab w:leader="none" w:pos="260" w:val="left"/>
        </w:tabs>
        <w:numPr>
          <w:ilvl w:val="0"/>
          <w:numId w:val="16"/>
        </w:numPr>
        <w:rPr>
          <w:rFonts w:ascii="Arial" w:cs="Arial" w:eastAsia="Arial" w:hAnsi="Arial"/>
          <w:sz w:val="9"/>
          <w:szCs w:val="9"/>
          <w:color w:val="auto"/>
        </w:rPr>
      </w:pPr>
      <w:r>
        <w:rPr>
          <w:rFonts w:ascii="Arial" w:cs="Arial" w:eastAsia="Arial" w:hAnsi="Arial"/>
          <w:sz w:val="14"/>
          <w:szCs w:val="14"/>
          <w:color w:val="auto"/>
        </w:rPr>
        <w:t>Reflects reclassification of certain sweep deposits from money market to NOW and interest bearing demand during the third quarter of 2019.</w:t>
      </w:r>
    </w:p>
    <w:p>
      <w:pPr>
        <w:sectPr>
          <w:pgSz w:w="11900" w:h="16838" w:orient="portrait"/>
          <w:cols w:equalWidth="0" w:num="1">
            <w:col w:w="11320"/>
          </w:cols>
          <w:pgMar w:left="220" w:top="1080" w:right="359" w:bottom="7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97790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20" w:top="1080" w:right="359" w:bottom="709" w:gutter="0" w:footer="0" w:header="0"/>
          <w:type w:val="continuous"/>
        </w:sectPr>
      </w:pPr>
    </w:p>
    <w:bookmarkStart w:id="50" w:name="page51"/>
    <w:bookmarkEnd w:id="50"/>
    <w:p>
      <w:pPr>
        <w:jc w:val="both"/>
        <w:spacing w:after="0" w:line="263"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28" w:lineRule="exact"/>
        <w:rPr>
          <w:sz w:val="20"/>
          <w:szCs w:val="20"/>
          <w:color w:val="auto"/>
        </w:rPr>
      </w:pPr>
    </w:p>
    <w:p>
      <w:pPr>
        <w:ind w:left="20" w:right="5000"/>
        <w:spacing w:after="0" w:line="344"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9"/>
          </w:tcPr>
          <w:p>
            <w:pPr>
              <w:ind w:left="340"/>
              <w:spacing w:after="0"/>
              <w:rPr>
                <w:sz w:val="20"/>
                <w:szCs w:val="20"/>
                <w:color w:val="auto"/>
              </w:rPr>
            </w:pPr>
            <w:r>
              <w:rPr>
                <w:rFonts w:ascii="Arial" w:cs="Arial" w:eastAsia="Arial" w:hAnsi="Arial"/>
                <w:sz w:val="16"/>
                <w:szCs w:val="16"/>
                <w:b w:val="1"/>
                <w:bCs w:val="1"/>
                <w:color w:val="auto"/>
              </w:rPr>
              <w:t>Three Months Ended June 30, 2020</w:t>
            </w:r>
          </w:p>
        </w:tc>
        <w:tc>
          <w:tcPr>
            <w:tcW w:w="180" w:type="dxa"/>
            <w:vAlign w:val="bottom"/>
          </w:tcPr>
          <w:p>
            <w:pPr>
              <w:spacing w:after="0"/>
              <w:rPr>
                <w:sz w:val="18"/>
                <w:szCs w:val="18"/>
                <w:color w:val="auto"/>
              </w:rPr>
            </w:pPr>
          </w:p>
        </w:tc>
        <w:tc>
          <w:tcPr>
            <w:tcW w:w="3320" w:type="dxa"/>
            <w:vAlign w:val="bottom"/>
            <w:gridSpan w:val="7"/>
          </w:tcPr>
          <w:p>
            <w:pPr>
              <w:jc w:val="center"/>
              <w:ind w:right="99"/>
              <w:spacing w:after="0"/>
              <w:rPr>
                <w:sz w:val="20"/>
                <w:szCs w:val="20"/>
                <w:color w:val="auto"/>
              </w:rPr>
            </w:pPr>
            <w:r>
              <w:rPr>
                <w:rFonts w:ascii="Arial" w:cs="Arial" w:eastAsia="Arial" w:hAnsi="Arial"/>
                <w:sz w:val="16"/>
                <w:szCs w:val="16"/>
                <w:b w:val="1"/>
                <w:bCs w:val="1"/>
                <w:color w:val="auto"/>
                <w:w w:val="91"/>
              </w:rPr>
              <w:t>Six Months Ended June 30, 2020</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0"/>
              </w:rPr>
              <w:t>Compared to 2019</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60" w:type="dxa"/>
            <w:vAlign w:val="bottom"/>
            <w:gridSpan w:val="9"/>
          </w:tcPr>
          <w:p>
            <w:pPr>
              <w:jc w:val="center"/>
              <w:ind w:right="79"/>
              <w:spacing w:after="0"/>
              <w:rPr>
                <w:sz w:val="20"/>
                <w:szCs w:val="20"/>
                <w:color w:val="auto"/>
              </w:rPr>
            </w:pPr>
            <w:r>
              <w:rPr>
                <w:rFonts w:ascii="Arial" w:cs="Arial" w:eastAsia="Arial" w:hAnsi="Arial"/>
                <w:sz w:val="16"/>
                <w:szCs w:val="16"/>
                <w:b w:val="1"/>
                <w:bCs w:val="1"/>
                <w:color w:val="auto"/>
                <w:w w:val="89"/>
              </w:rPr>
              <w:t>Increase (Decrease) Due to Changes in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Volume</w:t>
            </w:r>
          </w:p>
        </w:tc>
        <w:tc>
          <w:tcPr>
            <w:tcW w:w="26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Rate</w:t>
            </w:r>
          </w:p>
        </w:tc>
        <w:tc>
          <w:tcPr>
            <w:tcW w:w="22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Loans (FTE)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(26,300)</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(29,399)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(9,821)</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(7,687)</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Tax-exempt securities (FTE)</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24"/>
        </w:trPr>
        <w:tc>
          <w:tcPr>
            <w:tcW w:w="4080" w:type="dxa"/>
            <w:vAlign w:val="bottom"/>
          </w:tcPr>
          <w:p>
            <w:pPr>
              <w:ind w:left="2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(15,238)</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80" w:type="dxa"/>
            <w:vAlign w:val="bottom"/>
          </w:tcPr>
          <w:p>
            <w:pPr>
              <w:ind w:left="20"/>
              <w:spacing w:after="0"/>
              <w:rPr>
                <w:sz w:val="20"/>
                <w:szCs w:val="20"/>
                <w:color w:val="auto"/>
              </w:rPr>
            </w:pPr>
            <w:r>
              <w:rPr>
                <w:rFonts w:ascii="Arial" w:cs="Arial" w:eastAsia="Arial" w:hAnsi="Arial"/>
                <w:sz w:val="16"/>
                <w:szCs w:val="16"/>
                <w:color w:val="auto"/>
              </w:rPr>
              <w:t xml:space="preserve">NOW and interest-bearing demand accounts </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(2,463)</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Money market accounts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Brokered deposits</w:t>
            </w: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(4,264)</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Arial" w:cs="Arial" w:eastAsia="Arial" w:hAnsi="Arial"/>
                <w:sz w:val="16"/>
                <w:szCs w:val="16"/>
                <w:color w:val="auto"/>
              </w:rPr>
              <w:t>Federal funds purchased &amp; other borrowings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17"/>
        </w:trPr>
        <w:tc>
          <w:tcPr>
            <w:tcW w:w="4080" w:type="dxa"/>
            <w:vAlign w:val="bottom"/>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(6,761)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(2,886)</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(10,012)</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80" w:type="dxa"/>
            <w:vAlign w:val="bottom"/>
          </w:tcPr>
          <w:p>
            <w:pPr>
              <w:ind w:left="340"/>
              <w:spacing w:after="0"/>
              <w:rPr>
                <w:sz w:val="20"/>
                <w:szCs w:val="20"/>
                <w:color w:val="auto"/>
              </w:rPr>
            </w:pPr>
            <w:r>
              <w:rPr>
                <w:rFonts w:ascii="Arial" w:cs="Arial" w:eastAsia="Arial" w:hAnsi="Arial"/>
                <w:sz w:val="16"/>
                <w:szCs w:val="16"/>
                <w:b w:val="1"/>
                <w:bCs w:val="1"/>
                <w:color w:val="auto"/>
              </w:rPr>
              <w:t>Increase in net interest revenue (FTE)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13,496</w:t>
            </w:r>
          </w:p>
        </w:tc>
        <w:tc>
          <w:tcPr>
            <w:tcW w:w="10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(21,823)</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(8,327)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20,109</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(25,335)</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(5,226)</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4"/>
          <w:szCs w:val="14"/>
          <w:color w:val="auto"/>
        </w:rPr>
        <w:t>Reflects reclassification of certain sweep deposits from money market to NOW and interest bearing demand during the third quarter of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January 1, 2020, the provision for credit losses was based on the then-applicable incurred loss model and represented an estimate of probable incurred losses in the loan portfolio and unfunded commitments at the end of each reporting period. Since the adoption of CECL on January 1, 2020, the provision for credit losses represents management’s estimate of life of loan credit losses in the loan portfolio and unfunded loan commitments. The allowance for unfunded commitments, which is included in other liabilities in the consolidated balance sheets, represents expected losses on unfunded loan commitments that are expected to result in outstanding loan balances. Management’s estimate of credit losses under CECL is determined using a complex model that relies on reasonable and supportable forecasts and historical loss information to determine the balance of the ACL and resulting provision for credit losses.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provision for credit losses was $33.5 million and $55.7 million, respectively, for the three and six months ended June 30, 2020, compared to $3.25 million and $6.55 million, respectively, for the same periods in 2019. The amount of provision recorded in each period was the amount required such that the total ACL reflected the appropriate balance as determined under the applicable accounting standards in effect at each balance sheet date. The increase in provision expense for the three and six months ended June 30, 2020 compared to the same periods of 2019 was primarily a result of higher expected credit losses mostly resulting from the adoption of CECL and the macroeconomic effects of the COVID-19 pandemic on our CECL calculation. Loan growth also contributed to the higher provision for credit losses.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2020, net loan charge-offs as an annualized percentage of average outstanding loans were 0.31% compared to 0.13% for the same period in 2019. The increase in charge-offs during the first six months of 2020 was mostly attributable to a few large credits that have been deteriorating over the past several quarters.</w:t>
      </w:r>
    </w:p>
    <w:p>
      <w:pPr>
        <w:sectPr>
          <w:pgSz w:w="11900" w:h="16838" w:orient="portrait"/>
          <w:cols w:equalWidth="0" w:num="1">
            <w:col w:w="11240"/>
          </w:cols>
          <w:pgMar w:left="320" w:top="935" w:right="339"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155" w:gutter="0" w:footer="0" w:header="0"/>
          <w:type w:val="continuous"/>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Additional discussion on credit quality and the ACL is included in the “Asset Quality and Risk Elements” section of Management’s Discussion and Analysis of Financial Condition and Results of Operations in this Quarterly Report on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5 - Noninterest Income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ind w:left="540"/>
              <w:spacing w:after="0"/>
              <w:rPr>
                <w:sz w:val="20"/>
                <w:szCs w:val="20"/>
                <w:color w:val="auto"/>
              </w:rPr>
            </w:pPr>
            <w:r>
              <w:rPr>
                <w:rFonts w:ascii="Arial" w:cs="Arial" w:eastAsia="Arial" w:hAnsi="Arial"/>
                <w:sz w:val="16"/>
                <w:szCs w:val="16"/>
                <w:b w:val="1"/>
                <w:bCs w:val="1"/>
                <w:color w:val="auto"/>
                <w:w w:val="88"/>
              </w:rPr>
              <w:t>Change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560"/>
              <w:spacing w:after="0"/>
              <w:rPr>
                <w:sz w:val="20"/>
                <w:szCs w:val="20"/>
                <w:color w:val="auto"/>
              </w:rPr>
            </w:pPr>
            <w:r>
              <w:rPr>
                <w:rFonts w:ascii="Arial" w:cs="Arial" w:eastAsia="Arial" w:hAnsi="Arial"/>
                <w:sz w:val="16"/>
                <w:szCs w:val="16"/>
                <w:b w:val="1"/>
                <w:bCs w:val="1"/>
                <w:color w:val="auto"/>
                <w:w w:val="88"/>
              </w:rPr>
              <w:t>Change</w:t>
            </w:r>
          </w:p>
        </w:tc>
        <w:tc>
          <w:tcPr>
            <w:tcW w:w="700" w:type="dxa"/>
            <w:vAlign w:val="bottom"/>
          </w:tcPr>
          <w:p>
            <w:pPr>
              <w:spacing w:after="0"/>
              <w:rPr>
                <w:sz w:val="18"/>
                <w:szCs w:val="18"/>
                <w:color w:val="auto"/>
              </w:rPr>
            </w:pPr>
          </w:p>
        </w:tc>
      </w:tr>
      <w:tr>
        <w:trPr>
          <w:trHeight w:val="33"/>
        </w:trPr>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79"/>
              <w:spacing w:after="0"/>
              <w:rPr>
                <w:sz w:val="20"/>
                <w:szCs w:val="20"/>
                <w:color w:val="auto"/>
              </w:rPr>
            </w:pPr>
            <w:r>
              <w:rPr>
                <w:rFonts w:ascii="Arial" w:cs="Arial" w:eastAsia="Arial" w:hAnsi="Arial"/>
                <w:sz w:val="16"/>
                <w:szCs w:val="16"/>
                <w:b w:val="1"/>
                <w:bCs w:val="1"/>
                <w:color w:val="auto"/>
                <w:w w:val="88"/>
              </w:rPr>
              <w:t>Percent</w:t>
            </w:r>
          </w:p>
        </w:tc>
      </w:tr>
      <w:tr>
        <w:trPr>
          <w:trHeight w:val="33"/>
        </w:trPr>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840" w:type="dxa"/>
            <w:vAlign w:val="bottom"/>
          </w:tcPr>
          <w:p>
            <w:pPr>
              <w:ind w:left="20"/>
              <w:spacing w:after="0"/>
              <w:rPr>
                <w:sz w:val="20"/>
                <w:szCs w:val="20"/>
                <w:color w:val="auto"/>
              </w:rPr>
            </w:pPr>
            <w:r>
              <w:rPr>
                <w:rFonts w:ascii="Arial" w:cs="Arial" w:eastAsia="Arial" w:hAnsi="Arial"/>
                <w:sz w:val="16"/>
                <w:szCs w:val="16"/>
                <w:color w:val="auto"/>
              </w:rPr>
              <w:t>Overdraft fees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1,997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3,473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5,516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6,928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33"/>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ATM and debit card fees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r>
      <w:tr>
        <w:trPr>
          <w:trHeight w:val="224"/>
        </w:trPr>
        <w:tc>
          <w:tcPr>
            <w:tcW w:w="2840" w:type="dxa"/>
            <w:vAlign w:val="bottom"/>
          </w:tcPr>
          <w:p>
            <w:pPr>
              <w:ind w:left="20"/>
              <w:spacing w:after="0"/>
              <w:rPr>
                <w:sz w:val="20"/>
                <w:szCs w:val="20"/>
                <w:color w:val="auto"/>
              </w:rPr>
            </w:pPr>
            <w:r>
              <w:rPr>
                <w:rFonts w:ascii="Arial" w:cs="Arial" w:eastAsia="Arial" w:hAnsi="Arial"/>
                <w:sz w:val="16"/>
                <w:szCs w:val="16"/>
                <w:color w:val="auto"/>
              </w:rPr>
              <w:t>Other service charges and fees</w:t>
            </w: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2,257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3,849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4,377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(12)</w:t>
            </w:r>
          </w:p>
        </w:tc>
      </w:tr>
      <w:tr>
        <w:trPr>
          <w:trHeight w:val="33"/>
        </w:trPr>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230"/>
        </w:trPr>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service charges and fees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Mortgage loan gains and related fees</w:t>
            </w: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23,659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5,344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18,315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31,969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9,092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22,877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252</w:t>
            </w:r>
          </w:p>
        </w:tc>
      </w:tr>
      <w:tr>
        <w:trPr>
          <w:trHeight w:val="33"/>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Brokerage fees</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w:t>
            </w:r>
          </w:p>
        </w:tc>
      </w:tr>
      <w:tr>
        <w:trPr>
          <w:trHeight w:val="224"/>
        </w:trPr>
        <w:tc>
          <w:tcPr>
            <w:tcW w:w="2840" w:type="dxa"/>
            <w:vAlign w:val="bottom"/>
          </w:tcPr>
          <w:p>
            <w:pPr>
              <w:ind w:left="20"/>
              <w:spacing w:after="0"/>
              <w:rPr>
                <w:sz w:val="20"/>
                <w:szCs w:val="20"/>
                <w:color w:val="auto"/>
              </w:rPr>
            </w:pPr>
            <w:r>
              <w:rPr>
                <w:rFonts w:ascii="Arial" w:cs="Arial" w:eastAsia="Arial" w:hAnsi="Arial"/>
                <w:sz w:val="16"/>
                <w:szCs w:val="16"/>
                <w:color w:val="auto"/>
              </w:rPr>
              <w:t>Gains on sales of other loans</w:t>
            </w: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1,470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2,773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(2)</w:t>
            </w:r>
          </w:p>
        </w:tc>
      </w:tr>
      <w:tr>
        <w:trPr>
          <w:trHeight w:val="33"/>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Securities gains (losses), net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Other noninterest income: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3"/>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Bank owned life insurance ("BOLI")</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57</w:t>
            </w:r>
          </w:p>
        </w:tc>
      </w:tr>
      <w:tr>
        <w:trPr>
          <w:trHeight w:val="224"/>
        </w:trPr>
        <w:tc>
          <w:tcPr>
            <w:tcW w:w="2840" w:type="dxa"/>
            <w:vAlign w:val="bottom"/>
          </w:tcPr>
          <w:p>
            <w:pPr>
              <w:ind w:left="120"/>
              <w:spacing w:after="0"/>
              <w:rPr>
                <w:sz w:val="20"/>
                <w:szCs w:val="20"/>
                <w:color w:val="auto"/>
              </w:rPr>
            </w:pPr>
            <w:r>
              <w:rPr>
                <w:rFonts w:ascii="Arial" w:cs="Arial" w:eastAsia="Arial" w:hAnsi="Arial"/>
                <w:sz w:val="16"/>
                <w:szCs w:val="16"/>
                <w:color w:val="auto"/>
              </w:rPr>
              <w:t>Customer derivatives</w:t>
            </w:r>
          </w:p>
        </w:tc>
        <w:tc>
          <w:tcPr>
            <w:tcW w:w="20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1,723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50</w:t>
            </w:r>
          </w:p>
        </w:tc>
      </w:tr>
      <w:tr>
        <w:trPr>
          <w:trHeight w:val="33"/>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7"/>
        </w:trPr>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r>
      <w:tr>
        <w:trPr>
          <w:trHeight w:val="217"/>
        </w:trPr>
        <w:tc>
          <w:tcPr>
            <w:tcW w:w="2840" w:type="dxa"/>
            <w:vAlign w:val="bottom"/>
          </w:tcPr>
          <w:p>
            <w:pPr>
              <w:ind w:left="220"/>
              <w:spacing w:after="0"/>
              <w:rPr>
                <w:sz w:val="20"/>
                <w:szCs w:val="20"/>
                <w:color w:val="auto"/>
              </w:rPr>
            </w:pPr>
            <w:r>
              <w:rPr>
                <w:rFonts w:ascii="Arial" w:cs="Arial" w:eastAsia="Arial" w:hAnsi="Arial"/>
                <w:sz w:val="16"/>
                <w:szCs w:val="16"/>
                <w:color w:val="auto"/>
              </w:rPr>
              <w:t>Total other noninterest income</w:t>
            </w: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7,220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12,772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13,314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(4)</w:t>
            </w:r>
          </w:p>
        </w:tc>
      </w:tr>
      <w:tr>
        <w:trPr>
          <w:trHeight w:val="33"/>
        </w:trPr>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272"/>
        </w:trPr>
        <w:tc>
          <w:tcPr>
            <w:tcW w:w="2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noninterest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40,238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24,531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15,707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66,052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45,499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20,553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and first six months of 2020 noninterest income increased $15.7 million and $20.6 million, respectively, compared to the same periods of 2019. The increase was primarily due to increases in mortgage loan gains and related fees and BOLI income, partially offset by a decrease in service charges and fees, gains on sales of other loans, and other noninterest income.</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Service charges and fees decreased $2.07 million and $1.88 million for the three and six months ended June 30, 2020, respectively, in comparison to the same periods of 2019, which is mostly attributable to a decrease in overdraft fees. Lower customer transaction volume due to the economic shutdown during the second quarter and first half of 2020, combined with government stimulus payments during the second quarter of 2020, increased the balances of customer deposit accounts, which in turn reduced the number of overdraft transactions.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Mortgage loan and related fees for the second quarter and first six months of 2020 reflected an increase in fees on mortgage rate locks and mortgage closings compared to the same periods of last year. The increase was driven by both higher demand due to a historically low interest rate environment and the organic growth of our mortgage business in existing and new markets. The low rate environment was partially attributable to the 150 basis point decrease in the national federal funds rate during the first quarter of 2020 in response to the COVID-19 pandemic. For the first six months of 2020, the increase in rate locks and closings was partially offset by negative fair value adjustments on the mortgage servicing rights asset due to the decrease in mortgage interest rates that resulted in an acceleration of prepayments.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rate locks during the second quarter of 2020 increased 106% to $802 million compared to $390 million in the second quarter of 2019. Mortgage production in the second quarter of 2020 also increased compared to the same period of 2019. We closed 2,095 mortgage loans totaling $562 million in the second quarter of 2020 compared with 1,082 mortgage loans totaling $260 million in the second quarter of 2019. We had $243 million in home purchase mortgage originations in the second quarter of 2020, which accounted for 43% of mortgage production volume, compared to $209 million, or 80% of production volume for the same period a year ago.</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Mortgage rate locks during the first six months of 2020 increased 128% to $1.60 billion in 2020 compared to $702 million for the same period of 2019. During the first six months of 2020, we closed 3,565 mortgage loans totaling $950 million compared to 1,845 loans totaling $440 million for the same period of last year. We had $462 million in home purchase mortgage originations in the first six months of 2020, which accounted for 49% of mortgage production volume. During the first six months of 2019, we had $325 million in home purchase originations, or 74%, of production volume.</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2" w:name="page53"/>
    <w:bookmarkEnd w:id="52"/>
    <w:p>
      <w:pPr>
        <w:jc w:val="both"/>
        <w:spacing w:after="0" w:line="288" w:lineRule="auto"/>
        <w:rPr>
          <w:sz w:val="20"/>
          <w:szCs w:val="20"/>
          <w:color w:val="auto"/>
        </w:rPr>
      </w:pPr>
      <w:r>
        <w:rPr>
          <w:rFonts w:ascii="Arial" w:cs="Arial" w:eastAsia="Arial" w:hAnsi="Arial"/>
          <w:sz w:val="16"/>
          <w:szCs w:val="16"/>
          <w:color w:val="auto"/>
        </w:rPr>
        <w:t>During the second quarter and first six months of 2020, we realized net gains on the sale of other loans of $1.04 million and $2.71 million, respectively, which included the sale of the guaranteed portion of SBA loans and the sale of certain equipment financing loans. During the second quarter and first six months of 2020, we sold $1.70 million and $23.9 million, respectively, of equipment financing loans, which resulted in gains of $20,000 and $1.28 million, respectively. Our SBA/USDA lending strategy includes selling a portion of the loan production each quarter. The amount of loans sold depends on several variables including the current lending environment and balance sheet management activities. During the first quarter of 2020, less-favorable pricing for these loans driven by COVID-19 related market disruption led to our decision to hold more of our production in portfolio, rather than sell to the secondary market until market conditions improved during the second quarter of 2020. In the second quarter and first six months of 2020, we sold the guaranteed portion of SBA loans in the amount of $14.0 million and $18.1 million, respectively, which resulted in gains of $1.02 million and $1.43 million, respectively. In the second quarter and first six months of 2019, we sold the guaranteed portion of SBA loans in the amount of $17.1 million and $34.2 million, respectively, which resulted in gains of $1.47 million and $2.77 million, respectively.</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second quarter of 2020, we recognized a death benefit gain of $1.10 million, resulting in an increase in BOLI income for the second quarter and first six months of 2020 compared to the same periods of 2019. Income from customer derivatives during the first six months of 2020 increased $865,000 compared to the same period of 2019 due to increased demand for fixed rates during the current low rate environment. During the second quarter of 2020, the demand-driven increase in customer derivative income was offset by an increase to the credit valuation adjustment on customer derivative positions resulting in a nominal reduction in income compared to the same period of 2019. Other noninterest income for the second quarter and first six months of 2020 decreased from the same periods of 2019 primarily due to negative fair value adjustments on deferred compensation plan assets and other investments and a decrease in other fee income.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6 - Noninterest Expenses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Percent</w:t>
            </w:r>
          </w:p>
        </w:tc>
        <w:tc>
          <w:tcPr>
            <w:tcW w:w="160" w:type="dxa"/>
            <w:vAlign w:val="bottom"/>
          </w:tcPr>
          <w:p>
            <w:pPr>
              <w:spacing w:after="0"/>
              <w:rPr>
                <w:sz w:val="18"/>
                <w:szCs w:val="18"/>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Salaries and employee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51,811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48,157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3,654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103,169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95,660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7,509</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color w:val="auto"/>
              </w:rPr>
              <w:t>Communications and equipment</w:t>
            </w:r>
          </w:p>
        </w:tc>
        <w:tc>
          <w:tcPr>
            <w:tcW w:w="18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6,556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6,222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334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12,502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12,010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492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Advertising and public relations</w:t>
            </w:r>
          </w:p>
        </w:tc>
        <w:tc>
          <w:tcPr>
            <w:tcW w:w="18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2,260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664</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652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Postage, printing and supplies</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8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4,823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4,054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769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7,215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1,705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Lending and loan servicing expense</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529</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color w:val="auto"/>
              </w:rPr>
              <w:t>Outside services - electronic banking</w:t>
            </w:r>
          </w:p>
        </w:tc>
        <w:tc>
          <w:tcPr>
            <w:tcW w:w="18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238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461</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FDIC assessments and other regulatory</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color w:val="auto"/>
              </w:rPr>
              <w:t>Amortization of core deposit intangibles</w:t>
            </w:r>
          </w:p>
        </w:tc>
        <w:tc>
          <w:tcPr>
            <w:tcW w:w="180" w:type="dxa"/>
            <w:vAlign w:val="bottom"/>
          </w:tcPr>
          <w:p>
            <w:pPr>
              <w:spacing w:after="0"/>
              <w:rPr>
                <w:sz w:val="19"/>
                <w:szCs w:val="19"/>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0"/>
        </w:trPr>
        <w:tc>
          <w:tcPr>
            <w:tcW w:w="3100" w:type="dxa"/>
            <w:vAlign w:val="bottom"/>
          </w:tcPr>
          <w:p>
            <w:pPr>
              <w:ind w:left="120"/>
              <w:spacing w:after="0"/>
              <w:rPr>
                <w:sz w:val="20"/>
                <w:szCs w:val="20"/>
                <w:color w:val="auto"/>
              </w:rPr>
            </w:pPr>
            <w:r>
              <w:rPr>
                <w:rFonts w:ascii="Arial" w:cs="Arial" w:eastAsia="Arial" w:hAnsi="Arial"/>
                <w:sz w:val="16"/>
                <w:szCs w:val="16"/>
                <w:color w:val="auto"/>
              </w:rPr>
              <w:t>Total excluding merger-related and other</w:t>
            </w: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3100" w:type="dxa"/>
            <w:vAlign w:val="bottom"/>
          </w:tcPr>
          <w:p>
            <w:pPr>
              <w:ind w:left="120"/>
              <w:spacing w:after="0"/>
              <w:rPr>
                <w:sz w:val="20"/>
                <w:szCs w:val="20"/>
                <w:color w:val="auto"/>
              </w:rPr>
            </w:pPr>
            <w:r>
              <w:rPr>
                <w:rFonts w:ascii="Arial" w:cs="Arial" w:eastAsia="Arial" w:hAnsi="Arial"/>
                <w:sz w:val="16"/>
                <w:szCs w:val="16"/>
                <w:color w:val="auto"/>
              </w:rPr>
              <w:t>charges</w:t>
            </w:r>
          </w:p>
        </w:tc>
        <w:tc>
          <w:tcPr>
            <w:tcW w:w="180" w:type="dxa"/>
            <w:vAlign w:val="bottom"/>
          </w:tcPr>
          <w:p>
            <w:pPr>
              <w:spacing w:after="0"/>
              <w:rPr>
                <w:sz w:val="17"/>
                <w:szCs w:val="17"/>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83,583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77,726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5,857</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164,313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w w:val="89"/>
              </w:rPr>
              <w:t>153,071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11,242</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r>
      <w:tr>
        <w:trPr>
          <w:trHeight w:val="33"/>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Merger-related and other charges</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color w:val="auto"/>
              </w:rPr>
              <w:t>Amortization of noncompete agreements</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2"/>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noninterest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83,980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81,813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2,167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165,518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157,897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7,621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expenses for the second quarter and first six months of 2020 totaled $84.0 million and $166 million, respectively, up 3% and 5%, respectively, from the same periods of 2019. Increases in salaries and employee benefits, professional fees, advertising and public relations, and lending and loan servicing expense partially offset by a decrease in merger-related and other charges and amortization of noncompete agreements accounted for much of the change in noninterest expense for the periods presented.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Salaries and employee benefits for the second quarter and first six months of 2020 increased 8% from same periods of 2019. The increase was a result of several contributing factors including merit-based salary increases awarded during the second quarter of 2020, increased mortgage commissions and incentives resulting from increased production, and an increase in overtime pay related to the</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3" w:name="page54"/>
    <w:bookmarkEnd w:id="53"/>
    <w:p>
      <w:pPr>
        <w:jc w:val="both"/>
        <w:spacing w:after="0" w:line="263" w:lineRule="auto"/>
        <w:rPr>
          <w:sz w:val="20"/>
          <w:szCs w:val="20"/>
          <w:color w:val="auto"/>
        </w:rPr>
      </w:pPr>
      <w:r>
        <w:rPr>
          <w:rFonts w:ascii="Arial" w:cs="Arial" w:eastAsia="Arial" w:hAnsi="Arial"/>
          <w:sz w:val="18"/>
          <w:szCs w:val="18"/>
          <w:color w:val="auto"/>
        </w:rPr>
        <w:t>processing of PPP loans. These increases in expense were offset by a decrease in bonus expense driven by the expectation of a lower payout based on financial results and higher deferred loan origination costs related to recording PPP loans in the second quarter of 2020. Full time equivalent headcount totaled 2,297 at June 30, 2020, down from 2,316 at June 30, 2019.</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professional fees for the second quarter and first six months of 2020 was mostly attributable to increases in legal and consulting fees related to various projects in process. Advertising and public relations expense for the three and six months ended June 30, 2020, increased relative to the same periods in 2019 resulting from a $1.00 million contribution to our newly formed private foundation, United Community Bank Foundation, during the second quarter of 2020. Lending and loan servicing expense increased mostly due to the increase in mortgage origination volume.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Merger-related and other charges for the second quarter of 2020 consisted primarily of merger-related expenses associated with the acquisition of Three Shores. The six months ended June 30, 2020 also included merger-related expenses associated with the acquisition of FMBT, severance, and branch closure costs. Merger-related and other charges for the three and six months of 2019 included FMBT merger-related expenses, branch closure costs, and executive retirement charges.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reduction of amortization of noncompete agreements was a result of the expiration of certain of these agreements since the second quarter of 2019.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Total assets at June 30, 2020 and December 31, 2019 were $15.0 billion and $12.9 billion, respectively. The increase in assets was primarily attributable to</w:t>
      </w:r>
    </w:p>
    <w:p>
      <w:pPr>
        <w:spacing w:after="0" w:line="46" w:lineRule="exact"/>
        <w:rPr>
          <w:sz w:val="20"/>
          <w:szCs w:val="20"/>
          <w:color w:val="auto"/>
        </w:rPr>
      </w:pPr>
    </w:p>
    <w:p>
      <w:pPr>
        <w:jc w:val="both"/>
        <w:ind w:firstLine="8"/>
        <w:spacing w:after="0" w:line="273" w:lineRule="auto"/>
        <w:tabs>
          <w:tab w:leader="none" w:pos="3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loan originations and other loan growth during the quarter. Much of the increase in customer deposits was directly attributable to the increase in PPP loans as many of the balances remained deposited in customer accounts through the end of the quarter. Average total assets for the second quarter of 2020 were $14.2 billion, up from $12.6 billion for the same period of 2019. Average total assets for the first six months of 2020 were $13.6 billion, up from $12.6 billion for the same period of 2019.</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 presents a summary of the loan portfolio, of which approximately 68% was secured by real estate at June 30, 2020.</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7 - Loans Outstanding</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 2020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w w:val="94"/>
              </w:rPr>
              <w:t>December 31, 2019</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17"/>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b w:val="1"/>
                <w:bCs w:val="1"/>
                <w:color w:val="auto"/>
              </w:rPr>
              <w:t>By Loan Type</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r>
      <w:tr>
        <w:trPr>
          <w:trHeight w:val="224"/>
        </w:trPr>
        <w:tc>
          <w:tcPr>
            <w:tcW w:w="5560" w:type="dxa"/>
            <w:vAlign w:val="bottom"/>
          </w:tcPr>
          <w:p>
            <w:pPr>
              <w:ind w:left="192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1,759,617</w:t>
            </w: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1,720,227</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2,177,857</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2,007,950</w:t>
            </w:r>
          </w:p>
        </w:tc>
        <w:tc>
          <w:tcPr>
            <w:tcW w:w="1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56"/>
        </w:trPr>
        <w:tc>
          <w:tcPr>
            <w:tcW w:w="5560" w:type="dxa"/>
            <w:vAlign w:val="bottom"/>
          </w:tcPr>
          <w:p>
            <w:pPr>
              <w:ind w:left="1920"/>
              <w:spacing w:after="0"/>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2,314,169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1,220,657</w:t>
            </w:r>
          </w:p>
        </w:tc>
        <w:tc>
          <w:tcPr>
            <w:tcW w:w="1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37"/>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Commercial construction</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945,748</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976,215</w:t>
            </w:r>
          </w:p>
        </w:tc>
        <w:tc>
          <w:tcPr>
            <w:tcW w:w="1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24"/>
        </w:trPr>
        <w:tc>
          <w:tcPr>
            <w:tcW w:w="5560" w:type="dxa"/>
            <w:vAlign w:val="bottom"/>
          </w:tcPr>
          <w:p>
            <w:pPr>
              <w:ind w:left="1920"/>
              <w:spacing w:after="0"/>
              <w:rPr>
                <w:sz w:val="20"/>
                <w:szCs w:val="20"/>
                <w:color w:val="auto"/>
              </w:rPr>
            </w:pPr>
            <w:r>
              <w:rPr>
                <w:rFonts w:ascii="Arial" w:cs="Arial" w:eastAsia="Arial" w:hAnsi="Arial"/>
                <w:sz w:val="16"/>
                <w:szCs w:val="16"/>
                <w:color w:val="auto"/>
              </w:rPr>
              <w:t>Equipment financing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778,749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744,544</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30"/>
        </w:trPr>
        <w:tc>
          <w:tcPr>
            <w:tcW w:w="556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Total commercial</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7,976,140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6,669,593</w:t>
            </w:r>
          </w:p>
        </w:tc>
        <w:tc>
          <w:tcPr>
            <w:tcW w:w="1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23"/>
        </w:trPr>
        <w:tc>
          <w:tcPr>
            <w:tcW w:w="5560" w:type="dxa"/>
            <w:vAlign w:val="bottom"/>
          </w:tcPr>
          <w:p>
            <w:pPr>
              <w:ind w:left="192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1,151,661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1,117,616</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6"/>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Home equity lines of credit</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653,798</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660,675</w:t>
            </w:r>
          </w:p>
        </w:tc>
        <w:tc>
          <w:tcPr>
            <w:tcW w:w="1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24"/>
        </w:trPr>
        <w:tc>
          <w:tcPr>
            <w:tcW w:w="5560" w:type="dxa"/>
            <w:vAlign w:val="bottom"/>
          </w:tcPr>
          <w:p>
            <w:pPr>
              <w:ind w:left="1920"/>
              <w:spacing w:after="0"/>
              <w:rPr>
                <w:sz w:val="20"/>
                <w:szCs w:val="20"/>
                <w:color w:val="auto"/>
              </w:rPr>
            </w:pPr>
            <w:r>
              <w:rPr>
                <w:rFonts w:ascii="Arial" w:cs="Arial" w:eastAsia="Arial" w:hAnsi="Arial"/>
                <w:sz w:val="16"/>
                <w:szCs w:val="16"/>
                <w:color w:val="auto"/>
              </w:rPr>
              <w:t>Residential construction</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230,231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236,437</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120,680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128,232</w:t>
            </w:r>
          </w:p>
        </w:tc>
        <w:tc>
          <w:tcPr>
            <w:tcW w:w="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r>
      <w:tr>
        <w:trPr>
          <w:trHeight w:val="247"/>
        </w:trPr>
        <w:tc>
          <w:tcPr>
            <w:tcW w:w="5560" w:type="dxa"/>
            <w:vAlign w:val="bottom"/>
          </w:tcPr>
          <w:p>
            <w:pPr>
              <w:ind w:left="2100"/>
              <w:spacing w:after="0"/>
              <w:rPr>
                <w:sz w:val="20"/>
                <w:szCs w:val="20"/>
                <w:color w:val="auto"/>
              </w:rPr>
            </w:pPr>
            <w:r>
              <w:rPr>
                <w:rFonts w:ascii="Arial" w:cs="Arial" w:eastAsia="Arial" w:hAnsi="Arial"/>
                <w:sz w:val="16"/>
                <w:szCs w:val="16"/>
                <w:color w:val="auto"/>
              </w:rPr>
              <w:t>Total loans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10,132,510</w:t>
            </w:r>
          </w:p>
        </w:tc>
        <w:tc>
          <w:tcPr>
            <w:tcW w:w="2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8,812,553</w:t>
            </w:r>
          </w:p>
        </w:tc>
        <w:tc>
          <w:tcPr>
            <w:tcW w:w="180" w:type="dxa"/>
            <w:vAlign w:val="bottom"/>
            <w:tcBorders>
              <w:top w:val="single" w:sz="8" w:color="auto"/>
              <w:bottom w:val="single" w:sz="8" w:color="auto"/>
            </w:tcBorders>
          </w:tcPr>
          <w:p>
            <w:pPr>
              <w:spacing w:after="0"/>
              <w:rPr>
                <w:sz w:val="21"/>
                <w:szCs w:val="21"/>
                <w:color w:val="auto"/>
              </w:rPr>
            </w:pPr>
          </w:p>
        </w:tc>
        <w:tc>
          <w:tcPr>
            <w:tcW w:w="1920" w:type="dxa"/>
            <w:vAlign w:val="bottom"/>
          </w:tcPr>
          <w:p>
            <w:pPr>
              <w:spacing w:after="0"/>
              <w:rPr>
                <w:sz w:val="21"/>
                <w:szCs w:val="2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r>
      <w:tr>
        <w:trPr>
          <w:trHeight w:val="186"/>
        </w:trPr>
        <w:tc>
          <w:tcPr>
            <w:tcW w:w="5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223"/>
        </w:trPr>
        <w:tc>
          <w:tcPr>
            <w:tcW w:w="5560" w:type="dxa"/>
            <w:vAlign w:val="bottom"/>
          </w:tcPr>
          <w:p>
            <w:pPr>
              <w:ind w:left="1920"/>
              <w:spacing w:after="0"/>
              <w:rPr>
                <w:sz w:val="20"/>
                <w:szCs w:val="20"/>
                <w:color w:val="auto"/>
              </w:rPr>
            </w:pPr>
            <w:r>
              <w:rPr>
                <w:rFonts w:ascii="Arial" w:cs="Arial" w:eastAsia="Arial" w:hAnsi="Arial"/>
                <w:sz w:val="16"/>
                <w:szCs w:val="16"/>
                <w:color w:val="auto"/>
              </w:rPr>
              <w:t>As a percentage of total loans: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920" w:type="dxa"/>
            <w:vAlign w:val="bottom"/>
            <w:tcBorders>
              <w:bottom w:val="single" w:sz="8" w:color="CCEEFF"/>
            </w:tcBorders>
            <w:shd w:val="clear" w:color="auto" w:fill="CCEEFF"/>
          </w:tcPr>
          <w:p>
            <w:pPr>
              <w:spacing w:after="0"/>
              <w:rPr>
                <w:sz w:val="20"/>
                <w:szCs w:val="20"/>
                <w:color w:val="auto"/>
              </w:rPr>
            </w:pPr>
          </w:p>
        </w:tc>
      </w:tr>
      <w:tr>
        <w:trPr>
          <w:trHeight w:val="224"/>
        </w:trPr>
        <w:tc>
          <w:tcPr>
            <w:tcW w:w="5560" w:type="dxa"/>
            <w:vAlign w:val="bottom"/>
          </w:tcPr>
          <w:p>
            <w:pPr>
              <w:ind w:left="192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6"/>
        </w:trPr>
        <w:tc>
          <w:tcPr>
            <w:tcW w:w="5560" w:type="dxa"/>
            <w:vAlign w:val="bottom"/>
            <w:shd w:val="clear" w:color="auto" w:fill="CCEEFF"/>
          </w:tcPr>
          <w:p>
            <w:pPr>
              <w:ind w:left="1920"/>
              <w:spacing w:after="0"/>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r>
      <w:tr>
        <w:trPr>
          <w:trHeight w:val="223"/>
        </w:trPr>
        <w:tc>
          <w:tcPr>
            <w:tcW w:w="5560" w:type="dxa"/>
            <w:vAlign w:val="bottom"/>
          </w:tcPr>
          <w:p>
            <w:pPr>
              <w:ind w:left="1920"/>
              <w:spacing w:after="0"/>
              <w:rPr>
                <w:sz w:val="20"/>
                <w:szCs w:val="20"/>
                <w:color w:val="auto"/>
              </w:rPr>
            </w:pPr>
            <w:r>
              <w:rPr>
                <w:rFonts w:ascii="Arial" w:cs="Arial" w:eastAsia="Arial" w:hAnsi="Arial"/>
                <w:sz w:val="16"/>
                <w:szCs w:val="16"/>
                <w:color w:val="auto"/>
              </w:rPr>
              <w:t>Commercial construction</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6"/>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Equipment financing</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r>
      <w:tr>
        <w:trPr>
          <w:trHeight w:val="217"/>
        </w:trPr>
        <w:tc>
          <w:tcPr>
            <w:tcW w:w="5560" w:type="dxa"/>
            <w:vAlign w:val="bottom"/>
          </w:tcPr>
          <w:p>
            <w:pPr>
              <w:ind w:left="210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80" w:type="dxa"/>
            <w:vAlign w:val="bottom"/>
            <w:tcBorders>
              <w:top w:val="single" w:sz="8" w:color="auto"/>
            </w:tcBorders>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Residential mortgage</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23"/>
        </w:trPr>
        <w:tc>
          <w:tcPr>
            <w:tcW w:w="5560" w:type="dxa"/>
            <w:vAlign w:val="bottom"/>
          </w:tcPr>
          <w:p>
            <w:pPr>
              <w:ind w:left="1920"/>
              <w:spacing w:after="0"/>
              <w:rPr>
                <w:sz w:val="20"/>
                <w:szCs w:val="20"/>
                <w:color w:val="auto"/>
              </w:rPr>
            </w:pPr>
            <w:r>
              <w:rPr>
                <w:rFonts w:ascii="Arial" w:cs="Arial" w:eastAsia="Arial" w:hAnsi="Arial"/>
                <w:sz w:val="16"/>
                <w:szCs w:val="16"/>
                <w:color w:val="auto"/>
              </w:rPr>
              <w:t>Home equity lines of credit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556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6"/>
                <w:szCs w:val="16"/>
                <w:color w:val="auto"/>
              </w:rPr>
              <w:t>Residential construction</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23"/>
        </w:trPr>
        <w:tc>
          <w:tcPr>
            <w:tcW w:w="5560" w:type="dxa"/>
            <w:vAlign w:val="bottom"/>
          </w:tcPr>
          <w:p>
            <w:pPr>
              <w:ind w:left="1920"/>
              <w:spacing w:after="0"/>
              <w:rPr>
                <w:sz w:val="20"/>
                <w:szCs w:val="20"/>
                <w:color w:val="auto"/>
              </w:rPr>
            </w:pPr>
            <w:r>
              <w:rPr>
                <w:rFonts w:ascii="Arial" w:cs="Arial" w:eastAsia="Arial" w:hAnsi="Arial"/>
                <w:sz w:val="16"/>
                <w:szCs w:val="16"/>
                <w:color w:val="auto"/>
              </w:rPr>
              <w:t>Consumer</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72"/>
        </w:trPr>
        <w:tc>
          <w:tcPr>
            <w:tcW w:w="556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920" w:type="dxa"/>
            <w:vAlign w:val="bottom"/>
            <w:tcBorders>
              <w:bottom w:val="single" w:sz="8" w:color="CCEEFF"/>
            </w:tcBorders>
            <w:shd w:val="clear" w:color="auto" w:fill="CCEEFF"/>
          </w:tcPr>
          <w:p>
            <w:pPr>
              <w:spacing w:after="0"/>
              <w:rPr>
                <w:sz w:val="23"/>
                <w:szCs w:val="23"/>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57"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June 30, 2020 included $1.10 billion of PPP loans.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of Directors approved portfolio concentration limits, establishing credit policies and procedures and enforcing the consistent application of these policies and procedures. Additional information on our credit administration function is included in Part I, Item 1 under the heading </w:t>
      </w:r>
      <w:r>
        <w:rPr>
          <w:rFonts w:ascii="Arial" w:cs="Arial" w:eastAsia="Arial" w:hAnsi="Arial"/>
          <w:sz w:val="18"/>
          <w:szCs w:val="18"/>
          <w:i w:val="1"/>
          <w:iCs w:val="1"/>
          <w:color w:val="auto"/>
        </w:rPr>
        <w:t>Lending Activities</w:t>
      </w:r>
      <w:r>
        <w:rPr>
          <w:rFonts w:ascii="Arial" w:cs="Arial" w:eastAsia="Arial" w:hAnsi="Arial"/>
          <w:sz w:val="18"/>
          <w:szCs w:val="18"/>
          <w:color w:val="auto"/>
        </w:rPr>
        <w:t xml:space="preserve"> in our 2019 10-K.</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classify loans as “substandard” when there is a well-defined weakness or weaknesses that jeopardizes the repayment by the borrower and there is a distinct possibility that we could sustain some loss if the deficiency is not corrected. Performing substandard loans, which are substandard loans that are still accruing interest, totaled $112 million and $125 million at June 30, 2020 and December 31, 2019, respectively.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at June 30, 2020 reflects management’s assessment of the life of loan expected credit losses in the loan portfolio and unfunded loan commitments. This assessment involves uncertainty and judgment and is subject to change in future periods. The amount of any changes could be significant if management’s assessment of loan quality or collateral values changes substantially with respect to one or more loan relationships or portfolios. The allocation of the ACL is based on reasonable and supportable forecasts,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historical data, subjective judgment and estimates and therefore, is not necessarily indicative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credit losses.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ACL, which includes a portion related to unfunded commitments, totaled $116 million at June 30, 2020, compared with $65.5 million at December 31, 2019. At June 30, 2020, the ACL for loans was $104 million, or 1.02% of loans, compared with $62.1 million, or 0.70% of total loans, at December 31, 2019. The adoption of CECL on January 1, 2020 added $6.88 million to the ACL for loans and $1.87 million to the reserve for unfunded commitments resulting in a total ACL of $74.3 million at the time of adoption. The increase since adoption primarily reflects higher expected credit losses resulting from the COVID-19 pandemic as well as the impact of loan growth during 2020. The impact of loan growth on the ACL was partially mitigated by the fact that PPP loans were considered low risk assets due to the related 100% guarantee by the SBA.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following table presents a summary of the changes in the ACL for the periods indicated.</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8 - ACL</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right"/>
              <w:ind w:right="459"/>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7"/>
                <w:szCs w:val="17"/>
                <w:color w:val="auto"/>
              </w:rPr>
            </w:pPr>
          </w:p>
        </w:tc>
      </w:tr>
      <w:tr>
        <w:trPr>
          <w:trHeight w:val="210"/>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 loans, beginning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81,905</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61,642</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62,089</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6"/>
                <w:szCs w:val="16"/>
                <w:color w:val="auto"/>
              </w:rPr>
              <w:t>Adoption of CECL</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 loans, adjusted beginning balance</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81,905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61,642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68,969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6"/>
                <w:szCs w:val="16"/>
                <w:color w:val="auto"/>
              </w:rPr>
              <w:t>Charge-offs: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5740" w:type="dxa"/>
            <w:vAlign w:val="bottom"/>
          </w:tcPr>
          <w:p>
            <w:pPr>
              <w:ind w:left="1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505</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Commercial &amp; industrial</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1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5740" w:type="dxa"/>
            <w:vAlign w:val="bottom"/>
          </w:tcPr>
          <w:p>
            <w:pPr>
              <w:ind w:left="12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5740" w:type="dxa"/>
            <w:vAlign w:val="bottom"/>
          </w:tcPr>
          <w:p>
            <w:pPr>
              <w:ind w:left="12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12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377</w:t>
            </w:r>
          </w:p>
        </w:tc>
        <w:tc>
          <w:tcPr>
            <w:tcW w:w="180" w:type="dxa"/>
            <w:vAlign w:val="bottom"/>
          </w:tcPr>
          <w:p>
            <w:pPr>
              <w:spacing w:after="0"/>
              <w:rPr>
                <w:sz w:val="19"/>
                <w:szCs w:val="19"/>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loans charged-off</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18,864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04"/>
        </w:trPr>
        <w:tc>
          <w:tcPr>
            <w:tcW w:w="5740" w:type="dxa"/>
            <w:vAlign w:val="bottom"/>
          </w:tcPr>
          <w:p>
            <w:pPr>
              <w:ind w:left="20"/>
              <w:spacing w:after="0"/>
              <w:rPr>
                <w:sz w:val="20"/>
                <w:szCs w:val="20"/>
                <w:color w:val="auto"/>
              </w:rPr>
            </w:pPr>
            <w:r>
              <w:rPr>
                <w:rFonts w:ascii="Arial" w:cs="Arial" w:eastAsia="Arial" w:hAnsi="Arial"/>
                <w:sz w:val="16"/>
                <w:szCs w:val="16"/>
                <w:color w:val="auto"/>
              </w:rPr>
              <w:t>Recoveries:</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1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Commercial &amp; industrial</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120"/>
              <w:spacing w:after="0"/>
              <w:rPr>
                <w:sz w:val="20"/>
                <w:szCs w:val="20"/>
                <w:color w:val="auto"/>
              </w:rPr>
            </w:pPr>
            <w:r>
              <w:rPr>
                <w:rFonts w:ascii="Arial" w:cs="Arial" w:eastAsia="Arial" w:hAnsi="Arial"/>
                <w:sz w:val="16"/>
                <w:szCs w:val="16"/>
                <w:color w:val="auto"/>
              </w:rPr>
              <w:t>Commercial construction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557</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12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282</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12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12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19"/>
                <w:szCs w:val="19"/>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17"/>
        </w:trPr>
        <w:tc>
          <w:tcPr>
            <w:tcW w:w="5740" w:type="dxa"/>
            <w:vAlign w:val="bottom"/>
          </w:tcPr>
          <w:p>
            <w:pPr>
              <w:ind w:left="220"/>
              <w:spacing w:after="0"/>
              <w:rPr>
                <w:sz w:val="20"/>
                <w:szCs w:val="20"/>
                <w:color w:val="auto"/>
              </w:rPr>
            </w:pPr>
            <w:r>
              <w:rPr>
                <w:rFonts w:ascii="Arial" w:cs="Arial" w:eastAsia="Arial" w:hAnsi="Arial"/>
                <w:sz w:val="16"/>
                <w:szCs w:val="16"/>
                <w:color w:val="auto"/>
              </w:rPr>
              <w:t>Net charge-offs</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6,149</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2,438</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14,263</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5,568</w:t>
            </w:r>
          </w:p>
        </w:tc>
        <w:tc>
          <w:tcPr>
            <w:tcW w:w="180" w:type="dxa"/>
            <w:vAlign w:val="bottom"/>
            <w:tcBorders>
              <w:top w:val="single" w:sz="8" w:color="auto"/>
            </w:tcBorders>
          </w:tcPr>
          <w:p>
            <w:pPr>
              <w:spacing w:after="0"/>
              <w:rPr>
                <w:sz w:val="18"/>
                <w:szCs w:val="18"/>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credit losses - loans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27,913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6,569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6"/>
                <w:szCs w:val="16"/>
                <w:color w:val="auto"/>
              </w:rPr>
              <w:t>ACL - loans, end of period</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103,669</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62,204</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103,669</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62,204</w:t>
            </w:r>
          </w:p>
        </w:tc>
        <w:tc>
          <w:tcPr>
            <w:tcW w:w="180" w:type="dxa"/>
            <w:vAlign w:val="bottom"/>
            <w:tcBorders>
              <w:top w:val="single" w:sz="8" w:color="auto"/>
            </w:tcBorders>
          </w:tcPr>
          <w:p>
            <w:pPr>
              <w:spacing w:after="0"/>
              <w:rPr>
                <w:sz w:val="18"/>
                <w:szCs w:val="18"/>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6"/>
        </w:trPr>
        <w:tc>
          <w:tcPr>
            <w:tcW w:w="5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6"/>
                <w:szCs w:val="16"/>
                <w:color w:val="auto"/>
              </w:rPr>
              <w:t>ACL - unfunded commitments, beginning of period</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3,410</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Adoption of CECL</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6"/>
                <w:szCs w:val="16"/>
                <w:color w:val="auto"/>
              </w:rPr>
              <w:t>ACL - unfunded commitments, adjusted beginning balance</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6,470</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5,329</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3,410</w:t>
            </w:r>
          </w:p>
        </w:tc>
        <w:tc>
          <w:tcPr>
            <w:tcW w:w="180" w:type="dxa"/>
            <w:vAlign w:val="bottom"/>
            <w:tcBorders>
              <w:top w:val="single" w:sz="8" w:color="auto"/>
            </w:tcBorders>
          </w:tcPr>
          <w:p>
            <w:pPr>
              <w:spacing w:after="0"/>
              <w:rPr>
                <w:sz w:val="18"/>
                <w:szCs w:val="18"/>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Provision for credit losses - unfunded commitments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6"/>
                <w:szCs w:val="16"/>
                <w:color w:val="auto"/>
              </w:rPr>
              <w:t>ACL - unfunded commitments, end of period</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12,100</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12,100</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3,391</w:t>
            </w:r>
          </w:p>
        </w:tc>
        <w:tc>
          <w:tcPr>
            <w:tcW w:w="180" w:type="dxa"/>
            <w:vAlign w:val="bottom"/>
            <w:tcBorders>
              <w:top w:val="single" w:sz="8" w:color="auto"/>
            </w:tcBorders>
          </w:tcPr>
          <w:p>
            <w:pPr>
              <w:spacing w:after="0"/>
              <w:rPr>
                <w:sz w:val="18"/>
                <w:szCs w:val="18"/>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6"/>
        </w:trPr>
        <w:tc>
          <w:tcPr>
            <w:tcW w:w="57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r>
      <w:tr>
        <w:trPr>
          <w:trHeight w:val="247"/>
        </w:trPr>
        <w:tc>
          <w:tcPr>
            <w:tcW w:w="5740" w:type="dxa"/>
            <w:vAlign w:val="bottom"/>
          </w:tcPr>
          <w:p>
            <w:pPr>
              <w:ind w:left="20"/>
              <w:spacing w:after="0"/>
              <w:rPr>
                <w:sz w:val="20"/>
                <w:szCs w:val="20"/>
                <w:color w:val="auto"/>
              </w:rPr>
            </w:pPr>
            <w:r>
              <w:rPr>
                <w:rFonts w:ascii="Arial" w:cs="Arial" w:eastAsia="Arial" w:hAnsi="Arial"/>
                <w:sz w:val="16"/>
                <w:szCs w:val="16"/>
                <w:color w:val="auto"/>
              </w:rPr>
              <w:t>Total ACL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115,769</w:t>
            </w:r>
          </w:p>
        </w:tc>
        <w:tc>
          <w:tcPr>
            <w:tcW w:w="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65,595</w:t>
            </w:r>
          </w:p>
        </w:tc>
        <w:tc>
          <w:tcPr>
            <w:tcW w:w="5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115,769</w:t>
            </w:r>
          </w:p>
        </w:tc>
        <w:tc>
          <w:tcPr>
            <w:tcW w:w="6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65,595</w:t>
            </w:r>
          </w:p>
        </w:tc>
        <w:tc>
          <w:tcPr>
            <w:tcW w:w="180" w:type="dxa"/>
            <w:vAlign w:val="bottom"/>
          </w:tcPr>
          <w:p>
            <w:pPr>
              <w:spacing w:after="0"/>
              <w:rPr>
                <w:sz w:val="21"/>
                <w:szCs w:val="2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5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6"/>
                <w:szCs w:val="16"/>
                <w:color w:val="auto"/>
              </w:rPr>
              <w:t>Total loans: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At period-end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10,132,510</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8,838,218</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10,132,510</w:t>
            </w:r>
          </w:p>
        </w:tc>
        <w:tc>
          <w:tcPr>
            <w:tcW w:w="6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8,838,218</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740" w:type="dxa"/>
            <w:vAlign w:val="bottom"/>
          </w:tcPr>
          <w:p>
            <w:pPr>
              <w:ind w:left="120"/>
              <w:spacing w:after="0"/>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9,772,703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8,669,847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9,300,792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8,550,574</w:t>
            </w: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 loans, as a percentage of period-end loans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740" w:type="dxa"/>
            <w:vAlign w:val="bottom"/>
          </w:tcPr>
          <w:p>
            <w:pPr>
              <w:ind w:left="20"/>
              <w:spacing w:after="0"/>
              <w:rPr>
                <w:sz w:val="20"/>
                <w:szCs w:val="20"/>
                <w:color w:val="auto"/>
              </w:rPr>
            </w:pPr>
            <w:r>
              <w:rPr>
                <w:rFonts w:ascii="Arial" w:cs="Arial" w:eastAsia="Arial" w:hAnsi="Arial"/>
                <w:sz w:val="16"/>
                <w:szCs w:val="16"/>
                <w:color w:val="auto"/>
              </w:rPr>
              <w:t>As a percentage of average loans (annualized):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5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5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charge-offs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5740" w:type="dxa"/>
            <w:vAlign w:val="bottom"/>
          </w:tcPr>
          <w:p>
            <w:pPr>
              <w:ind w:left="120"/>
              <w:spacing w:after="0"/>
              <w:rPr>
                <w:sz w:val="20"/>
                <w:szCs w:val="20"/>
                <w:color w:val="auto"/>
              </w:rPr>
            </w:pPr>
            <w:r>
              <w:rPr>
                <w:rFonts w:ascii="Arial" w:cs="Arial" w:eastAsia="Arial" w:hAnsi="Arial"/>
                <w:sz w:val="16"/>
                <w:szCs w:val="16"/>
                <w:color w:val="auto"/>
              </w:rPr>
              <w:t>Provision for credit losses - loans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0.15</w:t>
            </w:r>
          </w:p>
        </w:tc>
        <w:tc>
          <w:tcPr>
            <w:tcW w:w="1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935" w:right="359" w:bottom="6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682"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Nonperforming assets (“NPAs”), which include nonaccrual loans and foreclosed properties, totaled $48.5 million at June 30, 2020, compared with $35.8 million at December 31, 2019. The increase in NPAs since December 31, 2019 is a result of an increase in nonaccrual loans. Specifically, there were a few large substandard credits that reached nonaccrual status during the second quarter of 2020. In addition, when we adopted CECL on January 1, 2020, we elected to disaggregate the former Purchased Credit Impaired (“PCI”) pools and no longer consider the loan pool to be the unit of account. Reporting these contractually delinquent Purchased Credit Deteriorated (“PCD”) loans as nonaccrual loans using the same criteria as other loans contributed $2.54 million to the increase in nonaccrual loans since December 31, 2019.</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policy is to place loans on nonaccrual status when, in the opinion of management, the full principal and interest on a loan is not likely to be collected or when the loan becomes 90 days past due and is not well-collateralized or in the process of collection. When a loan is placed on nonaccrual status, interest previously accrued but not collected is reversed against current interest revenue. Interest payments received on nonaccrual loans are applied to reduce the loan’s amortized cost. Loans are returned to accrual status when all the principal and interest amounts contractually due are brought current, there is a sustained period of repayment performance and future payments are reasonably assured.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NPAs.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9 - NPAs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2"/>
              </w:rPr>
              <w:t>December 31,</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0"/>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17"/>
        </w:trPr>
        <w:tc>
          <w:tcPr>
            <w:tcW w:w="69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Nonaccrual loans:</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r>
      <w:tr>
        <w:trPr>
          <w:trHeight w:val="223"/>
        </w:trPr>
        <w:tc>
          <w:tcPr>
            <w:tcW w:w="6980" w:type="dxa"/>
            <w:vAlign w:val="bottom"/>
          </w:tcPr>
          <w:p>
            <w:pPr>
              <w:ind w:left="16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10,544</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11,274</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3"/>
        </w:trPr>
        <w:tc>
          <w:tcPr>
            <w:tcW w:w="6980" w:type="dxa"/>
            <w:vAlign w:val="bottom"/>
          </w:tcPr>
          <w:p>
            <w:pPr>
              <w:ind w:left="168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2,545</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3"/>
        </w:trPr>
        <w:tc>
          <w:tcPr>
            <w:tcW w:w="6980" w:type="dxa"/>
            <w:vAlign w:val="bottom"/>
          </w:tcPr>
          <w:p>
            <w:pPr>
              <w:ind w:left="168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3,141</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30,825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20,503</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3"/>
        </w:trPr>
        <w:tc>
          <w:tcPr>
            <w:tcW w:w="6980" w:type="dxa"/>
            <w:vAlign w:val="bottom"/>
          </w:tcPr>
          <w:p>
            <w:pPr>
              <w:ind w:left="16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10,567</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69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4"/>
        </w:trPr>
        <w:tc>
          <w:tcPr>
            <w:tcW w:w="6980" w:type="dxa"/>
            <w:vAlign w:val="bottom"/>
          </w:tcPr>
          <w:p>
            <w:pPr>
              <w:ind w:left="16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939</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6"/>
        </w:trPr>
        <w:tc>
          <w:tcPr>
            <w:tcW w:w="69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17"/>
        </w:trPr>
        <w:tc>
          <w:tcPr>
            <w:tcW w:w="6980" w:type="dxa"/>
            <w:vAlign w:val="bottom"/>
          </w:tcPr>
          <w:p>
            <w:pPr>
              <w:ind w:left="1760"/>
              <w:spacing w:after="0"/>
              <w:rPr>
                <w:sz w:val="20"/>
                <w:szCs w:val="20"/>
                <w:color w:val="auto"/>
              </w:rPr>
            </w:pPr>
            <w:r>
              <w:rPr>
                <w:rFonts w:ascii="Arial" w:cs="Arial" w:eastAsia="Arial" w:hAnsi="Arial"/>
                <w:sz w:val="16"/>
                <w:szCs w:val="16"/>
                <w:color w:val="auto"/>
              </w:rPr>
              <w:t>Total nonaccrual loans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48,021</w:t>
            </w: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35,341</w:t>
            </w:r>
          </w:p>
        </w:tc>
        <w:tc>
          <w:tcPr>
            <w:tcW w:w="16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Foreclosed properties/other real estate owned ("OREO")</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47"/>
        </w:trPr>
        <w:tc>
          <w:tcPr>
            <w:tcW w:w="6980" w:type="dxa"/>
            <w:vAlign w:val="bottom"/>
          </w:tcPr>
          <w:p>
            <w:pPr>
              <w:ind w:left="1760"/>
              <w:spacing w:after="0"/>
              <w:rPr>
                <w:sz w:val="20"/>
                <w:szCs w:val="20"/>
                <w:color w:val="auto"/>
              </w:rPr>
            </w:pPr>
            <w:r>
              <w:rPr>
                <w:rFonts w:ascii="Arial" w:cs="Arial" w:eastAsia="Arial" w:hAnsi="Arial"/>
                <w:sz w:val="16"/>
                <w:szCs w:val="16"/>
                <w:color w:val="auto"/>
              </w:rPr>
              <w:t>Total NPAs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48,498</w:t>
            </w:r>
          </w:p>
        </w:tc>
        <w:tc>
          <w:tcPr>
            <w:tcW w:w="1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35,817</w:t>
            </w:r>
          </w:p>
        </w:tc>
        <w:tc>
          <w:tcPr>
            <w:tcW w:w="160" w:type="dxa"/>
            <w:vAlign w:val="bottom"/>
            <w:tcBorders>
              <w:top w:val="single" w:sz="8" w:color="auto"/>
              <w:bottom w:val="single" w:sz="8" w:color="auto"/>
            </w:tcBorders>
          </w:tcPr>
          <w:p>
            <w:pPr>
              <w:spacing w:after="0"/>
              <w:rPr>
                <w:sz w:val="21"/>
                <w:szCs w:val="21"/>
                <w:color w:val="auto"/>
              </w:rPr>
            </w:pPr>
          </w:p>
        </w:tc>
        <w:tc>
          <w:tcPr>
            <w:tcW w:w="1580" w:type="dxa"/>
            <w:vAlign w:val="bottom"/>
          </w:tcPr>
          <w:p>
            <w:pPr>
              <w:spacing w:after="0"/>
              <w:rPr>
                <w:sz w:val="21"/>
                <w:szCs w:val="2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r>
      <w:tr>
        <w:trPr>
          <w:trHeight w:val="186"/>
        </w:trPr>
        <w:tc>
          <w:tcPr>
            <w:tcW w:w="6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24"/>
        </w:trPr>
        <w:tc>
          <w:tcPr>
            <w:tcW w:w="6980" w:type="dxa"/>
            <w:vAlign w:val="bottom"/>
          </w:tcPr>
          <w:p>
            <w:pPr>
              <w:ind w:left="1580"/>
              <w:spacing w:after="0"/>
              <w:rPr>
                <w:sz w:val="20"/>
                <w:szCs w:val="20"/>
                <w:color w:val="auto"/>
              </w:rPr>
            </w:pPr>
            <w:r>
              <w:rPr>
                <w:rFonts w:ascii="Arial" w:cs="Arial" w:eastAsia="Arial" w:hAnsi="Arial"/>
                <w:sz w:val="16"/>
                <w:szCs w:val="16"/>
                <w:color w:val="auto"/>
              </w:rPr>
              <w:t>Nonaccrual loans as a percentage of total loans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580" w:type="dxa"/>
            <w:vAlign w:val="bottom"/>
          </w:tcPr>
          <w:p>
            <w:pPr>
              <w:spacing w:after="0"/>
              <w:rPr>
                <w:sz w:val="19"/>
                <w:szCs w:val="19"/>
                <w:color w:val="auto"/>
              </w:rPr>
            </w:pPr>
          </w:p>
        </w:tc>
      </w:tr>
      <w:tr>
        <w:trPr>
          <w:trHeight w:val="33"/>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6"/>
        </w:trPr>
        <w:tc>
          <w:tcPr>
            <w:tcW w:w="69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NPAs as a percentage of total loans and OREO</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24"/>
        </w:trPr>
        <w:tc>
          <w:tcPr>
            <w:tcW w:w="6980" w:type="dxa"/>
            <w:vAlign w:val="bottom"/>
          </w:tcPr>
          <w:p>
            <w:pPr>
              <w:ind w:left="1580"/>
              <w:spacing w:after="0"/>
              <w:rPr>
                <w:sz w:val="20"/>
                <w:szCs w:val="20"/>
                <w:color w:val="auto"/>
              </w:rPr>
            </w:pPr>
            <w:r>
              <w:rPr>
                <w:rFonts w:ascii="Arial" w:cs="Arial" w:eastAsia="Arial" w:hAnsi="Arial"/>
                <w:sz w:val="16"/>
                <w:szCs w:val="16"/>
                <w:color w:val="auto"/>
              </w:rPr>
              <w:t>NPAs as a percentage of total assets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0.28</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3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2020 and December 31, 2019, we had $50.4 million and $54.2 million, respectively, in loans with terms that have been modified in TDRs. Included therein were $15.4 million and $8.25 million, respectively, of TDRs that were classified as nonaccrual and were included in nonperforming loans. The remaining TDRs with an aggregate balance of $35.0 million and $46.0 million, respectively, were performing according to their modified terms and were therefore not considered to be nonperforming assets. As previously mentioned, the CARES Act granted temporary relief from TDR classification for certain loans restructured as a result of</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COVID-19. During the first and second quarters of 2020 we received a significant amount of payment deferral requests from our borrowers related to the economic disruption created by COVID-19, most of which are exempt from TDR classification in the short term. As of June 30, 2020, we had granted short-term deferrals on loans that were not reported as new TDRs of $1.76 billion. For more information, see Note 4 - Loans and Leases and Allowance for Credit Losses in the consolidated financial statements.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and December 31, 2019, we had debt securities held-to-maturity with a carrying amount of $307 million and $284 million, respectively, and debt securities available-for-sale totaling $2.13 billion and $2.27 billion, respectively. At June 30, 2020 and December 31, 2019, the securities portfolio represented approximately 16% and 20%, respectively, of total assets.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and asset-backed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we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CECL, our held-to-maturity securities portfolio was evaluated to assess whether an ACL was required. We measure expected credit losses on held-to-maturity debt securities on a collective basis by major security type. The estimate of expected credit losses considers historical credit loss information that is adjusted for current conditions and reasonable and supportable forecasts. At adoption on January 1, 2020 and at June 30, 2020, calculated credit losses on held-to-maturity debt securities were not material due to the high credit quality of the portfolio, which included securities issued or guaranteed by U.S. Government agencies and high credit quality municipal securities. As a result, we did not record an ACL for held-to-maturity securities at adoption or at June 30, 2020.</w:t>
      </w:r>
    </w:p>
    <w:p>
      <w:pPr>
        <w:spacing w:after="0" w:line="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available-for-sale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other comprehensive income. At June 30, 2020, there was no ACL related to the available-for-sale portfolio. Losses on fixed income securities at June 30, 2020 primarily reflected the effect of changes in interest rates.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Goodwill represents the premium paid for acquired companies above the net fair value of the assets acquired and liabilities assumed, including separately identifiable intangible assets. At June 30, 2020 and December 31, 2019, the net carrying amount of goodwill was $327 million. Goodwill is not amortized but is assessed for impairment on an annual basis, or more often if events or circumstances indicate there may be impairment, referred to as a triggering event. Upon the occurrence of a triggering event, accounting guidance allows for an assessment of qualitative factors to determine whether it is more likely than not, or a greater than 50% likelihood, that the fair value of the entity is less than its carrying amount, including goodwill. When it is more likely than not that impairment has occurred, management is required to perform a quantitative analysis and, if necessary, adjust the carrying amount of goodwill by recording a goodwill impairment loss. During the latter part of the first quarter and the second quarter of 2020, as a result of market concerns about the potential impact of COVID-19, our stock price declined such that it traded below book value. As a result of this triggering event, we have qualitatively assessed and concluded that there is not a greater than 50% likelihood that our fair value is less than our carrying amount as of June 30, 2020, given the anticipated short duration of the change in macroeconomic conditions and excess of value as of the latest annual test performed as of September 30, 2019. We will continue to monitor and assess the impact of the pandemic on our value and, should conditions be more severe and/or recovery extend for a longer period than currently anticipated, our assessment may change, which could necessitate the write-down or write-off of goodwill or other intangible assets.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jc w:val="both"/>
        <w:spacing w:after="0" w:line="263" w:lineRule="auto"/>
        <w:rPr>
          <w:sz w:val="20"/>
          <w:szCs w:val="20"/>
          <w:color w:val="auto"/>
        </w:rPr>
      </w:pPr>
      <w:r>
        <w:rPr>
          <w:rFonts w:ascii="Arial" w:cs="Arial" w:eastAsia="Arial" w:hAnsi="Arial"/>
          <w:sz w:val="18"/>
          <w:szCs w:val="18"/>
          <w:color w:val="auto"/>
        </w:rPr>
        <w:t>Core deposit intangibles, representing the value of acquired deposit relationships, are amortizing intangible assets that are required to be tested for impairment only when events or circumstances indicate that impairment may exist. There were no events or circumstances that led us to believe that any impairment existed on core deposit intangible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Customer deposits are the primary source of funds for the continued growth of our earning assets. Our high level of service, as evidenced by our strong customer satisfaction scores, has been instrumental in attracting and retaining customer deposit accounts. At June 30, 2020, the increase in core transaction deposits was partly attributable to PPP-related deposits. The following table sets forth the deposit composition for the periods indicated.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18"/>
                <w:szCs w:val="18"/>
                <w:color w:val="auto"/>
              </w:rPr>
            </w:pPr>
          </w:p>
        </w:tc>
        <w:tc>
          <w:tcPr>
            <w:tcW w:w="32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Noninterest-bearing demand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4,689,545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3,477,979</w:t>
            </w:r>
          </w:p>
        </w:tc>
        <w:tc>
          <w:tcPr>
            <w:tcW w:w="1480" w:type="dxa"/>
            <w:vAlign w:val="bottom"/>
            <w:tcBorders>
              <w:bottom w:val="single" w:sz="8" w:color="CCEEFF"/>
            </w:tcBorders>
            <w:shd w:val="clear" w:color="auto" w:fill="CCEEFF"/>
          </w:tcPr>
          <w:p>
            <w:pPr>
              <w:spacing w:after="0"/>
              <w:rPr>
                <w:sz w:val="20"/>
                <w:szCs w:val="20"/>
                <w:color w:val="auto"/>
              </w:rPr>
            </w:pPr>
          </w:p>
        </w:tc>
      </w:tr>
      <w:tr>
        <w:trPr>
          <w:trHeight w:val="224"/>
        </w:trPr>
        <w:tc>
          <w:tcPr>
            <w:tcW w:w="5580" w:type="dxa"/>
            <w:vAlign w:val="bottom"/>
          </w:tcPr>
          <w:p>
            <w:pPr>
              <w:ind w:left="1580"/>
              <w:spacing w:after="0"/>
              <w:rPr>
                <w:sz w:val="20"/>
                <w:szCs w:val="20"/>
                <w:color w:val="auto"/>
              </w:rPr>
            </w:pPr>
            <w:r>
              <w:rPr>
                <w:rFonts w:ascii="Arial" w:cs="Arial" w:eastAsia="Arial" w:hAnsi="Arial"/>
                <w:sz w:val="16"/>
                <w:szCs w:val="16"/>
                <w:color w:val="auto"/>
              </w:rPr>
              <w:t>NOW and interest-bearing demand</w:t>
            </w:r>
          </w:p>
        </w:tc>
        <w:tc>
          <w:tcPr>
            <w:tcW w:w="28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2,582,831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2,461,895</w:t>
            </w:r>
          </w:p>
        </w:tc>
        <w:tc>
          <w:tcPr>
            <w:tcW w:w="1480" w:type="dxa"/>
            <w:vAlign w:val="bottom"/>
          </w:tcPr>
          <w:p>
            <w:pPr>
              <w:spacing w:after="0"/>
              <w:rPr>
                <w:sz w:val="19"/>
                <w:szCs w:val="19"/>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55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Money market and savings</w:t>
            </w: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3,453,687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2,937,095</w:t>
            </w:r>
          </w:p>
        </w:tc>
        <w:tc>
          <w:tcPr>
            <w:tcW w:w="1480" w:type="dxa"/>
            <w:vAlign w:val="bottom"/>
            <w:tcBorders>
              <w:bottom w:val="single" w:sz="8" w:color="CCEEFF"/>
            </w:tcBorders>
            <w:shd w:val="clear" w:color="auto" w:fill="CCEEFF"/>
          </w:tcPr>
          <w:p>
            <w:pPr>
              <w:spacing w:after="0"/>
              <w:rPr>
                <w:sz w:val="20"/>
                <w:szCs w:val="20"/>
                <w:color w:val="auto"/>
              </w:rPr>
            </w:pPr>
          </w:p>
        </w:tc>
      </w:tr>
      <w:tr>
        <w:trPr>
          <w:trHeight w:val="223"/>
        </w:trPr>
        <w:tc>
          <w:tcPr>
            <w:tcW w:w="5580" w:type="dxa"/>
            <w:vAlign w:val="bottom"/>
          </w:tcPr>
          <w:p>
            <w:pPr>
              <w:ind w:left="1580"/>
              <w:spacing w:after="0"/>
              <w:rPr>
                <w:sz w:val="20"/>
                <w:szCs w:val="20"/>
                <w:color w:val="auto"/>
              </w:rPr>
            </w:pPr>
            <w:r>
              <w:rPr>
                <w:rFonts w:ascii="Arial" w:cs="Arial" w:eastAsia="Arial" w:hAnsi="Arial"/>
                <w:sz w:val="16"/>
                <w:szCs w:val="16"/>
                <w:color w:val="auto"/>
              </w:rPr>
              <w:t>Time</w:t>
            </w:r>
          </w:p>
        </w:tc>
        <w:tc>
          <w:tcPr>
            <w:tcW w:w="28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1,751,091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1,859,574</w:t>
            </w:r>
          </w:p>
        </w:tc>
        <w:tc>
          <w:tcPr>
            <w:tcW w:w="1480" w:type="dxa"/>
            <w:vAlign w:val="bottom"/>
          </w:tcPr>
          <w:p>
            <w:pPr>
              <w:spacing w:after="0"/>
              <w:rPr>
                <w:sz w:val="19"/>
                <w:szCs w:val="19"/>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Total customer deposits</w:t>
            </w: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12,477,154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10,736,543</w:t>
            </w:r>
          </w:p>
        </w:tc>
        <w:tc>
          <w:tcPr>
            <w:tcW w:w="1480" w:type="dxa"/>
            <w:vAlign w:val="bottom"/>
            <w:tcBorders>
              <w:bottom w:val="single" w:sz="8" w:color="CCEEFF"/>
            </w:tcBorders>
            <w:shd w:val="clear" w:color="auto" w:fill="CCEEFF"/>
          </w:tcPr>
          <w:p>
            <w:pPr>
              <w:spacing w:after="0"/>
              <w:rPr>
                <w:sz w:val="20"/>
                <w:szCs w:val="20"/>
                <w:color w:val="auto"/>
              </w:rPr>
            </w:pPr>
          </w:p>
        </w:tc>
      </w:tr>
      <w:tr>
        <w:trPr>
          <w:trHeight w:val="223"/>
        </w:trPr>
        <w:tc>
          <w:tcPr>
            <w:tcW w:w="5580" w:type="dxa"/>
            <w:vAlign w:val="bottom"/>
          </w:tcPr>
          <w:p>
            <w:pPr>
              <w:ind w:left="1580"/>
              <w:spacing w:after="0"/>
              <w:rPr>
                <w:sz w:val="20"/>
                <w:szCs w:val="20"/>
                <w:color w:val="auto"/>
              </w:rPr>
            </w:pPr>
            <w:r>
              <w:rPr>
                <w:rFonts w:ascii="Arial" w:cs="Arial" w:eastAsia="Arial" w:hAnsi="Arial"/>
                <w:sz w:val="16"/>
                <w:szCs w:val="16"/>
                <w:color w:val="auto"/>
              </w:rPr>
              <w:t>Brokered deposits</w:t>
            </w:r>
          </w:p>
        </w:tc>
        <w:tc>
          <w:tcPr>
            <w:tcW w:w="28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224,931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ind w:right="59"/>
              <w:spacing w:after="0"/>
              <w:rPr>
                <w:sz w:val="20"/>
                <w:szCs w:val="20"/>
                <w:color w:val="auto"/>
              </w:rPr>
            </w:pPr>
            <w:r>
              <w:rPr>
                <w:rFonts w:ascii="Arial" w:cs="Arial" w:eastAsia="Arial" w:hAnsi="Arial"/>
                <w:sz w:val="16"/>
                <w:szCs w:val="16"/>
                <w:color w:val="auto"/>
              </w:rPr>
              <w:t>160,701</w:t>
            </w:r>
          </w:p>
        </w:tc>
        <w:tc>
          <w:tcPr>
            <w:tcW w:w="1480" w:type="dxa"/>
            <w:vAlign w:val="bottom"/>
          </w:tcPr>
          <w:p>
            <w:pPr>
              <w:spacing w:after="0"/>
              <w:rPr>
                <w:sz w:val="19"/>
                <w:szCs w:val="19"/>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72"/>
        </w:trPr>
        <w:tc>
          <w:tcPr>
            <w:tcW w:w="5580" w:type="dxa"/>
            <w:vAlign w:val="bottom"/>
            <w:tcBorders>
              <w:bottom w:val="single" w:sz="8" w:color="CCEEFF"/>
            </w:tcBorders>
            <w:shd w:val="clear" w:color="auto" w:fill="CCEEFF"/>
          </w:tcPr>
          <w:p>
            <w:pPr>
              <w:ind w:left="1680"/>
              <w:spacing w:after="0"/>
              <w:rPr>
                <w:sz w:val="20"/>
                <w:szCs w:val="20"/>
                <w:color w:val="auto"/>
              </w:rPr>
            </w:pPr>
            <w:r>
              <w:rPr>
                <w:rFonts w:ascii="Arial" w:cs="Arial" w:eastAsia="Arial" w:hAnsi="Arial"/>
                <w:sz w:val="16"/>
                <w:szCs w:val="16"/>
                <w:color w:val="auto"/>
              </w:rPr>
              <w:t>Total deposits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12,702,085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10,897,244</w:t>
            </w:r>
          </w:p>
        </w:tc>
        <w:tc>
          <w:tcPr>
            <w:tcW w:w="1480" w:type="dxa"/>
            <w:vAlign w:val="bottom"/>
            <w:tcBorders>
              <w:bottom w:val="single" w:sz="8" w:color="CCEEFF"/>
            </w:tcBorders>
            <w:shd w:val="clear" w:color="auto" w:fill="CCEEFF"/>
          </w:tcPr>
          <w:p>
            <w:pPr>
              <w:spacing w:after="0"/>
              <w:rPr>
                <w:sz w:val="23"/>
                <w:szCs w:val="23"/>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2020 and December 31, 2019, we had long-term debt outstanding of $312 million and $213 million, respectively, which includes senior debentures, subordinated debentures, and trust preferred securities. During the second quarter of 2020 we issued $100 million of 5% fixed-to-floating rate senior debentures with a maturity date of June 15, 2030. The proceeds generated from the issuance of these debentures will be used for general business purposes. See Note 7 to the consolidated financial statements for additional information regarding long-term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contractual obligations since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21 to the</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consolidated financial statements included in our 2019 10-K and Note 14 to the consolidated financial statements in this Form 10-Q for additional information on off-balance sheet arrangements.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We limit our exposure to fluctuations in interest rates through policies established by our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cannot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Interest Sensitivity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00" w:type="dxa"/>
            <w:vAlign w:val="bottom"/>
            <w:gridSpan w:val="8"/>
          </w:tcPr>
          <w:p>
            <w:pPr>
              <w:jc w:val="center"/>
              <w:ind w:right="1620"/>
              <w:spacing w:after="0"/>
              <w:rPr>
                <w:sz w:val="20"/>
                <w:szCs w:val="20"/>
                <w:color w:val="auto"/>
              </w:rPr>
            </w:pPr>
            <w:r>
              <w:rPr>
                <w:rFonts w:ascii="Arial" w:cs="Arial" w:eastAsia="Arial" w:hAnsi="Arial"/>
                <w:sz w:val="16"/>
                <w:szCs w:val="16"/>
                <w:b w:val="1"/>
                <w:bCs w:val="1"/>
                <w:color w:val="auto"/>
                <w:w w:val="90"/>
              </w:rPr>
              <w:t>Increase (Decrease) in Net Interest Revenue from Base</w:t>
            </w:r>
          </w:p>
        </w:tc>
      </w:tr>
      <w:tr>
        <w:trPr>
          <w:trHeight w:val="210"/>
        </w:trPr>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Scenario at</w:t>
            </w:r>
          </w:p>
        </w:tc>
        <w:tc>
          <w:tcPr>
            <w:tcW w:w="10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15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620" w:type="dxa"/>
            <w:vAlign w:val="bottom"/>
          </w:tcPr>
          <w:p>
            <w:pPr>
              <w:spacing w:after="0"/>
              <w:rPr>
                <w:sz w:val="2"/>
                <w:szCs w:val="2"/>
                <w:color w:val="auto"/>
              </w:rPr>
            </w:pPr>
          </w:p>
        </w:tc>
      </w:tr>
      <w:tr>
        <w:trPr>
          <w:trHeight w:val="217"/>
        </w:trPr>
        <w:tc>
          <w:tcPr>
            <w:tcW w:w="1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ind w:left="560"/>
              <w:spacing w:after="0"/>
              <w:rPr>
                <w:sz w:val="20"/>
                <w:szCs w:val="20"/>
                <w:color w:val="auto"/>
              </w:rPr>
            </w:pPr>
            <w:r>
              <w:rPr>
                <w:rFonts w:ascii="Arial" w:cs="Arial" w:eastAsia="Arial" w:hAnsi="Arial"/>
                <w:sz w:val="16"/>
                <w:szCs w:val="16"/>
                <w:b w:val="1"/>
                <w:bCs w:val="1"/>
                <w:color w:val="auto"/>
              </w:rPr>
              <w:t>June 30, 2020</w:t>
            </w:r>
          </w:p>
        </w:tc>
        <w:tc>
          <w:tcPr>
            <w:tcW w:w="3720" w:type="dxa"/>
            <w:vAlign w:val="bottom"/>
            <w:gridSpan w:val="4"/>
          </w:tcPr>
          <w:p>
            <w:pPr>
              <w:ind w:left="40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1580" w:type="dxa"/>
            <w:vAlign w:val="bottom"/>
          </w:tcPr>
          <w:p>
            <w:pPr>
              <w:spacing w:after="0"/>
              <w:rPr>
                <w:sz w:val="2"/>
                <w:szCs w:val="2"/>
                <w:color w:val="auto"/>
              </w:rPr>
            </w:pPr>
          </w:p>
        </w:tc>
        <w:tc>
          <w:tcPr>
            <w:tcW w:w="3720" w:type="dxa"/>
            <w:vAlign w:val="bottom"/>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20" w:type="dxa"/>
            <w:vAlign w:val="bottom"/>
          </w:tcPr>
          <w:p>
            <w:pPr>
              <w:spacing w:after="0"/>
              <w:rPr>
                <w:sz w:val="2"/>
                <w:szCs w:val="2"/>
                <w:color w:val="auto"/>
              </w:rPr>
            </w:pPr>
          </w:p>
        </w:tc>
      </w:tr>
      <w:tr>
        <w:trPr>
          <w:trHeight w:val="217"/>
        </w:trPr>
        <w:tc>
          <w:tcPr>
            <w:tcW w:w="1580" w:type="dxa"/>
            <w:vAlign w:val="bottom"/>
          </w:tcPr>
          <w:p>
            <w:pPr>
              <w:spacing w:after="0"/>
              <w:rPr>
                <w:sz w:val="18"/>
                <w:szCs w:val="18"/>
                <w:color w:val="auto"/>
              </w:rPr>
            </w:pPr>
          </w:p>
        </w:tc>
        <w:tc>
          <w:tcPr>
            <w:tcW w:w="3720" w:type="dxa"/>
            <w:vAlign w:val="bottom"/>
            <w:gridSpan w:val="2"/>
          </w:tcPr>
          <w:p>
            <w:pPr>
              <w:ind w:left="1240"/>
              <w:spacing w:after="0"/>
              <w:rPr>
                <w:sz w:val="20"/>
                <w:szCs w:val="20"/>
                <w:color w:val="auto"/>
              </w:rPr>
            </w:pPr>
            <w:r>
              <w:rPr>
                <w:rFonts w:ascii="Arial" w:cs="Arial" w:eastAsia="Arial" w:hAnsi="Arial"/>
                <w:sz w:val="16"/>
                <w:szCs w:val="16"/>
                <w:b w:val="1"/>
                <w:bCs w:val="1"/>
                <w:color w:val="auto"/>
              </w:rPr>
              <w:t>Change in Rates</w:t>
            </w:r>
          </w:p>
        </w:tc>
        <w:tc>
          <w:tcPr>
            <w:tcW w:w="1100" w:type="dxa"/>
            <w:vAlign w:val="bottom"/>
            <w:gridSpan w:val="2"/>
          </w:tcPr>
          <w:p>
            <w:pPr>
              <w:ind w:left="280"/>
              <w:spacing w:after="0"/>
              <w:rPr>
                <w:sz w:val="20"/>
                <w:szCs w:val="20"/>
                <w:color w:val="auto"/>
              </w:rPr>
            </w:pPr>
            <w:r>
              <w:rPr>
                <w:rFonts w:ascii="Arial" w:cs="Arial" w:eastAsia="Arial" w:hAnsi="Arial"/>
                <w:sz w:val="16"/>
                <w:szCs w:val="16"/>
                <w:b w:val="1"/>
                <w:bCs w:val="1"/>
                <w:color w:val="auto"/>
              </w:rPr>
              <w:t>Shock</w:t>
            </w:r>
          </w:p>
        </w:tc>
        <w:tc>
          <w:tcPr>
            <w:tcW w:w="1080" w:type="dxa"/>
            <w:vAlign w:val="bottom"/>
            <w:gridSpan w:val="2"/>
          </w:tcPr>
          <w:p>
            <w:pPr>
              <w:ind w:left="280"/>
              <w:spacing w:after="0"/>
              <w:rPr>
                <w:sz w:val="20"/>
                <w:szCs w:val="20"/>
                <w:color w:val="auto"/>
              </w:rPr>
            </w:pPr>
            <w:r>
              <w:rPr>
                <w:rFonts w:ascii="Arial" w:cs="Arial" w:eastAsia="Arial" w:hAnsi="Arial"/>
                <w:sz w:val="16"/>
                <w:szCs w:val="16"/>
                <w:b w:val="1"/>
                <w:bCs w:val="1"/>
                <w:color w:val="auto"/>
              </w:rPr>
              <w:t>Ramp</w:t>
            </w:r>
          </w:p>
        </w:tc>
        <w:tc>
          <w:tcPr>
            <w:tcW w:w="1100" w:type="dxa"/>
            <w:vAlign w:val="bottom"/>
            <w:gridSpan w:val="2"/>
          </w:tcPr>
          <w:p>
            <w:pPr>
              <w:ind w:left="280"/>
              <w:spacing w:after="0"/>
              <w:rPr>
                <w:sz w:val="20"/>
                <w:szCs w:val="20"/>
                <w:color w:val="auto"/>
              </w:rPr>
            </w:pPr>
            <w:r>
              <w:rPr>
                <w:rFonts w:ascii="Arial" w:cs="Arial" w:eastAsia="Arial" w:hAnsi="Arial"/>
                <w:sz w:val="16"/>
                <w:szCs w:val="16"/>
                <w:b w:val="1"/>
                <w:bCs w:val="1"/>
                <w:color w:val="auto"/>
              </w:rPr>
              <w:t>Shock</w:t>
            </w:r>
          </w:p>
        </w:tc>
        <w:tc>
          <w:tcPr>
            <w:tcW w:w="2620" w:type="dxa"/>
            <w:vAlign w:val="bottom"/>
            <w:gridSpan w:val="2"/>
          </w:tcPr>
          <w:p>
            <w:pPr>
              <w:ind w:left="280"/>
              <w:spacing w:after="0"/>
              <w:rPr>
                <w:sz w:val="20"/>
                <w:szCs w:val="20"/>
                <w:color w:val="auto"/>
              </w:rPr>
            </w:pPr>
            <w:r>
              <w:rPr>
                <w:rFonts w:ascii="Arial" w:cs="Arial" w:eastAsia="Arial" w:hAnsi="Arial"/>
                <w:sz w:val="16"/>
                <w:szCs w:val="16"/>
                <w:b w:val="1"/>
                <w:bCs w:val="1"/>
                <w:color w:val="auto"/>
              </w:rPr>
              <w:t>Ramp</w:t>
            </w:r>
          </w:p>
        </w:tc>
      </w:tr>
      <w:tr>
        <w:trPr>
          <w:trHeight w:val="33"/>
        </w:trPr>
        <w:tc>
          <w:tcPr>
            <w:tcW w:w="158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r>
      <w:tr>
        <w:trPr>
          <w:trHeight w:val="230"/>
        </w:trPr>
        <w:tc>
          <w:tcPr>
            <w:tcW w:w="15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increase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3.05 %</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24"/>
        </w:trPr>
        <w:tc>
          <w:tcPr>
            <w:tcW w:w="1580" w:type="dxa"/>
            <w:vAlign w:val="bottom"/>
          </w:tcPr>
          <w:p>
            <w:pPr>
              <w:spacing w:after="0"/>
              <w:rPr>
                <w:sz w:val="19"/>
                <w:szCs w:val="19"/>
                <w:color w:val="auto"/>
              </w:rPr>
            </w:pPr>
          </w:p>
        </w:tc>
        <w:tc>
          <w:tcPr>
            <w:tcW w:w="372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(0.73)</w:t>
            </w:r>
          </w:p>
        </w:tc>
        <w:tc>
          <w:tcPr>
            <w:tcW w:w="120" w:type="dxa"/>
            <w:vAlign w:val="bottom"/>
          </w:tcPr>
          <w:p>
            <w:pPr>
              <w:spacing w:after="0"/>
              <w:rPr>
                <w:sz w:val="19"/>
                <w:szCs w:val="19"/>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(0.72)</w:t>
            </w:r>
          </w:p>
        </w:tc>
        <w:tc>
          <w:tcPr>
            <w:tcW w:w="10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9"/>
                <w:szCs w:val="19"/>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(3.92)</w:t>
            </w:r>
          </w:p>
        </w:tc>
        <w:tc>
          <w:tcPr>
            <w:tcW w:w="1620" w:type="dxa"/>
            <w:vAlign w:val="bottom"/>
          </w:tcPr>
          <w:p>
            <w:pPr>
              <w:spacing w:after="0"/>
              <w:rPr>
                <w:sz w:val="19"/>
                <w:szCs w:val="19"/>
                <w:color w:val="auto"/>
              </w:rPr>
            </w:pPr>
          </w:p>
        </w:tc>
      </w:tr>
    </w:tbl>
    <w:p>
      <w:pPr>
        <w:spacing w:after="0" w:line="3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Holding Company liquidity is managed to a minimum of 15-months of positive cash flow after considering all of its liquidity needs over this period.</w:t>
      </w:r>
    </w:p>
    <w:p>
      <w:pPr>
        <w:spacing w:after="0" w:line="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2020, we had sufficient qualifying collateral to provide borrowing capacity for FHLB advances of $1.40 billion and Federal Reserve discount window borrowing capacity of $1.42 billion, as well as unpledged investment securities of $1.91 billion that could be used as collateral for additional borrowings. In addition to these wholesale sources, we have the ability to attract retail deposits by competing more aggressively on pricing. In the second quarter of 2020, we originated a significant amount of PPP loans, for which funding is available through the Paycheck Protection Program Lending Facility (“PPPLF”) announced by the Federal Reserve in April of 2020. As of June 30, 2020 we had outstanding PPP loans of $1.10 billion and no balance outstanding under the PPPLF as we have been able to self-fund the majority of our PPP loans through growth in deposits.</w:t>
      </w:r>
    </w:p>
    <w:p>
      <w:pPr>
        <w:spacing w:after="0" w:line="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disclosed in the consolidated statement of cash flows, net cash provided by operating activities was $15.6 million for the six months ended June 30, 2020. Net income of $57.0 million for the six-month period included non-cash expense and income items consisting of the following: provision expense of $55.7 million, stock-based compensation expense of $4.26 million, depreciation, amortization and accretion of $5.21 million, and a deferred income tax benefit of $2.36 million. Uses of cash from operating activities included an increase in other assets and accrued interest receivable of $76.4 million and an increase in loans held for sale of $41.0 million, partially offset by an increase in accrued expenses and other liabilities of $15.9 million. Net cash used in investing activities of $1.15 billion included a $1.31 billion net increase in loans, $110 million in purchases of debt securities available-for-sale and equity securities, purchases of debt securities held-to-maturity of $43.1 million, and $3.66 million in purchases of premises and equipment. These uses of cash were partially offset by $297 million in proceeds from maturities and calls of debt securities available-for-sale and equity securities and $19.9 million in proceeds from maturities and calls of debt securities held-to-maturity. Net cash provided by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financing activities of $1.95 billion consisted primarily of a net increase in deposits of $1.81 billion, net proceeds from the issuance of senior debentures of $98.6 million, and net proceeds from the issuance of preferred stock of $96.7 million. These sources of cash were partially offset by the payment of cash dividends of $28.8 million and the repurchases of our common stock of $20.8 million. In the opinion of management, our liquidity position at June 30, 2020, was sufficient to meet our expected cash flow requirements.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equity at June 30, 2020 was $1.77 billion, an increase of $136 million from December 31, 2019 due primarily to the second quarter issuance of $100 million in non-cumulative perpetual preferred stock, year-to-date earnings less dividends declared and an increase in the value of available-for-sale securities, partially offset by $20.8 million in share repurchases.</w:t>
      </w:r>
    </w:p>
    <w:p>
      <w:pPr>
        <w:spacing w:after="0" w:line="170"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Pursuant to the CARES Act, we have adopted relief provided by federal banking regulatory agencies for the delay of the adverse capital impact of CECL for the two-year period after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shows capital ratios, as calculated under applicable regulatory guidelines, at June 30, 2020 and December 31, 2019. As of June 30, 2020, capital levels remained characterized as “well-capitalized” under the Basel III Capital Rules in effect at the time. The increase in the consolidated ratios as of June 30, 2020 was primarily attributable to the issuance of preferred stock.</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information related to capital ratios, as calculated under regulatory guidelines, as of June 30, 2020 and December 31, 2019, is provided in Note 13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United Community Banks, Inc.</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vMerge w:val="restart"/>
          </w:tcPr>
          <w:p>
            <w:pPr>
              <w:jc w:val="right"/>
              <w:ind w:right="168"/>
              <w:spacing w:after="0"/>
              <w:rPr>
                <w:sz w:val="20"/>
                <w:szCs w:val="20"/>
                <w:color w:val="auto"/>
              </w:rPr>
            </w:pPr>
            <w:r>
              <w:rPr>
                <w:rFonts w:ascii="Arial" w:cs="Arial" w:eastAsia="Arial" w:hAnsi="Arial"/>
                <w:sz w:val="14"/>
                <w:szCs w:val="14"/>
                <w:b w:val="1"/>
                <w:bCs w:val="1"/>
                <w:color w:val="auto"/>
              </w:rPr>
              <w:t>United Community Bank</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4"/>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7"/>
              </w:rPr>
              <w:t>Well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Minimum Capital Plus</w:t>
            </w: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Minimum</w:t>
            </w: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Capital Conservation</w:t>
            </w: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24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Capitalized</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Buffer</w:t>
            </w: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Risk-based ratios:</w:t>
            </w: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60" w:type="dxa"/>
            <w:vAlign w:val="bottom"/>
          </w:tcPr>
          <w:p>
            <w:pPr>
              <w:ind w:left="120"/>
              <w:spacing w:after="0"/>
              <w:rPr>
                <w:sz w:val="20"/>
                <w:szCs w:val="20"/>
                <w:color w:val="auto"/>
              </w:rPr>
            </w:pPr>
            <w:r>
              <w:rPr>
                <w:rFonts w:ascii="Arial" w:cs="Arial" w:eastAsia="Arial" w:hAnsi="Arial"/>
                <w:sz w:val="14"/>
                <w:szCs w:val="14"/>
                <w:color w:val="auto"/>
              </w:rPr>
              <w:t>Common equity tier 1 capital</w:t>
            </w:r>
          </w:p>
        </w:tc>
        <w:tc>
          <w:tcPr>
            <w:tcW w:w="980" w:type="dxa"/>
            <w:vAlign w:val="bottom"/>
          </w:tcPr>
          <w:p>
            <w:pPr>
              <w:ind w:left="600"/>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13.70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1 capital</w:t>
            </w:r>
          </w:p>
        </w:tc>
        <w:tc>
          <w:tcPr>
            <w:tcW w:w="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460" w:type="dxa"/>
            <w:vAlign w:val="bottom"/>
          </w:tcPr>
          <w:p>
            <w:pPr>
              <w:ind w:left="120"/>
              <w:spacing w:after="0"/>
              <w:rPr>
                <w:sz w:val="20"/>
                <w:szCs w:val="20"/>
                <w:color w:val="auto"/>
              </w:rPr>
            </w:pPr>
            <w:r>
              <w:rPr>
                <w:rFonts w:ascii="Arial" w:cs="Arial" w:eastAsia="Arial" w:hAnsi="Arial"/>
                <w:sz w:val="14"/>
                <w:szCs w:val="14"/>
                <w:color w:val="auto"/>
              </w:rPr>
              <w:t>Total capital</w:t>
            </w:r>
          </w:p>
        </w:tc>
        <w:tc>
          <w:tcPr>
            <w:tcW w:w="980" w:type="dxa"/>
            <w:vAlign w:val="bottom"/>
          </w:tcPr>
          <w:p>
            <w:pPr>
              <w:ind w:left="600"/>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12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Leverage ratio</w:t>
            </w:r>
          </w:p>
        </w:tc>
        <w:tc>
          <w:tcPr>
            <w:tcW w:w="980" w:type="dxa"/>
            <w:vAlign w:val="bottom"/>
            <w:shd w:val="clear" w:color="auto" w:fill="CCEEFF"/>
          </w:tcPr>
          <w:p>
            <w:pPr>
              <w:ind w:left="60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220"/>
              <w:spacing w:after="0"/>
              <w:rPr>
                <w:sz w:val="20"/>
                <w:szCs w:val="20"/>
                <w:color w:val="auto"/>
              </w:rPr>
            </w:pPr>
            <w:r>
              <w:rPr>
                <w:rFonts w:ascii="Arial" w:cs="Arial" w:eastAsia="Arial" w:hAnsi="Arial"/>
                <w:sz w:val="14"/>
                <w:szCs w:val="14"/>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material changes in our market risk as of June 30, 2020 from that presented in our 2019 10-K. Our interest rate sensitivity position at June 30, 2020 is set forth in Table 10 in Part I - Item 2 - “Management’s Discussion and Analysis of Financial Condition and Results of Operations” of this Quarterly Report on Form 10-Q and incorporated herein by this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68"/>
        <w:spacing w:after="0" w:line="259" w:lineRule="auto"/>
        <w:tabs>
          <w:tab w:leader="none" w:pos="60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principal financial officer, we conducted an evaluation of our disclosure controls and procedures (as such term is defined in Exchange Act Rule 13a-15(e)) as of June 30, 2020. Based on, that evaluation, our principal executive officer and chief financial officer concluded that our disclosure controls and procedures were effective as of the end of the period covered by this report.</w:t>
      </w:r>
    </w:p>
    <w:p>
      <w:pPr>
        <w:spacing w:after="0" w:line="213" w:lineRule="exact"/>
        <w:rPr>
          <w:rFonts w:ascii="Arial" w:cs="Arial" w:eastAsia="Arial" w:hAnsi="Arial"/>
          <w:sz w:val="18"/>
          <w:szCs w:val="18"/>
          <w:color w:val="auto"/>
        </w:rPr>
      </w:pPr>
    </w:p>
    <w:p>
      <w:pPr>
        <w:jc w:val="both"/>
        <w:ind w:firstLine="500"/>
        <w:spacing w:after="0" w:line="263" w:lineRule="auto"/>
        <w:tabs>
          <w:tab w:leader="none" w:pos="763"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June 30, 2020 that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5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393939"/>
        </w:rPr>
        <w:t>Except as set forth in Part II, Item 1 of the Company’s Quarterly Report on Form 10-Q for the quarter ended March 31, 2020 and filed with the SEC on May 7, 2020, which is incorporated herein by this reference, there have been no material changes to the risk factors previously disclosed in the Company’s Annual Report on Form 10-K for the fiscal year ended December 31, 2020 filed with the SEC on February 27, 2020.</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960" w:hanging="304"/>
        <w:spacing w:after="0"/>
        <w:tabs>
          <w:tab w:leader="none" w:pos="9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below.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320" w:lineRule="exact"/>
        <w:rPr>
          <w:sz w:val="20"/>
          <w:szCs w:val="20"/>
          <w:color w:val="auto"/>
        </w:rPr>
      </w:pPr>
    </w:p>
    <w:p>
      <w:pPr>
        <w:ind w:left="460"/>
        <w:spacing w:after="0"/>
        <w:tabs>
          <w:tab w:leader="none" w:pos="6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jc w:val="both"/>
        <w:ind w:left="1840" w:hanging="732"/>
        <w:spacing w:after="0" w:line="224" w:lineRule="auto"/>
        <w:tabs>
          <w:tab w:leader="none" w:pos="1820" w:val="left"/>
        </w:tabs>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25">
        <w:r>
          <w:rPr>
            <w:rFonts w:ascii="Arial" w:cs="Arial" w:eastAsia="Arial" w:hAnsi="Arial"/>
            <w:sz w:val="18"/>
            <w:szCs w:val="18"/>
            <w:u w:val="single" w:color="auto"/>
            <w:color w:val="0000FF"/>
          </w:rPr>
          <w:t>Agreement and Plan of Merger, dated as of March 9, 2020 by and between United Community Banks, Inc. and Three Shores</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Bancorporation, Inc. (incorporated herein by reference to Exhibit 2.1 to United Community Banks, Inc.’s Current Report on Form</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8-K dated March 9, 2020 and filed with the SEC on March 10, 2020).</w:t>
        </w:r>
      </w:hyperlink>
    </w:p>
    <w:p>
      <w:pPr>
        <w:spacing w:after="0" w:line="257" w:lineRule="exact"/>
        <w:rPr>
          <w:rFonts w:ascii="Arial" w:cs="Arial" w:eastAsia="Arial" w:hAnsi="Arial"/>
          <w:sz w:val="18"/>
          <w:szCs w:val="18"/>
          <w:u w:val="single" w:color="auto"/>
          <w:color w:val="0000FF"/>
        </w:rPr>
      </w:pPr>
    </w:p>
    <w:p>
      <w:pPr>
        <w:ind w:left="1120"/>
        <w:spacing w:after="0"/>
        <w:tabs>
          <w:tab w:leader="none" w:pos="1820" w:val="left"/>
        </w:tabs>
        <w:rPr>
          <w:rFonts w:ascii="Arial" w:cs="Arial" w:eastAsia="Arial" w:hAnsi="Arial"/>
          <w:sz w:val="16"/>
          <w:szCs w:val="16"/>
          <w:u w:val="single" w:color="auto"/>
          <w:color w:val="0000FF"/>
        </w:rPr>
      </w:pPr>
      <w:hyperlink w:anchor="page68">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w:anchor="page68">
        <w:r>
          <w:rPr>
            <w:rFonts w:ascii="Arial" w:cs="Arial" w:eastAsia="Arial" w:hAnsi="Arial"/>
            <w:sz w:val="16"/>
            <w:szCs w:val="16"/>
            <w:u w:val="single" w:color="auto"/>
            <w:color w:val="0000FF"/>
          </w:rPr>
          <w:t>Restated Articles of Incorporation of United Community Banks, Inc., as amended to date.</w:t>
        </w:r>
      </w:hyperlink>
    </w:p>
    <w:p>
      <w:pPr>
        <w:spacing w:after="0" w:line="185" w:lineRule="exact"/>
        <w:rPr>
          <w:sz w:val="20"/>
          <w:szCs w:val="20"/>
          <w:color w:val="auto"/>
        </w:rPr>
      </w:pPr>
    </w:p>
    <w:p>
      <w:pPr>
        <w:jc w:val="both"/>
        <w:ind w:left="1840" w:hanging="732"/>
        <w:spacing w:after="0" w:line="224" w:lineRule="auto"/>
        <w:tabs>
          <w:tab w:leader="none" w:pos="1820" w:val="left"/>
        </w:tabs>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26">
        <w:r>
          <w:rPr>
            <w:rFonts w:ascii="Arial" w:cs="Arial" w:eastAsia="Arial" w:hAnsi="Arial"/>
            <w:sz w:val="18"/>
            <w:szCs w:val="18"/>
            <w:u w:val="single" w:color="auto"/>
            <w:color w:val="0000FF"/>
          </w:rPr>
          <w:t>Amended and Restated Bylaws of United Community Banks, Inc., as amended (incorporated herein by reference to Exhibit 3.2 to</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United Community Banks, Inc.’s Quarterly Report on Form 10-Q for the period ended March 31, 2015, filed with the SEC on</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May 11, 2015).</w:t>
        </w:r>
      </w:hyperlink>
    </w:p>
    <w:p>
      <w:pPr>
        <w:spacing w:after="0" w:line="163" w:lineRule="exact"/>
        <w:rPr>
          <w:rFonts w:ascii="Arial" w:cs="Arial" w:eastAsia="Arial" w:hAnsi="Arial"/>
          <w:sz w:val="18"/>
          <w:szCs w:val="18"/>
          <w:u w:val="single" w:color="auto"/>
          <w:color w:val="0000FF"/>
        </w:rPr>
      </w:pPr>
    </w:p>
    <w:p>
      <w:pPr>
        <w:jc w:val="both"/>
        <w:ind w:left="1840" w:right="160" w:hanging="732"/>
        <w:spacing w:after="0" w:line="224" w:lineRule="auto"/>
        <w:tabs>
          <w:tab w:leader="none" w:pos="1820" w:val="left"/>
        </w:tabs>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27">
        <w:r>
          <w:rPr>
            <w:rFonts w:ascii="Arial" w:cs="Arial" w:eastAsia="Arial" w:hAnsi="Arial"/>
            <w:sz w:val="18"/>
            <w:szCs w:val="18"/>
            <w:u w:val="single" w:color="auto"/>
            <w:color w:val="0000FF"/>
          </w:rPr>
          <w:t>Deposit Agreement, dated as of June 10, 2020, between United Community Banks, Inc. and Continental Stock Transfer &amp; Trust</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Company as depositary (incorporated herein by reference to Exhibit 4.2 to United Community Banks, Inc.’s Current Report on</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Form 8-K dated June 5, 2020 and filed with the SEC on June 10, 2020).</w:t>
        </w:r>
      </w:hyperlink>
    </w:p>
    <w:p>
      <w:pPr>
        <w:spacing w:after="0" w:line="163" w:lineRule="exact"/>
        <w:rPr>
          <w:rFonts w:ascii="Arial" w:cs="Arial" w:eastAsia="Arial" w:hAnsi="Arial"/>
          <w:sz w:val="18"/>
          <w:szCs w:val="18"/>
          <w:u w:val="single" w:color="auto"/>
          <w:color w:val="0000FF"/>
        </w:rPr>
      </w:pPr>
    </w:p>
    <w:p>
      <w:pPr>
        <w:ind w:left="1120"/>
        <w:spacing w:after="0"/>
        <w:tabs>
          <w:tab w:leader="none" w:pos="1820" w:val="left"/>
        </w:tabs>
        <w:rPr>
          <w:rFonts w:ascii="Arial" w:cs="Arial" w:eastAsia="Arial" w:hAnsi="Arial"/>
          <w:sz w:val="16"/>
          <w:szCs w:val="16"/>
          <w:u w:val="single" w:color="auto"/>
          <w:color w:val="0000FF"/>
        </w:rPr>
      </w:pPr>
      <w:hyperlink r:id="rId127">
        <w:r>
          <w:rPr>
            <w:rFonts w:ascii="Arial" w:cs="Arial" w:eastAsia="Arial" w:hAnsi="Arial"/>
            <w:sz w:val="18"/>
            <w:szCs w:val="18"/>
            <w:u w:val="single" w:color="auto"/>
            <w:color w:val="0000FF"/>
          </w:rPr>
          <w:t>4.2</w:t>
        </w:r>
      </w:hyperlink>
      <w:r>
        <w:rPr>
          <w:rFonts w:ascii="Arial" w:cs="Arial" w:eastAsia="Arial" w:hAnsi="Arial"/>
          <w:sz w:val="18"/>
          <w:szCs w:val="18"/>
          <w:color w:val="0000FF"/>
        </w:rPr>
        <w:tab/>
      </w:r>
      <w:hyperlink r:id="rId127">
        <w:r>
          <w:rPr>
            <w:rFonts w:ascii="Arial" w:cs="Arial" w:eastAsia="Arial" w:hAnsi="Arial"/>
            <w:sz w:val="16"/>
            <w:szCs w:val="16"/>
            <w:u w:val="single" w:color="auto"/>
            <w:color w:val="0000FF"/>
          </w:rPr>
          <w:t>Form of Depositary Receipt (included as part of Exhibit 4.1)</w:t>
        </w:r>
        <w:r>
          <w:rPr>
            <w:rFonts w:ascii="Arial" w:cs="Arial" w:eastAsia="Arial" w:hAnsi="Arial"/>
            <w:sz w:val="16"/>
            <w:szCs w:val="16"/>
            <w:color w:val="0000FF"/>
          </w:rPr>
          <w:t>.</w:t>
        </w:r>
      </w:hyperlink>
    </w:p>
    <w:p>
      <w:pPr>
        <w:spacing w:after="0" w:line="185" w:lineRule="exact"/>
        <w:rPr>
          <w:sz w:val="20"/>
          <w:szCs w:val="20"/>
          <w:color w:val="auto"/>
        </w:rPr>
      </w:pPr>
    </w:p>
    <w:p>
      <w:pPr>
        <w:jc w:val="both"/>
        <w:ind w:left="1840" w:hanging="732"/>
        <w:spacing w:after="0" w:line="224" w:lineRule="auto"/>
        <w:tabs>
          <w:tab w:leader="none" w:pos="1820" w:val="left"/>
        </w:tabs>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r:id="rId128">
        <w:r>
          <w:rPr>
            <w:rFonts w:ascii="Arial" w:cs="Arial" w:eastAsia="Arial" w:hAnsi="Arial"/>
            <w:sz w:val="18"/>
            <w:szCs w:val="18"/>
            <w:u w:val="single" w:color="auto"/>
            <w:color w:val="0000FF"/>
          </w:rPr>
          <w:t>Indenture, dated as of June 17, 2020, between United Community Banks and U.S. Bank National Association, as trustee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(incorporated herein by reference to Exhibit 4.1 to United Community Banks, Inc.’s Current Report on Form 8-K dated and filed</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with the SEC on June 17, 2020).</w:t>
        </w:r>
      </w:hyperlink>
    </w:p>
    <w:p>
      <w:pPr>
        <w:spacing w:after="0" w:line="163" w:lineRule="exact"/>
        <w:rPr>
          <w:rFonts w:ascii="Arial" w:cs="Arial" w:eastAsia="Arial" w:hAnsi="Arial"/>
          <w:sz w:val="18"/>
          <w:szCs w:val="18"/>
          <w:u w:val="single" w:color="auto"/>
          <w:color w:val="0000FF"/>
        </w:rPr>
      </w:pPr>
    </w:p>
    <w:p>
      <w:pPr>
        <w:jc w:val="both"/>
        <w:ind w:left="1840" w:right="220" w:hanging="732"/>
        <w:spacing w:after="0" w:line="224" w:lineRule="auto"/>
        <w:tabs>
          <w:tab w:leader="none" w:pos="1820" w:val="left"/>
        </w:tabs>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129">
        <w:r>
          <w:rPr>
            <w:rFonts w:ascii="Arial" w:cs="Arial" w:eastAsia="Arial" w:hAnsi="Arial"/>
            <w:sz w:val="18"/>
            <w:szCs w:val="18"/>
            <w:u w:val="single" w:color="auto"/>
            <w:color w:val="0000FF"/>
          </w:rPr>
          <w:t>Supplemental Indenture, dated as of June 17, 2020, between United Community Banks and U.S. Bank National Association, as</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trustee (incorporated herein by reference to Exhibit 4.2 to United Community Banks, Inc.’s Current Report on Form 8-K dated</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June 17, 2020 and filed with the SEC on June 17, 2020).</w:t>
        </w:r>
      </w:hyperlink>
    </w:p>
    <w:p>
      <w:pPr>
        <w:spacing w:after="0" w:line="163" w:lineRule="exact"/>
        <w:rPr>
          <w:rFonts w:ascii="Arial" w:cs="Arial" w:eastAsia="Arial" w:hAnsi="Arial"/>
          <w:sz w:val="18"/>
          <w:szCs w:val="18"/>
          <w:u w:val="single" w:color="auto"/>
          <w:color w:val="0000FF"/>
        </w:rPr>
      </w:pPr>
    </w:p>
    <w:p>
      <w:pPr>
        <w:ind w:left="1120"/>
        <w:spacing w:after="0"/>
        <w:tabs>
          <w:tab w:leader="none" w:pos="1820" w:val="left"/>
        </w:tabs>
        <w:rPr>
          <w:rFonts w:ascii="Arial" w:cs="Arial" w:eastAsia="Arial" w:hAnsi="Arial"/>
          <w:sz w:val="16"/>
          <w:szCs w:val="16"/>
          <w:u w:val="single" w:color="auto"/>
          <w:color w:val="0000FF"/>
        </w:rPr>
      </w:pPr>
      <w:hyperlink r:id="rId129">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129">
        <w:r>
          <w:rPr>
            <w:rFonts w:ascii="Arial" w:cs="Arial" w:eastAsia="Arial" w:hAnsi="Arial"/>
            <w:sz w:val="16"/>
            <w:szCs w:val="16"/>
            <w:u w:val="single" w:color="auto"/>
            <w:color w:val="0000FF"/>
          </w:rPr>
          <w:t>Form of 5.000% Fixed-to-Floating Senior Notes due 2030 (included as Exhibit A to Exhibit 4.4)</w:t>
        </w:r>
      </w:hyperlink>
    </w:p>
    <w:p>
      <w:pPr>
        <w:spacing w:after="0" w:line="185" w:lineRule="exact"/>
        <w:rPr>
          <w:sz w:val="20"/>
          <w:szCs w:val="20"/>
          <w:color w:val="auto"/>
        </w:rPr>
      </w:pPr>
    </w:p>
    <w:p>
      <w:pPr>
        <w:ind w:left="1840" w:hanging="822"/>
        <w:spacing w:after="0" w:line="235" w:lineRule="auto"/>
        <w:tabs>
          <w:tab w:leader="none" w:pos="1820" w:val="left"/>
        </w:tabs>
        <w:rPr>
          <w:rFonts w:ascii="Arial" w:cs="Arial" w:eastAsia="Arial" w:hAnsi="Arial"/>
          <w:sz w:val="18"/>
          <w:szCs w:val="18"/>
          <w:u w:val="single" w:color="auto"/>
          <w:color w:val="0000FF"/>
        </w:rPr>
      </w:pPr>
      <w:hyperlink w:anchor="page17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178">
        <w:r>
          <w:rPr>
            <w:rFonts w:ascii="Arial" w:cs="Arial" w:eastAsia="Arial" w:hAnsi="Arial"/>
            <w:sz w:val="18"/>
            <w:szCs w:val="18"/>
            <w:u w:val="single" w:color="auto"/>
            <w:color w:val="0000FF"/>
          </w:rPr>
          <w:t>Certification by H. Lynn Harton, President and Chief Executive Officer of United Community Banks, Inc., pursuant to Exchange</w:t>
        </w:r>
      </w:hyperlink>
      <w:r>
        <w:rPr>
          <w:rFonts w:ascii="Arial" w:cs="Arial" w:eastAsia="Arial" w:hAnsi="Arial"/>
          <w:sz w:val="18"/>
          <w:szCs w:val="18"/>
          <w:u w:val="single" w:color="auto"/>
          <w:color w:val="0000FF"/>
        </w:rPr>
        <w:t xml:space="preserve"> </w:t>
      </w:r>
      <w:hyperlink w:anchor="page178">
        <w:r>
          <w:rPr>
            <w:rFonts w:ascii="Arial" w:cs="Arial" w:eastAsia="Arial" w:hAnsi="Arial"/>
            <w:sz w:val="18"/>
            <w:szCs w:val="18"/>
            <w:u w:val="single" w:color="auto"/>
            <w:color w:val="0000FF"/>
          </w:rPr>
          <w:t>Act Rule 13a-14(a).</w:t>
        </w:r>
      </w:hyperlink>
    </w:p>
    <w:p>
      <w:pPr>
        <w:spacing w:after="0" w:line="162" w:lineRule="exact"/>
        <w:rPr>
          <w:rFonts w:ascii="Arial" w:cs="Arial" w:eastAsia="Arial" w:hAnsi="Arial"/>
          <w:sz w:val="18"/>
          <w:szCs w:val="18"/>
          <w:u w:val="single" w:color="auto"/>
          <w:color w:val="0000FF"/>
        </w:rPr>
      </w:pPr>
    </w:p>
    <w:p>
      <w:pPr>
        <w:ind w:left="1840" w:hanging="822"/>
        <w:spacing w:after="0" w:line="235" w:lineRule="auto"/>
        <w:tabs>
          <w:tab w:leader="none" w:pos="1820" w:val="left"/>
        </w:tabs>
        <w:rPr>
          <w:rFonts w:ascii="Arial" w:cs="Arial" w:eastAsia="Arial" w:hAnsi="Arial"/>
          <w:sz w:val="18"/>
          <w:szCs w:val="18"/>
          <w:u w:val="single" w:color="auto"/>
          <w:color w:val="0000FF"/>
        </w:rPr>
      </w:pPr>
      <w:hyperlink w:anchor="page17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179">
        <w:r>
          <w:rPr>
            <w:rFonts w:ascii="Arial" w:cs="Arial" w:eastAsia="Arial" w:hAnsi="Arial"/>
            <w:sz w:val="18"/>
            <w:szCs w:val="18"/>
            <w:u w:val="single" w:color="auto"/>
            <w:color w:val="0000FF"/>
          </w:rPr>
          <w:t>Certification by Jefferson L. Harralson, Executive Vice President and Chief Financial Officer of United Community Banks, Inc.,</w:t>
        </w:r>
      </w:hyperlink>
      <w:r>
        <w:rPr>
          <w:rFonts w:ascii="Arial" w:cs="Arial" w:eastAsia="Arial" w:hAnsi="Arial"/>
          <w:sz w:val="18"/>
          <w:szCs w:val="18"/>
          <w:u w:val="single" w:color="auto"/>
          <w:color w:val="0000FF"/>
        </w:rPr>
        <w:t xml:space="preserve"> </w:t>
      </w:r>
      <w:hyperlink w:anchor="page179">
        <w:r>
          <w:rPr>
            <w:rFonts w:ascii="Arial" w:cs="Arial" w:eastAsia="Arial" w:hAnsi="Arial"/>
            <w:sz w:val="18"/>
            <w:szCs w:val="18"/>
            <w:u w:val="single" w:color="auto"/>
            <w:color w:val="0000FF"/>
          </w:rPr>
          <w:t>pursuant to Exchange Act Rule 13a-14(a).</w:t>
        </w:r>
      </w:hyperlink>
    </w:p>
    <w:p>
      <w:pPr>
        <w:spacing w:after="0" w:line="162" w:lineRule="exact"/>
        <w:rPr>
          <w:rFonts w:ascii="Arial" w:cs="Arial" w:eastAsia="Arial" w:hAnsi="Arial"/>
          <w:sz w:val="18"/>
          <w:szCs w:val="18"/>
          <w:u w:val="single" w:color="auto"/>
          <w:color w:val="0000FF"/>
        </w:rPr>
      </w:pPr>
    </w:p>
    <w:p>
      <w:pPr>
        <w:ind w:left="1160"/>
        <w:spacing w:after="0"/>
        <w:tabs>
          <w:tab w:leader="none" w:pos="1820" w:val="left"/>
        </w:tabs>
        <w:rPr>
          <w:rFonts w:ascii="Arial" w:cs="Arial" w:eastAsia="Arial" w:hAnsi="Arial"/>
          <w:sz w:val="18"/>
          <w:szCs w:val="18"/>
          <w:color w:val="0000FF"/>
        </w:rPr>
      </w:pPr>
      <w:r>
        <w:rPr>
          <w:rFonts w:ascii="Arial" w:cs="Arial" w:eastAsia="Arial" w:hAnsi="Arial"/>
          <w:sz w:val="18"/>
          <w:szCs w:val="18"/>
          <w:u w:val="single" w:color="auto"/>
          <w:color w:val="0000FF"/>
        </w:rPr>
        <w:t>32</w:t>
      </w:r>
      <w:r>
        <w:rPr>
          <w:sz w:val="20"/>
          <w:szCs w:val="20"/>
          <w:color w:val="auto"/>
        </w:rPr>
        <w:tab/>
      </w:r>
      <w:hyperlink w:anchor="page180">
        <w:r>
          <w:rPr>
            <w:rFonts w:ascii="Arial" w:cs="Arial" w:eastAsia="Arial" w:hAnsi="Arial"/>
            <w:sz w:val="18"/>
            <w:szCs w:val="18"/>
            <w:u w:val="single" w:color="auto"/>
            <w:color w:val="0000FF"/>
          </w:rPr>
          <w:t>Certification of CEO and CFO pursuant to 18 U.S.C. Section 1350</w:t>
        </w:r>
        <w:r>
          <w:rPr>
            <w:rFonts w:ascii="Arial" w:cs="Arial" w:eastAsia="Arial" w:hAnsi="Arial"/>
            <w:sz w:val="18"/>
            <w:szCs w:val="18"/>
            <w:color w:val="0000FF"/>
          </w:rPr>
          <w:t>.</w:t>
        </w:r>
      </w:hyperlink>
    </w:p>
    <w:p>
      <w:pPr>
        <w:spacing w:after="0" w:line="225" w:lineRule="exact"/>
        <w:rPr>
          <w:rFonts w:ascii="Arial" w:cs="Arial" w:eastAsia="Arial" w:hAnsi="Arial"/>
          <w:sz w:val="18"/>
          <w:szCs w:val="18"/>
          <w:u w:val="single" w:color="auto"/>
          <w:color w:val="0000FF"/>
        </w:rPr>
      </w:pPr>
    </w:p>
    <w:p>
      <w:pPr>
        <w:jc w:val="both"/>
        <w:ind w:left="1840" w:hanging="770"/>
        <w:spacing w:after="0" w:line="216" w:lineRule="auto"/>
        <w:tabs>
          <w:tab w:leader="none" w:pos="1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Interactive data files for United Community Bank, Inc.’s Quarterly Report on Form 10-Q for the quarter ended June 30, 2020, formatted in Inline XBRL: </w:t>
      </w:r>
      <w:r>
        <w:rPr>
          <w:rFonts w:ascii="Arial" w:cs="Arial" w:eastAsia="Arial" w:hAnsi="Arial"/>
          <w:sz w:val="18"/>
          <w:szCs w:val="18"/>
          <w:color w:val="212529"/>
        </w:rPr>
        <w:t>(i) the Consolidated Balance Sheets (unaudited); (ii) the Consolidated Statements of Income</w:t>
      </w:r>
      <w:r>
        <w:rPr>
          <w:rFonts w:ascii="Arial" w:cs="Arial" w:eastAsia="Arial" w:hAnsi="Arial"/>
          <w:sz w:val="18"/>
          <w:szCs w:val="18"/>
          <w:color w:val="auto"/>
        </w:rPr>
        <w:t xml:space="preserve"> </w:t>
      </w:r>
      <w:r>
        <w:rPr>
          <w:rFonts w:ascii="Arial" w:cs="Arial" w:eastAsia="Arial" w:hAnsi="Arial"/>
          <w:sz w:val="18"/>
          <w:szCs w:val="18"/>
          <w:color w:val="212529"/>
        </w:rPr>
        <w:t>(unaudited); (iii) the Consolidated Statements of Comprehensive Income (unaudited); (iv) the Consolidated Statements in Shareholders’ Equity (unaudited); (v) the Consolidated Statements of Cash Flows (unaudited); and (vi) the Notes to Consolidated Financial Statements (unaudited)</w:t>
      </w:r>
      <w:r>
        <w:rPr>
          <w:rFonts w:ascii="Arial" w:cs="Arial" w:eastAsia="Arial" w:hAnsi="Arial"/>
          <w:sz w:val="18"/>
          <w:szCs w:val="18"/>
          <w:color w:val="000000"/>
        </w:rPr>
        <w:t>.</w:t>
      </w:r>
    </w:p>
    <w:p>
      <w:pPr>
        <w:spacing w:after="0" w:line="162" w:lineRule="exact"/>
        <w:rPr>
          <w:rFonts w:ascii="Arial" w:cs="Arial" w:eastAsia="Arial" w:hAnsi="Arial"/>
          <w:sz w:val="18"/>
          <w:szCs w:val="18"/>
          <w:u w:val="single" w:color="auto"/>
          <w:color w:val="0000FF"/>
        </w:rPr>
      </w:pPr>
    </w:p>
    <w:p>
      <w:pPr>
        <w:ind w:left="1840" w:hanging="770"/>
        <w:spacing w:after="0" w:line="235" w:lineRule="auto"/>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cover page from United Community Bank’s Quarterly Report on Form 10-Q for the quarter ended June 30, 2020 (formatted in Inline XBRL and included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0"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UNITED COMMUNITY BANKS, INC.</w:t>
      </w:r>
    </w:p>
    <w:p>
      <w:pPr>
        <w:spacing w:after="0" w:line="33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33686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33686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31750</wp:posOffset>
            </wp:positionV>
            <wp:extent cx="33686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Accounting Officer</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93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ARTICLES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Restated Articles of Incorporation, as amended, of the corporation are amended by adding the powers, rights, and preferences, and the qualifications, limitations, and restrictions thereof, of the Senior 6.875% Non-Cumulative Preferred Stock, Series I as set forth in Exhibit A attached hereto.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amendment was adopted by a duly authorized committee of the board of directors of the corporation by unanimous written consent on June 3, 2020. Pursuant to O.C.G.A. § 14-2-602 and Article V of the Restated Articles of Incorporation, as amended, of the corporation, shareholder consent was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time of these Articles of Amendment is at 5:00 p.m. on the date of filing of these Articles of Amendment.</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3rd day of June, 2020.</w:t>
      </w: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UNITED COMMUNITY BANKS, INC.</w:t>
      </w:r>
    </w:p>
    <w:p>
      <w:pPr>
        <w:spacing w:after="0" w:line="337"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Herbert Lynn Harton</w:t>
            </w:r>
          </w:p>
        </w:tc>
      </w:tr>
      <w:tr>
        <w:trPr>
          <w:trHeight w:val="27"/>
        </w:trPr>
        <w:tc>
          <w:tcPr>
            <w:tcW w:w="7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980" w:type="dxa"/>
            <w:vAlign w:val="bottom"/>
          </w:tcPr>
          <w:p>
            <w:pPr>
              <w:ind w:left="20"/>
              <w:spacing w:after="0"/>
              <w:rPr>
                <w:sz w:val="20"/>
                <w:szCs w:val="20"/>
                <w:color w:val="auto"/>
              </w:rPr>
            </w:pPr>
            <w:r>
              <w:rPr>
                <w:rFonts w:ascii="Arial" w:cs="Arial" w:eastAsia="Arial" w:hAnsi="Arial"/>
                <w:sz w:val="18"/>
                <w:szCs w:val="18"/>
                <w:color w:val="auto"/>
              </w:rPr>
              <w:t>Herbert Lynn Harton</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ind w:left="20"/>
              <w:spacing w:after="0"/>
              <w:rPr>
                <w:sz w:val="20"/>
                <w:szCs w:val="20"/>
                <w:color w:val="auto"/>
              </w:rPr>
            </w:pPr>
            <w:r>
              <w:rPr>
                <w:rFonts w:ascii="Arial" w:cs="Arial" w:eastAsia="Arial" w:hAnsi="Arial"/>
                <w:sz w:val="18"/>
                <w:szCs w:val="18"/>
                <w:color w:val="auto"/>
              </w:rPr>
              <w:t>Chairman, President &amp; Chief Executive Officer</w:t>
            </w:r>
          </w:p>
        </w:tc>
      </w:tr>
    </w:tbl>
    <w:p>
      <w:pPr>
        <w:sectPr>
          <w:pgSz w:w="11900" w:h="16838" w:orient="portrait"/>
          <w:cols w:equalWidth="0" w:num="1">
            <w:col w:w="11240"/>
          </w:cols>
          <w:pgMar w:left="320" w:top="89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6.875% NON-CUMULATIVE PREFERRED STOCK, SERIES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4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 United Community Banks, Inc., a corporation organized and existing under the laws of the State of Georgia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Restated Articles of Incorporation of the Issuer, as amended, authorize the issuance of 10,000,000 shares of preferred stock, par</w:t>
      </w:r>
      <w:r>
        <w:rPr>
          <w:rFonts w:ascii="Arial" w:cs="Arial" w:eastAsia="Arial" w:hAnsi="Arial"/>
          <w:sz w:val="17"/>
          <w:szCs w:val="17"/>
          <w:b w:val="1"/>
          <w:bCs w:val="1"/>
          <w:color w:val="auto"/>
        </w:rPr>
        <w:t xml:space="preserve"> </w:t>
      </w:r>
      <w:r>
        <w:rPr>
          <w:rFonts w:ascii="Arial" w:cs="Arial" w:eastAsia="Arial" w:hAnsi="Arial"/>
          <w:sz w:val="17"/>
          <w:szCs w:val="17"/>
          <w:color w:val="auto"/>
        </w:rPr>
        <w:t>value $1.00 per share, of the Issuer (“</w:t>
      </w:r>
      <w:r>
        <w:rPr>
          <w:rFonts w:ascii="Arial" w:cs="Arial" w:eastAsia="Arial" w:hAnsi="Arial"/>
          <w:sz w:val="17"/>
          <w:szCs w:val="17"/>
          <w:u w:val="single" w:color="auto"/>
          <w:color w:val="auto"/>
        </w:rPr>
        <w:t>Preferred Stock</w:t>
      </w:r>
      <w:r>
        <w:rPr>
          <w:rFonts w:ascii="Arial" w:cs="Arial" w:eastAsia="Arial" w:hAnsi="Arial"/>
          <w:sz w:val="17"/>
          <w:szCs w:val="17"/>
          <w:color w:val="auto"/>
        </w:rPr>
        <w:t>”) in one or more series, and authorizes the Board of Directors of the Issuer (the “Board of Directors”)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That the following resolution was duly adopted by a duly authorized committee of the Board of Directors as required by O.C.G.A. § 14-2-602 and Article V of the Restated Articles of Incorporation by unanimous written consent on June 3, 2020.</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the provisions of the Restated Articles of Incorporation of the Issuer, as amended, and applicable law,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par value $1.00 per share, of the Issuer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PREFERENCES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Section 1. Designation</w:t>
      </w:r>
      <w:r>
        <w:rPr>
          <w:rFonts w:ascii="Arial" w:cs="Arial" w:eastAsia="Arial" w:hAnsi="Arial"/>
          <w:sz w:val="16"/>
          <w:szCs w:val="16"/>
          <w:color w:val="auto"/>
        </w:rPr>
        <w:t>. The distinctive serial designation of such series of Preferred Stock is “6.875% Non-Cumulative Preferred Stock, Series I”</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 Each share of Series I shall be identical in all respects to every other share of Series I, except as to the respective dates from which dividends thereon shall accrue, to the extent such dates may differ as permitted pursuant to Section 4(a) below. Series I will rank equally with Parity Stock, if any, and will rank senior to Junior Stock with respect to the payment of dividends and/or the distribution of assets in the event of any voluntary or involuntary liquidation, dissolution or winding up of the affairs of the Corporation. Shares of Series I may be represented in the form of uncertificated or certificated shares, provided, however, that any holder of certificated shares of Series I and, upon request, every holder of uncertificated shares of Series I shall be entitled to have a certificate for shares of Series I signed by, or in the name of, the Corporation certifying the number of shares owned by such holder.</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Section 2. Number of Shares</w:t>
      </w:r>
      <w:r>
        <w:rPr>
          <w:rFonts w:ascii="Arial" w:cs="Arial" w:eastAsia="Arial" w:hAnsi="Arial"/>
          <w:sz w:val="18"/>
          <w:szCs w:val="18"/>
          <w:color w:val="auto"/>
        </w:rPr>
        <w:t>. The authorized number of shares of Series I shall be 4,000. Shares of Series I that are redeemed, purchased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acquired by the Corporation shall be cancelled and shall revert to authorized but unissued shares of Series 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3. Definitions</w:t>
      </w:r>
      <w:r>
        <w:rPr>
          <w:rFonts w:ascii="Arial" w:cs="Arial" w:eastAsia="Arial" w:hAnsi="Arial"/>
          <w:sz w:val="18"/>
          <w:szCs w:val="18"/>
          <w:color w:val="auto"/>
        </w:rPr>
        <w:t>. As used herein with respect to Series I:</w:t>
      </w:r>
    </w:p>
    <w:p>
      <w:pPr>
        <w:spacing w:after="0" w:line="225" w:lineRule="exact"/>
        <w:rPr>
          <w:sz w:val="20"/>
          <w:szCs w:val="20"/>
          <w:color w:val="auto"/>
        </w:rPr>
      </w:pPr>
    </w:p>
    <w:p>
      <w:pPr>
        <w:ind w:firstLine="656"/>
        <w:spacing w:after="0" w:line="277"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Federal Banking Agency</w:t>
      </w:r>
      <w:r>
        <w:rPr>
          <w:rFonts w:ascii="Arial" w:cs="Arial" w:eastAsia="Arial" w:hAnsi="Arial"/>
          <w:sz w:val="18"/>
          <w:szCs w:val="18"/>
          <w:color w:val="auto"/>
        </w:rPr>
        <w:t>” means the “appropriate federal banking agency” with respect to the Corporation as that term is defined in Section 3(q) of the Federal Deposit Insurance Act or any successor provision.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Amendment</w:t>
      </w:r>
      <w:r>
        <w:rPr>
          <w:rFonts w:ascii="Arial" w:cs="Arial" w:eastAsia="Arial" w:hAnsi="Arial"/>
          <w:sz w:val="18"/>
          <w:szCs w:val="18"/>
          <w:color w:val="auto"/>
        </w:rPr>
        <w:t>” means this Articles of Amendment relating to the Series I, as it may be amended from time to time.</w:t>
      </w:r>
    </w:p>
    <w:p>
      <w:pPr>
        <w:sectPr>
          <w:pgSz w:w="11900" w:h="16838" w:orient="portrait"/>
          <w:cols w:equalWidth="0" w:num="1">
            <w:col w:w="11240"/>
          </w:cols>
          <w:pgMar w:left="320" w:top="1377" w:right="339" w:bottom="1440" w:gutter="0" w:footer="0" w:header="0"/>
        </w:sectPr>
      </w:pPr>
    </w:p>
    <w:bookmarkStart w:id="69" w:name="page70"/>
    <w:bookmarkEnd w:id="69"/>
    <w:p>
      <w:pPr>
        <w:ind w:firstLine="656"/>
        <w:spacing w:after="0" w:line="277" w:lineRule="auto"/>
        <w:tabs>
          <w:tab w:leader="none" w:pos="8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as amended, of the Corporation, as it may be amended from time to time, and shall include this Articles of Amendment.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Corporation.</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Bylaws</w:t>
      </w:r>
      <w:r>
        <w:rPr>
          <w:rFonts w:ascii="Arial" w:cs="Arial" w:eastAsia="Arial" w:hAnsi="Arial"/>
          <w:sz w:val="17"/>
          <w:szCs w:val="17"/>
          <w:color w:val="auto"/>
        </w:rPr>
        <w:t>” means the Amended and Restated Bylaws of the Corporation, as amended and as they may be amended from time to time.</w:t>
      </w:r>
    </w:p>
    <w:p>
      <w:pPr>
        <w:spacing w:after="0" w:line="236" w:lineRule="exact"/>
        <w:rPr>
          <w:rFonts w:ascii="Arial" w:cs="Arial" w:eastAsia="Arial" w:hAnsi="Arial"/>
          <w:sz w:val="17"/>
          <w:szCs w:val="17"/>
          <w:color w:val="auto"/>
        </w:rPr>
      </w:pPr>
    </w:p>
    <w:p>
      <w:pPr>
        <w:ind w:firstLine="656"/>
        <w:spacing w:after="0" w:line="277" w:lineRule="auto"/>
        <w:tabs>
          <w:tab w:leader="none" w:pos="8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that is a Monday, Tuesday, Wednesday, Thursday or Friday and is not a day on which banking institutions in New York City are generally authorized or obligated by law, regulation or executive order to close.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$1.00 per share, of the Corporation.</w:t>
      </w:r>
    </w:p>
    <w:p>
      <w:pPr>
        <w:spacing w:after="0" w:line="225" w:lineRule="exact"/>
        <w:rPr>
          <w:rFonts w:ascii="Arial" w:cs="Arial" w:eastAsia="Arial" w:hAnsi="Arial"/>
          <w:sz w:val="18"/>
          <w:szCs w:val="18"/>
          <w:color w:val="auto"/>
        </w:rPr>
      </w:pPr>
    </w:p>
    <w:p>
      <w:pPr>
        <w:ind w:right="20" w:firstLine="656"/>
        <w:spacing w:after="0" w:line="277" w:lineRule="auto"/>
        <w:tabs>
          <w:tab w:leader="none" w:pos="9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means the Common Stock and any other class or series of stock of the Corporation that ranks junior to Series I as to the payment of dividends and/or as to the distribution of assets on any liquidation, dissolution or winding up of the Corporation.</w:t>
      </w:r>
    </w:p>
    <w:p>
      <w:pPr>
        <w:spacing w:after="0" w:line="170" w:lineRule="exact"/>
        <w:rPr>
          <w:rFonts w:ascii="Arial" w:cs="Arial" w:eastAsia="Arial" w:hAnsi="Arial"/>
          <w:sz w:val="18"/>
          <w:szCs w:val="18"/>
          <w:color w:val="auto"/>
        </w:rPr>
      </w:pPr>
    </w:p>
    <w:p>
      <w:pPr>
        <w:ind w:firstLine="656"/>
        <w:spacing w:after="0" w:line="277" w:lineRule="auto"/>
        <w:tabs>
          <w:tab w:leader="none" w:pos="8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means any class or series of stock of the Corporation (other than Series I) that ranks equally with Series I both in the payment of dividends and in the distribution of assets on any liquidation, dissolution or winding up of the Corporation, if any.</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Stock</w:t>
      </w:r>
      <w:r>
        <w:rPr>
          <w:rFonts w:ascii="Arial" w:cs="Arial" w:eastAsia="Arial" w:hAnsi="Arial"/>
          <w:sz w:val="16"/>
          <w:szCs w:val="16"/>
          <w:color w:val="auto"/>
        </w:rPr>
        <w:t>” means any and all series of Preferred Stock, having a par value of $1.00 per share, of the Corporation, including the Series I.</w:t>
      </w:r>
    </w:p>
    <w:p>
      <w:pPr>
        <w:spacing w:after="0" w:line="248" w:lineRule="exact"/>
        <w:rPr>
          <w:rFonts w:ascii="Arial" w:cs="Arial" w:eastAsia="Arial" w:hAnsi="Arial"/>
          <w:sz w:val="16"/>
          <w:szCs w:val="16"/>
          <w:color w:val="auto"/>
        </w:rPr>
      </w:pPr>
    </w:p>
    <w:p>
      <w:pPr>
        <w:jc w:val="both"/>
        <w:ind w:firstLine="656"/>
        <w:spacing w:after="0" w:line="270" w:lineRule="auto"/>
        <w:tabs>
          <w:tab w:leader="none" w:pos="903"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Capital Event</w:t>
      </w:r>
      <w:r>
        <w:rPr>
          <w:rFonts w:ascii="Arial" w:cs="Arial" w:eastAsia="Arial" w:hAnsi="Arial"/>
          <w:sz w:val="17"/>
          <w:szCs w:val="17"/>
          <w:color w:val="auto"/>
        </w:rPr>
        <w:t>” means the good faith determination by the Corporation that, as a result of (i) any amendment to, or change in, the laws, rules or regulations of the United States or any political subdivision of or in the United States that is enacted or becomes effective after the initial issuance of any share of Series I, (ii) any proposed change in those laws, rules or regulations that is announced or becomes effective after the initial issuance of any share of Series I, or (iii) any official administrative decision or judicial decision or administrative action or other official pronouncement interpreting or applying those laws, rules or regulations or policies with respect thereto that is announced after the initial issuance of any share of Series I, there is more than an insubstantial risk that the Corporation will not be entitled to treat the full liquidation preference amount of $25,000 per share of Series I then outstanding as “tier 1 capital” (or its equivalent) for purposes of the capital adequacy guidelines of the Board of Governors of the Federal Reserve System (or, as and if applicable, the capital adequacy guidelines or regulations of any successor Appropriate Federal Banking Agency) as then in effect and applicable, for so long as any share of Series I is outstanding.</w:t>
      </w:r>
    </w:p>
    <w:p>
      <w:pPr>
        <w:spacing w:after="0" w:line="207" w:lineRule="exact"/>
        <w:rPr>
          <w:rFonts w:ascii="Arial" w:cs="Arial" w:eastAsia="Arial" w:hAnsi="Arial"/>
          <w:sz w:val="17"/>
          <w:szCs w:val="17"/>
          <w:color w:val="auto"/>
        </w:rPr>
      </w:pPr>
    </w:p>
    <w:p>
      <w:pPr>
        <w:jc w:val="both"/>
        <w:ind w:firstLine="656"/>
        <w:spacing w:after="0" w:line="259" w:lineRule="auto"/>
        <w:tabs>
          <w:tab w:leader="none" w:pos="8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Preferred Stock</w:t>
      </w:r>
      <w:r>
        <w:rPr>
          <w:rFonts w:ascii="Arial" w:cs="Arial" w:eastAsia="Arial" w:hAnsi="Arial"/>
          <w:sz w:val="18"/>
          <w:szCs w:val="18"/>
          <w:color w:val="auto"/>
        </w:rPr>
        <w:t>” means, with regard to any election or removal of a Preferred Stock Director (as defined in Section 7(b) below) or any other matter as to which the holders of Series I are entitled to vote as specified in Section 7 of this Articles of Amendment, and any and all other series of Preferred Stock (other than Series I) that rank equally with Series I as to the payment of dividends and upon which like voting rights have been conferred and are exercisable with respect to such matter.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4. Dividends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70" w:lineRule="auto"/>
        <w:tabs>
          <w:tab w:leader="none" w:pos="892"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Rate</w:t>
      </w:r>
      <w:r>
        <w:rPr>
          <w:rFonts w:ascii="Arial" w:cs="Arial" w:eastAsia="Arial" w:hAnsi="Arial"/>
          <w:sz w:val="17"/>
          <w:szCs w:val="17"/>
          <w:color w:val="auto"/>
        </w:rPr>
        <w:t>. Holders of Series I shall be entitled to receive, when, as and if declared by the Board of Directors (or any duly authorized committee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of Directors) out of funds legally available for the payment of dividends under Delaware law, non-cumulative cash dividends at the rate per annum equal to 6.875% applied to the liquidation preference amount of $25,000 per share of Series I. Such dividends shall be payable quarterly in arrears (as provided below in this Section 4(a)), but only when, as and if declared by the Board of Directors (or any duly authorized committee of the Board of Directors), on March 15, June 15, September 15 and December 15 (“</w:t>
      </w:r>
      <w:r>
        <w:rPr>
          <w:rFonts w:ascii="Arial" w:cs="Arial" w:eastAsia="Arial" w:hAnsi="Arial"/>
          <w:sz w:val="17"/>
          <w:szCs w:val="17"/>
          <w:u w:val="single" w:color="auto"/>
          <w:color w:val="auto"/>
        </w:rPr>
        <w:t>Dividend Payment Dates</w:t>
      </w:r>
      <w:r>
        <w:rPr>
          <w:rFonts w:ascii="Arial" w:cs="Arial" w:eastAsia="Arial" w:hAnsi="Arial"/>
          <w:sz w:val="17"/>
          <w:szCs w:val="17"/>
          <w:color w:val="auto"/>
        </w:rPr>
        <w:t>”), commencing on September 15, 2020; provided that if any such Dividend Payment Date would otherwise occur on a day that is not a Business Day, such dividend shall instead be payable on the immediately succeeding Business Day, without interest or other payment in respect of such delayed payment. Dividends on Series I shall not be cumulative; holders of Series I shall not be entitled to receive any dividends not declared by the Board of Directors (or any duly authorized committee of the Board of Directors) and no interest, or sum of money in lieu of interest, shall be payable in respect of any dividend not so declared.</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Dividends on the Series I shall not be declared or set aside for payment if and to the extent such dividends would cause the Corporation to fail to comply with the capital adequacy guidelines of the Board of Governors of the Federal Reserve System</w:t>
      </w:r>
    </w:p>
    <w:p>
      <w:pPr>
        <w:sectPr>
          <w:pgSz w:w="11900" w:h="16838" w:orient="portrait"/>
          <w:cols w:equalWidth="0" w:num="1">
            <w:col w:w="11240"/>
          </w:cols>
          <w:pgMar w:left="320" w:top="895" w:right="339" w:bottom="1440" w:gutter="0" w:footer="0" w:header="0"/>
        </w:sectPr>
      </w:pPr>
    </w:p>
    <w:bookmarkStart w:id="70" w:name="page71"/>
    <w:bookmarkEnd w:id="70"/>
    <w:p>
      <w:pPr>
        <w:jc w:val="both"/>
        <w:ind w:right="20"/>
        <w:spacing w:after="0" w:line="277" w:lineRule="auto"/>
        <w:rPr>
          <w:sz w:val="20"/>
          <w:szCs w:val="20"/>
          <w:color w:val="auto"/>
        </w:rPr>
      </w:pPr>
      <w:r>
        <w:rPr>
          <w:rFonts w:ascii="Arial" w:cs="Arial" w:eastAsia="Arial" w:hAnsi="Arial"/>
          <w:sz w:val="18"/>
          <w:szCs w:val="18"/>
          <w:color w:val="auto"/>
        </w:rPr>
        <w:t>(or, as and if applicable, the capital adequacy guidelines or regulations of any successor Appropriate Federal Banking Agency) applicable to the Corporation.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Dividends that are payable on Series I on any Dividend Payment Date will be payable to holders of record of Series I as they appear on the stock register of the Corporation on the applicable record date, which shall be the 15</w:t>
      </w:r>
      <w:r>
        <w:rPr>
          <w:rFonts w:ascii="Arial" w:cs="Arial" w:eastAsia="Arial" w:hAnsi="Arial"/>
          <w:sz w:val="14"/>
          <w:szCs w:val="14"/>
          <w:color w:val="auto"/>
        </w:rPr>
        <w:t>th</w:t>
      </w:r>
      <w:r>
        <w:rPr>
          <w:rFonts w:ascii="Arial" w:cs="Arial" w:eastAsia="Arial" w:hAnsi="Arial"/>
          <w:sz w:val="18"/>
          <w:szCs w:val="18"/>
          <w:color w:val="auto"/>
        </w:rPr>
        <w:t xml:space="preserve"> calendar day before such Dividend Payment Date or such other record date fixed by the Board of Directors (or any duly authorized committee of the Board of Directors) that is not more than 60 days nor less than 10 days prior to such Dividend Payment Date (each, a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Any such day that is a Dividend Record Date shall be a Dividend Record Date whether or not such day is a Business Day.</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dividend period (a “</w:t>
      </w:r>
      <w:r>
        <w:rPr>
          <w:rFonts w:ascii="Arial" w:cs="Arial" w:eastAsia="Arial" w:hAnsi="Arial"/>
          <w:sz w:val="16"/>
          <w:szCs w:val="16"/>
          <w:u w:val="single" w:color="auto"/>
          <w:color w:val="auto"/>
        </w:rPr>
        <w:t>Dividend Period</w:t>
      </w:r>
      <w:r>
        <w:rPr>
          <w:rFonts w:ascii="Arial" w:cs="Arial" w:eastAsia="Arial" w:hAnsi="Arial"/>
          <w:sz w:val="16"/>
          <w:szCs w:val="16"/>
          <w:color w:val="auto"/>
        </w:rPr>
        <w:t>”) shall commence on and include a Dividend Payment Date (other than the initial Dividend Period, which shall commence on and include the date of original issue of the Series I, provided that, for any share of Series I issued after such original issue date, the initial Dividend Period for such shares may commence on and include such other date as the Board of Directors (or any duly authorized committee of the Board of Directors) shall determine and publicly disclose) and shall end on and include the calendar day preceding the next Dividend Payment Date. Dollar amounts resulting from that calculation will be rounded to the nearest cent, with one-half cent being rounded upward. Dividends payable on the Series I in respect of any Dividend Period shall be calculated on the basis of a 360-day year consisting of twelve 30-day months. Dividends payable in respect of a Dividend Period shall be payable in arrears – i.e., on the first Dividend Payment Date after such Dividend Period.</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Holders of Series I shall not be entitled to any dividends, whether payable in cash, securities or other property, other than dividends (if any) declared and payable on the Series I as specified in this Section 4 (subject to the other provisions of this Articles of Amendment).</w:t>
      </w:r>
    </w:p>
    <w:p>
      <w:pPr>
        <w:spacing w:after="0" w:line="197" w:lineRule="exact"/>
        <w:rPr>
          <w:sz w:val="20"/>
          <w:szCs w:val="20"/>
          <w:color w:val="auto"/>
        </w:rPr>
      </w:pPr>
    </w:p>
    <w:p>
      <w:pPr>
        <w:jc w:val="both"/>
        <w:ind w:firstLine="656"/>
        <w:spacing w:after="0" w:line="269" w:lineRule="auto"/>
        <w:tabs>
          <w:tab w:leader="none" w:pos="903"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Priority of Dividends</w:t>
      </w:r>
      <w:r>
        <w:rPr>
          <w:rFonts w:ascii="Arial" w:cs="Arial" w:eastAsia="Arial" w:hAnsi="Arial"/>
          <w:sz w:val="17"/>
          <w:szCs w:val="17"/>
          <w:color w:val="auto"/>
        </w:rPr>
        <w:t>. So long as any share of Series I remains outstanding, (i) no dividend shall be declared or paid on the Common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shares of Junior Stock (other than a dividend payable solely in Junior Stock), (ii) no Common Stock or other Junior Stock shall be purchased, redeemed or otherwise acquired for consideration by the Corporation, directly or indirectly (other than as a result of a reclassification of Junior Stock for or into other Junior Stock, or the exchange or conversion of one share of Junior Stock for or into another share of Junior Stock and other than through the use of the proceeds of a substantially contemporaneous sale of Junior Stock), nor shall any monies be paid to or made available for a sinking fund for the redemption of any such Junior Stock by the Corporation and (iii) no shares of Parity Stock shall be repurchased, redeemed or otherwise acquired for consideration by the Corporation other than pursuant to pro rata offers to purchase all, or a pro rata portion, of the Series I and such Parity Stock except by conversion into or exchange for Junior Stock unless, in each case, the full dividends for the latest completed Dividend Period on all outstanding shares of Series I have been declared and paid (or declared and a sum sufficient for the payment thereof has been set aside). The foregoing provision shall not restrict the ability of the Corporation, or any affiliate of the Corporation, to engage in any market-making transactions in Junior Stock in the ordinary course of business.</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When dividends are not paid (or declared and a sum sufficient for payment thereof set aside) on any Dividend Payment Date (or, in the case of Parity Stock having dividend payment dates different from the Dividend Payment Dates, on a dividend payment date falling within a Dividend Period) in full upon the Series I and any shares of Parity Stock, all dividends declared on the Series I and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pro rata so that the respective amounts of such dividends shall bear the same ratio to each other as all accrued but unpaid dividends per share on the Series I and all Parity Stock payable on such Dividend Payment Date (or, in the case of Parity Stock having dividend payment dates different from the Dividend Payment Dates, on a dividend payment date falling within the Dividend Period related to such Dividend Payment Date) bear to each other.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foregoing,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the shares of Series I or Parity Stock shall not be entitled to participate in any such dividends.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5. Liquidation Rights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63" w:lineRule="auto"/>
        <w:tabs>
          <w:tab w:leader="none" w:pos="906"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Voluntary or Involuntary Liquidation</w:t>
      </w:r>
      <w:r>
        <w:rPr>
          <w:rFonts w:ascii="Arial" w:cs="Arial" w:eastAsia="Arial" w:hAnsi="Arial"/>
          <w:sz w:val="18"/>
          <w:szCs w:val="18"/>
          <w:color w:val="auto"/>
        </w:rPr>
        <w:t>. In the event of any liquidation, dissolution or winding up of the affairs of the Corporation, whether</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or involuntary, holders of Series I shall be entitled to receive, out of the assets of the Corporation or proceeds thereof (whether capital or surplus) available for distribution to stockholders of the Corporation, and</w:t>
      </w:r>
    </w:p>
    <w:p>
      <w:pPr>
        <w:sectPr>
          <w:pgSz w:w="11900" w:h="16838" w:orient="portrait"/>
          <w:cols w:equalWidth="0" w:num="1">
            <w:col w:w="11240"/>
          </w:cols>
          <w:pgMar w:left="320" w:top="895" w:right="3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after satisfaction of all liabilities and obligations to creditors of the Corporation, before any distribution of such assets or proceeds is made to or set aside for the holders of Common Stock and any other stock of the Corporation ranking junior to the Series I as to such distribution, and subject to the rights of the holders of any Parity Stock upon liquidation, in full an amount equal to $25,000 per share, together with an amount equal to all dividends (if any) that have been declared but not paid prior to the date of payment of such distribution (but without any amount in respect of dividends that have not been declared prior to such payment date).</w:t>
      </w:r>
    </w:p>
    <w:p>
      <w:pPr>
        <w:spacing w:after="0" w:line="188" w:lineRule="exact"/>
        <w:rPr>
          <w:sz w:val="20"/>
          <w:szCs w:val="20"/>
          <w:color w:val="auto"/>
        </w:rPr>
      </w:pPr>
    </w:p>
    <w:p>
      <w:pPr>
        <w:jc w:val="both"/>
        <w:ind w:firstLine="656"/>
        <w:spacing w:after="0" w:line="291" w:lineRule="auto"/>
        <w:tabs>
          <w:tab w:leader="none" w:pos="903"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Partial Payment</w:t>
      </w:r>
      <w:r>
        <w:rPr>
          <w:rFonts w:ascii="Arial" w:cs="Arial" w:eastAsia="Arial" w:hAnsi="Arial"/>
          <w:sz w:val="16"/>
          <w:szCs w:val="16"/>
          <w:color w:val="auto"/>
        </w:rPr>
        <w:t>. If in any distribution described in Section 5(a) above the assets of the Corporation or proceeds thereof are not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pay the Liquidation Preferences (as defined below) in full to all holders of Series I and all holders of any Parity Stock, the amounts paid to the holders of Series I and to the holders of all such Parity Stock shall be paid pro rata in accordance with the respective aggregate Liquidation Preferences of the holders of Series I and the holders of all such Parity Stock. In any such distribution, the “Liquidation Preference” of any holder of stock of the Corporation shall mean the amount otherwise payable to such holder in such distribution (assuming no limitation on the assets of the Corporation available for such distribution), including an amount equal to any declared but unpaid dividends (and, in the case of any holder of stock other than Series I and on which dividends accrue on a cumulative basis, an amount equal to any unpaid, accrued, cumulative dividends, whether or not declared, as applicable).</w:t>
      </w:r>
    </w:p>
    <w:p>
      <w:pPr>
        <w:spacing w:after="0" w:line="193" w:lineRule="exact"/>
        <w:rPr>
          <w:rFonts w:ascii="Arial" w:cs="Arial" w:eastAsia="Arial" w:hAnsi="Arial"/>
          <w:sz w:val="16"/>
          <w:szCs w:val="16"/>
          <w:color w:val="auto"/>
        </w:rPr>
      </w:pPr>
    </w:p>
    <w:p>
      <w:pPr>
        <w:jc w:val="both"/>
        <w:ind w:firstLine="656"/>
        <w:spacing w:after="0" w:line="263" w:lineRule="auto"/>
        <w:tabs>
          <w:tab w:leader="none" w:pos="90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Residual Distributions</w:t>
      </w:r>
      <w:r>
        <w:rPr>
          <w:rFonts w:ascii="Arial" w:cs="Arial" w:eastAsia="Arial" w:hAnsi="Arial"/>
          <w:sz w:val="18"/>
          <w:szCs w:val="18"/>
          <w:color w:val="auto"/>
        </w:rPr>
        <w:t>. If the Liquidation Preference has been paid in full to all holders of Series I and all holders of any Parity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other stock of the Corporation shall be entitled to receive all remaining assets of the Corporation (or proceeds thereof) according to their respective rights and preferences.</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03"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Merger, Consolidation and Sale of Assets Not Liquidation</w:t>
      </w:r>
      <w:r>
        <w:rPr>
          <w:rFonts w:ascii="Arial" w:cs="Arial" w:eastAsia="Arial" w:hAnsi="Arial"/>
          <w:sz w:val="18"/>
          <w:szCs w:val="18"/>
          <w:color w:val="auto"/>
        </w:rPr>
        <w:t>. For purposes of this Section 5, the merger or consolidation of the Corporation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any other corporation or other entity, including a merger or consolidation in which the holders of Series I receive cash, securities or other property for their shares, or the sale, lease or exchange (for cash, securities or other property) of all or substantially all of the assets of the Corporation, shall not constitute a liquidation, dissolution or winding up of the Corporation.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6. Redemption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87" w:lineRule="auto"/>
        <w:tabs>
          <w:tab w:leader="none" w:pos="892"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 The Series I is perpetual and has no maturity date. The Corporation may, at its option, redeem the shares of Series I at</w:t>
      </w:r>
      <w:r>
        <w:rPr>
          <w:rFonts w:ascii="Arial" w:cs="Arial" w:eastAsia="Arial" w:hAnsi="Arial"/>
          <w:sz w:val="16"/>
          <w:szCs w:val="16"/>
          <w:i w:val="1"/>
          <w:iCs w:val="1"/>
          <w:color w:val="auto"/>
        </w:rPr>
        <w:t xml:space="preserve"> </w:t>
      </w:r>
      <w:r>
        <w:rPr>
          <w:rFonts w:ascii="Arial" w:cs="Arial" w:eastAsia="Arial" w:hAnsi="Arial"/>
          <w:sz w:val="16"/>
          <w:szCs w:val="16"/>
          <w:color w:val="auto"/>
        </w:rPr>
        <w:t>the time outstanding, upon notice given as provided in Section 6(c) below, (i) in whole or in part, from time to time, on any date on or after September 15, 2025 (or, if not a Business Day, the next succeeding Business Day), or (ii) in whole but not in part at any time within 90 days following a Regulatory Capital Event, in each case, at a redemption price per share equal to $25,000, plus (except as otherwise provided herein below) an amount equal to any dividends per share that have accrued but not been paid for the then-current Dividend Period to but excluding the redemption date, whether or not such dividends have been declared. The redemption price for any shares of Series I shall be payable on the redemption date to the holder of such shares against surrender of the certificate(s) evidencing such shares to the Corporation or its agent.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4 above. Notwithstanding the foregoing, the Corporation may not redeem shares of Series I without having received the prior approval of the Appropriate Federal Banking Agency if then required under capital guidelines applicable to the Corporation.</w:t>
      </w:r>
    </w:p>
    <w:p>
      <w:pPr>
        <w:spacing w:after="0" w:line="171" w:lineRule="exact"/>
        <w:rPr>
          <w:rFonts w:ascii="Arial" w:cs="Arial" w:eastAsia="Arial" w:hAnsi="Arial"/>
          <w:sz w:val="16"/>
          <w:szCs w:val="16"/>
          <w:color w:val="auto"/>
        </w:rPr>
      </w:pPr>
    </w:p>
    <w:p>
      <w:pPr>
        <w:ind w:firstLine="656"/>
        <w:spacing w:after="0" w:line="277" w:lineRule="auto"/>
        <w:tabs>
          <w:tab w:leader="none" w:pos="903"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No Sinking Fund</w:t>
      </w:r>
      <w:r>
        <w:rPr>
          <w:rFonts w:ascii="Arial" w:cs="Arial" w:eastAsia="Arial" w:hAnsi="Arial"/>
          <w:sz w:val="18"/>
          <w:szCs w:val="18"/>
          <w:color w:val="auto"/>
        </w:rPr>
        <w:t>. The Series I will not be subject to any mandatory redemption, sinking fund or other similar provisions. Holders of Series I</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no right to require redemption of any shares of Series I.</w:t>
      </w:r>
    </w:p>
    <w:p>
      <w:pPr>
        <w:spacing w:after="0" w:line="170" w:lineRule="exact"/>
        <w:rPr>
          <w:rFonts w:ascii="Arial" w:cs="Arial" w:eastAsia="Arial" w:hAnsi="Arial"/>
          <w:sz w:val="18"/>
          <w:szCs w:val="18"/>
          <w:color w:val="auto"/>
        </w:rPr>
      </w:pPr>
    </w:p>
    <w:p>
      <w:pPr>
        <w:jc w:val="both"/>
        <w:ind w:firstLine="656"/>
        <w:spacing w:after="0" w:line="288" w:lineRule="auto"/>
        <w:tabs>
          <w:tab w:leader="none" w:pos="90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Notice of Redemption</w:t>
      </w:r>
      <w:r>
        <w:rPr>
          <w:rFonts w:ascii="Arial" w:cs="Arial" w:eastAsia="Arial" w:hAnsi="Arial"/>
          <w:sz w:val="16"/>
          <w:szCs w:val="16"/>
          <w:color w:val="auto"/>
        </w:rPr>
        <w:t>. Notice of every redemption of shares of Series I shall be given by first class mail, postage prepaid, addressed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record of the shares to be redeemed at their respective last addresses appearing on the books of the Corporation. Such mailing shall be at least 30 days and not more than 60 days before the date fixed for redemption. Any notice mailed as provided in this Section 6(c) shall be conclusively presumed to have been duly given, whether or not the holder receives such notice, but failure duly to give such notice by mail, or any defect in such notice or in the mailing thereof, to any holder of shares of Series I designated for redemption shall not affect the validity of the proceedings for the redemption of any other shares of Series I. Notwithstanding the foregoing, if the Series I or any depositary shares representing interests in the Series I are issued in book-entry form through The Depository Trust Company or any other similar facility, notice of redemption may be given to the holders of Series I at such time and in any manner permitted by such facility. Each such notice given to a holder shall state: (1) the redemption date; (2) the number of shares of Series I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ectPr>
          <w:pgSz w:w="11900" w:h="16838" w:orient="portrait"/>
          <w:cols w:equalWidth="0" w:num="1">
            <w:col w:w="11240"/>
          </w:cols>
          <w:pgMar w:left="320" w:top="895" w:right="339" w:bottom="1440" w:gutter="0" w:footer="0" w:header="0"/>
        </w:sectPr>
      </w:pPr>
    </w:p>
    <w:bookmarkStart w:id="72" w:name="page73"/>
    <w:bookmarkEnd w:id="72"/>
    <w:p>
      <w:pPr>
        <w:jc w:val="both"/>
        <w:ind w:firstLine="656"/>
        <w:spacing w:after="0" w:line="279" w:lineRule="auto"/>
        <w:tabs>
          <w:tab w:leader="none" w:pos="903"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Partial Redemption</w:t>
      </w:r>
      <w:r>
        <w:rPr>
          <w:rFonts w:ascii="Arial" w:cs="Arial" w:eastAsia="Arial" w:hAnsi="Arial"/>
          <w:sz w:val="17"/>
          <w:szCs w:val="17"/>
          <w:color w:val="auto"/>
        </w:rPr>
        <w:t>. In case of any redemption of only part of the shares of Series I at the time outstanding, the shares to be redeemed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selected either pro rata or by lot. Subject to the provisions hereof, the Corporation shall have full power and authority to prescribe the terms and conditions upon which shares of Series I shall be redeemed from time to time. If fewer than all the shares represented by any certificate are redeemed, a new certificate shall be issued representing the unredeemed shares without charge to the holder thereof.</w:t>
      </w:r>
    </w:p>
    <w:p>
      <w:pPr>
        <w:spacing w:after="0" w:line="171" w:lineRule="exact"/>
        <w:rPr>
          <w:rFonts w:ascii="Arial" w:cs="Arial" w:eastAsia="Arial" w:hAnsi="Arial"/>
          <w:sz w:val="17"/>
          <w:szCs w:val="17"/>
          <w:color w:val="auto"/>
        </w:rPr>
      </w:pPr>
    </w:p>
    <w:p>
      <w:pPr>
        <w:jc w:val="both"/>
        <w:ind w:firstLine="656"/>
        <w:spacing w:after="0" w:line="289" w:lineRule="auto"/>
        <w:tabs>
          <w:tab w:leader="none" w:pos="90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Effectiveness of Redemption</w:t>
      </w:r>
      <w:r>
        <w:rPr>
          <w:rFonts w:ascii="Arial" w:cs="Arial" w:eastAsia="Arial" w:hAnsi="Arial"/>
          <w:sz w:val="16"/>
          <w:szCs w:val="16"/>
          <w:color w:val="auto"/>
        </w:rPr>
        <w:t>. If notice of redemption has been duly given and if on or before the redemption date specified in the notice all</w:t>
      </w:r>
      <w:r>
        <w:rPr>
          <w:rFonts w:ascii="Arial" w:cs="Arial" w:eastAsia="Arial" w:hAnsi="Arial"/>
          <w:sz w:val="16"/>
          <w:szCs w:val="16"/>
          <w:i w:val="1"/>
          <w:iCs w:val="1"/>
          <w:color w:val="auto"/>
        </w:rPr>
        <w:t xml:space="preserve"> </w:t>
      </w:r>
      <w:r>
        <w:rPr>
          <w:rFonts w:ascii="Arial" w:cs="Arial" w:eastAsia="Arial" w:hAnsi="Arial"/>
          <w:sz w:val="16"/>
          <w:szCs w:val="16"/>
          <w:color w:val="auto"/>
        </w:rPr>
        <w:t>funds necessary for the redemption have been set aside by the Corporation, separate and apart from its other funds, in trust for the pro rata benefit of the holders of the shares called for redemption, so as to be and continue to be available therefor, then, notwithstanding that any certificate for any share so called for redemption has not been surrendered for cancellation, on and after the redemption date dividends shall cease to accrue on all shares so called for redemption unless the Corporation defaults in the payment of the redemption price of the shares of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7. Voting Rights</w:t>
      </w:r>
      <w:r>
        <w:rPr>
          <w:rFonts w:ascii="Arial" w:cs="Arial" w:eastAsia="Arial" w:hAnsi="Arial"/>
          <w:sz w:val="18"/>
          <w:szCs w:val="18"/>
          <w:b w:val="1"/>
          <w:bCs w:val="1"/>
          <w:color w:val="auto"/>
        </w:rPr>
        <w:t>.</w:t>
      </w:r>
    </w:p>
    <w:p>
      <w:pPr>
        <w:spacing w:after="0" w:line="229" w:lineRule="exact"/>
        <w:rPr>
          <w:sz w:val="20"/>
          <w:szCs w:val="20"/>
          <w:color w:val="auto"/>
        </w:rPr>
      </w:pPr>
    </w:p>
    <w:p>
      <w:pPr>
        <w:ind w:left="900" w:hanging="244"/>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The holders of Series I shall not have any voting rights except as set forth below or as otherwise from time to time required by law.</w:t>
      </w:r>
    </w:p>
    <w:p>
      <w:pPr>
        <w:spacing w:after="0" w:line="248" w:lineRule="exact"/>
        <w:rPr>
          <w:rFonts w:ascii="Arial" w:cs="Arial" w:eastAsia="Arial" w:hAnsi="Arial"/>
          <w:sz w:val="16"/>
          <w:szCs w:val="16"/>
          <w:color w:val="auto"/>
        </w:rPr>
      </w:pPr>
    </w:p>
    <w:p>
      <w:pPr>
        <w:jc w:val="both"/>
        <w:ind w:firstLine="656"/>
        <w:spacing w:after="0" w:line="290" w:lineRule="auto"/>
        <w:tabs>
          <w:tab w:leader="none" w:pos="903"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Right To Elect Two Directors Upon Nonpayment Events</w:t>
      </w:r>
      <w:r>
        <w:rPr>
          <w:rFonts w:ascii="Arial" w:cs="Arial" w:eastAsia="Arial" w:hAnsi="Arial"/>
          <w:sz w:val="16"/>
          <w:szCs w:val="16"/>
          <w:color w:val="auto"/>
        </w:rPr>
        <w:t>. If and whenever dividends on any shares of Series I or any shares of Voting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shall not have been declared and paid for at least six Dividend Periods, whether or not consecutive (a “</w:t>
      </w:r>
      <w:r>
        <w:rPr>
          <w:rFonts w:ascii="Arial" w:cs="Arial" w:eastAsia="Arial" w:hAnsi="Arial"/>
          <w:sz w:val="16"/>
          <w:szCs w:val="16"/>
          <w:u w:val="single" w:color="auto"/>
          <w:color w:val="auto"/>
        </w:rPr>
        <w:t>Nonpayment Event</w:t>
      </w:r>
      <w:r>
        <w:rPr>
          <w:rFonts w:ascii="Arial" w:cs="Arial" w:eastAsia="Arial" w:hAnsi="Arial"/>
          <w:sz w:val="16"/>
          <w:szCs w:val="16"/>
          <w:color w:val="auto"/>
        </w:rPr>
        <w:t>”), the number of directors then constituting the Board of Directors shall automatically be increased by two and the holders of Series I, together with the holders of all outstanding shares of Voting Preferred Stock, voting together as a single class, shall be entitled to elect the two additional directors (the “</w:t>
      </w: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provided that the Board of Directors shall at no time include more than two Preferred Stock Directors (including, for purposes of this limitation, all directors that the holders of any series of Voting Preferred Stock are entitled to elect pursuant to like voting rights) and that the election of any Preferred Stock Directors shall not cause the Corporation to violate the corporate governance requirements of the Nasdaq Global Select Market (or any other exchange on which the Corporation’s securities may be listed) that listed companies must have a majority of independent directors.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event that the holders of the Series I, and such other holders of Voting Preferred Stock, shall be entitled to vote for the election of the Preferred Stock Directors following a Nonpayment Event, such directors shall be initially elected following such Nonpayment Event only at a special meeting called at the request of the holders of record of at least 20% of the Series I or of any other series of Voting Preferred Stock then outstanding (unless such request for a special meeting is received less than 90 days before the date fixed for the next annual or special meeting of the stockholders of the Corporation, in which event such election shall be held only at such next annual or special meeting of stockholders), and at each subsequent annual meeting of stockholders of the Corporation. Such request to call a special meeting for the initial election of the Preferred Stock Directors after a Nonpayment Event shall be made by written notice, signed by the requisite holders of Series I or any series of Voting Preferred Stock, and delivered to the Secretary of the Corporation in such manner as provided for in Section 10 below, or as may otherwise be required by law.</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dividends have been paid in full on the Series I and any Voting Preferred Stock for four consecutive Dividend Periods after a Nonpayment Event, then the right of the holders of Series I and Voting Preferred Stock to elect the Preferred Stock Directors shall cease (but subject always to revesting of such voting rights in the case of any future Nonpayment Event), and, if and when any rights of holders of Series I and Voting Preferred Stock to elect the Preferred Stock Directors shall have ceased, the terms of office of all the Preferred Stock Directors shall forthwith terminate and the number of directors constituting the Board of Directors shall automatically be reduced accordingly.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Preferred Stock Director may be removed at any time without cause by the holders of record of a majority of all of the outstanding shares of the Series I and Voting Preferred Stock, when they have the voting rights described above (voting together as a single class). So long as a Nonpayment Event shall continue, any vacancy in the office of a Preferred Stock Director (other than prior to the initial election of Preferred Stock Directors after a Nonpayment Event) may be filled by the written consent of the Preferred Stock Director remaining in office, or if none remains in office, by a vote of the holders of record of a majority of all of the outstanding shares of the Series I and Voting Preferred Stock, when they have the voting rights described above (voting together as a single class). Any such vote of stockholders to remove, or to fill a vacancy in the office</w:t>
      </w:r>
    </w:p>
    <w:p>
      <w:pPr>
        <w:sectPr>
          <w:pgSz w:w="11900" w:h="16838" w:orient="portrait"/>
          <w:cols w:equalWidth="0" w:num="1">
            <w:col w:w="11240"/>
          </w:cols>
          <w:pgMar w:left="320" w:top="895" w:right="339" w:bottom="1440" w:gutter="0" w:footer="0" w:header="0"/>
        </w:sectPr>
      </w:pPr>
    </w:p>
    <w:bookmarkStart w:id="73" w:name="page74"/>
    <w:bookmarkEnd w:id="73"/>
    <w:p>
      <w:pPr>
        <w:jc w:val="both"/>
        <w:spacing w:after="0" w:line="273" w:lineRule="auto"/>
        <w:rPr>
          <w:sz w:val="20"/>
          <w:szCs w:val="20"/>
          <w:color w:val="auto"/>
        </w:rPr>
      </w:pPr>
      <w:r>
        <w:rPr>
          <w:rFonts w:ascii="Arial" w:cs="Arial" w:eastAsia="Arial" w:hAnsi="Arial"/>
          <w:sz w:val="17"/>
          <w:szCs w:val="17"/>
          <w:color w:val="auto"/>
        </w:rPr>
        <w:t>of, a Preferred Stock Director may be taken only at a special meeting of such stockholders, called as provided above for an initial election of Preferred Stock Director after a Nonpayment Event (unless such request is received less than 90 days before the date fixed for the next annual or special meeting of the stockholders, in which event such election shall be held at such next annual or special meeting of stockholders). The Preferred Stock Directors shall each be entitled to one vote per director on any matter that shall come before the Board of Directors for a vote. Each Preferred Stock Director elected at any special meeting of stockholders or by written consent of the other Preferred Stock Director shall hold office until the next annual meeting of the stockholders if such office shall not have previously terminated as above provided.</w:t>
      </w:r>
    </w:p>
    <w:p>
      <w:pPr>
        <w:spacing w:after="0" w:line="178" w:lineRule="exact"/>
        <w:rPr>
          <w:sz w:val="20"/>
          <w:szCs w:val="20"/>
          <w:color w:val="auto"/>
        </w:rPr>
      </w:pPr>
    </w:p>
    <w:p>
      <w:pPr>
        <w:jc w:val="both"/>
        <w:ind w:firstLine="656"/>
        <w:spacing w:after="0" w:line="259" w:lineRule="auto"/>
        <w:tabs>
          <w:tab w:leader="none" w:pos="89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Other Voting Rights</w:t>
      </w:r>
      <w:r>
        <w:rPr>
          <w:rFonts w:ascii="Arial" w:cs="Arial" w:eastAsia="Arial" w:hAnsi="Arial"/>
          <w:sz w:val="18"/>
          <w:szCs w:val="18"/>
          <w:color w:val="auto"/>
        </w:rPr>
        <w:t>. So long as any shares of Series I are outstanding, in addition to any other vote or consent of stockholders required by law</w:t>
      </w:r>
      <w:r>
        <w:rPr>
          <w:rFonts w:ascii="Arial" w:cs="Arial" w:eastAsia="Arial" w:hAnsi="Arial"/>
          <w:sz w:val="18"/>
          <w:szCs w:val="18"/>
          <w:i w:val="1"/>
          <w:iCs w:val="1"/>
          <w:color w:val="auto"/>
        </w:rPr>
        <w:t xml:space="preserve"> </w:t>
      </w:r>
      <w:r>
        <w:rPr>
          <w:rFonts w:ascii="Arial" w:cs="Arial" w:eastAsia="Arial" w:hAnsi="Arial"/>
          <w:sz w:val="18"/>
          <w:szCs w:val="18"/>
          <w:color w:val="auto"/>
        </w:rPr>
        <w:t>or by the Articles of Incorporation, the vote or consent of the holders of at least two-thirds of the shares of Series I and any Parity Stock at the time outstanding and entitled to vote thereon, voting together as a single class, given in person or by proxy, either in writing without a meeting or by vote at any meeting called for the purpose, shall be necessary for effecting or validating:</w:t>
      </w:r>
    </w:p>
    <w:p>
      <w:pPr>
        <w:spacing w:after="0" w:line="186" w:lineRule="exact"/>
        <w:rPr>
          <w:rFonts w:ascii="Arial" w:cs="Arial" w:eastAsia="Arial" w:hAnsi="Arial"/>
          <w:sz w:val="18"/>
          <w:szCs w:val="18"/>
          <w:color w:val="auto"/>
        </w:rPr>
      </w:pPr>
    </w:p>
    <w:p>
      <w:pPr>
        <w:jc w:val="both"/>
        <w:ind w:firstLine="1304"/>
        <w:spacing w:after="0" w:line="286" w:lineRule="auto"/>
        <w:tabs>
          <w:tab w:leader="none" w:pos="1524"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Authorization of Senior Stock</w:t>
      </w:r>
      <w:r>
        <w:rPr>
          <w:rFonts w:ascii="Arial" w:cs="Arial" w:eastAsia="Arial" w:hAnsi="Arial"/>
          <w:sz w:val="17"/>
          <w:szCs w:val="17"/>
          <w:color w:val="auto"/>
        </w:rPr>
        <w:t>. Any amendment or alteration of the Articles of Incorporation to authorize or create, or increase the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amount of, any shares of any class or series of capital stock of the Corporation ranking senior to the Series I with respect to either or both the payment of dividends and/or the distribution of assets on any liquidation, dissolution or winding up of the Corporation;</w:t>
      </w:r>
    </w:p>
    <w:p>
      <w:pPr>
        <w:spacing w:after="0" w:line="165" w:lineRule="exact"/>
        <w:rPr>
          <w:rFonts w:ascii="Arial" w:cs="Arial" w:eastAsia="Arial" w:hAnsi="Arial"/>
          <w:sz w:val="17"/>
          <w:szCs w:val="17"/>
          <w:color w:val="auto"/>
        </w:rPr>
      </w:pPr>
    </w:p>
    <w:p>
      <w:pPr>
        <w:ind w:right="20" w:firstLine="1304"/>
        <w:spacing w:after="0" w:line="258" w:lineRule="auto"/>
        <w:tabs>
          <w:tab w:leader="none" w:pos="1561"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Amendment of Series I</w:t>
      </w:r>
      <w:r>
        <w:rPr>
          <w:rFonts w:ascii="Arial" w:cs="Arial" w:eastAsia="Arial" w:hAnsi="Arial"/>
          <w:sz w:val="18"/>
          <w:szCs w:val="18"/>
          <w:color w:val="auto"/>
        </w:rPr>
        <w:t>. Any amendment, alteration or repeal of any provision of the Articles of Incorporation so as to materially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adversely affect the special rights, preferences, privileges or voting powers of the Series I, taken as a whole; or</w:t>
      </w:r>
    </w:p>
    <w:p>
      <w:pPr>
        <w:spacing w:after="0" w:line="1" w:lineRule="exact"/>
        <w:rPr>
          <w:rFonts w:ascii="Arial" w:cs="Arial" w:eastAsia="Arial" w:hAnsi="Arial"/>
          <w:sz w:val="18"/>
          <w:szCs w:val="18"/>
          <w:color w:val="auto"/>
        </w:rPr>
      </w:pPr>
    </w:p>
    <w:p>
      <w:pPr>
        <w:jc w:val="both"/>
        <w:ind w:firstLine="1304"/>
        <w:spacing w:after="0" w:line="267" w:lineRule="auto"/>
        <w:tabs>
          <w:tab w:leader="none" w:pos="1611"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Share Exchanges, Reclassifications, Mergers and Consolidations</w:t>
      </w:r>
      <w:r>
        <w:rPr>
          <w:rFonts w:ascii="Arial" w:cs="Arial" w:eastAsia="Arial" w:hAnsi="Arial"/>
          <w:sz w:val="17"/>
          <w:szCs w:val="17"/>
          <w:color w:val="auto"/>
        </w:rPr>
        <w:t>. Any consummation of a binding share exchange or reclassification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involving the Series I, a merger or consolidation of the Corporation with another corporation or other entity, or a conversion, transfer, domestication or continuance into another entity or an entity organized under the laws of another jurisdiction, unless in each case (x) the shares of Series I remain outstanding or, in the case of any such merger or consolidation with respect to which the Corporation is not the surviving or resulting entity or in the case of any such conversion, transfer, domestication or continuance, the shares of Series I are converted into or exchanged for preferred securities of the surviving or resulting entity or its ultimate parent and such surviving or resulting entity or ultimate parent, as the case may be, is organized under the laws of the United States of America, any State thereof, the District of Columbia, Bermuda, the Cayman Islands or any country or state that is a member of the Organization of Economic Cooperation and Development, and (y) such shares remaining outstanding or such preferred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the Series I immediately prior to such consummation, taken as a whole;</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for all purposes of this Section 7(c), any increase in the amount of the authorized or issued Series I or authorized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the creation and issuance, or an increase in the authorized or issued amount, of any other series of Preferred Stock ranking equally with and/or junior to the Series I with respect to the payment of dividends (whether such dividends are cumulative or non-cumulative) and/or the distribution of assets upon liquidation, dissolution or winding up of the Corporation will not be deemed to adversely affect the rights, preferences, privileges or voting powers of the Series I.</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any amendment, alteration, repeal, share exchange, reclassification, merger or consolidation specified in this Section 7(c) would adversely affect the Series I and one or more but not all other series of Preferred Stock, then only the Series I and such series of Preferred Stock as are adversely affected by and entitled to vote on the matter shall vote on the matter together as a single class (in lieu of all other series of Preferred Stock).</w:t>
      </w:r>
    </w:p>
    <w:p>
      <w:pPr>
        <w:spacing w:after="0" w:line="149" w:lineRule="exact"/>
        <w:rPr>
          <w:sz w:val="20"/>
          <w:szCs w:val="20"/>
          <w:color w:val="auto"/>
        </w:rPr>
      </w:pPr>
    </w:p>
    <w:p>
      <w:pPr>
        <w:jc w:val="both"/>
        <w:ind w:firstLine="656"/>
        <w:spacing w:after="0" w:line="263" w:lineRule="auto"/>
        <w:tabs>
          <w:tab w:leader="none" w:pos="91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Changes for Clarification</w:t>
      </w:r>
      <w:r>
        <w:rPr>
          <w:rFonts w:ascii="Arial" w:cs="Arial" w:eastAsia="Arial" w:hAnsi="Arial"/>
          <w:sz w:val="18"/>
          <w:szCs w:val="18"/>
          <w:color w:val="auto"/>
        </w:rPr>
        <w:t>. Without the consent of the holders of the Series I, so long as such action does not adversely affect the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preferences, privileges and voting powers, and limitations and restrictions thereof, of the Series I, the Corporation may amend, alter, supplement or repeal any terms of the Series I:</w:t>
      </w:r>
    </w:p>
    <w:p>
      <w:pPr>
        <w:spacing w:after="0" w:line="183" w:lineRule="exact"/>
        <w:rPr>
          <w:rFonts w:ascii="Arial" w:cs="Arial" w:eastAsia="Arial" w:hAnsi="Arial"/>
          <w:sz w:val="18"/>
          <w:szCs w:val="18"/>
          <w:color w:val="auto"/>
        </w:rPr>
      </w:pPr>
    </w:p>
    <w:p>
      <w:pPr>
        <w:ind w:left="1520" w:hanging="216"/>
        <w:spacing w:after="0"/>
        <w:tabs>
          <w:tab w:leader="none" w:pos="15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to cure any ambiguity, or to cure, correct or supplement any provision contained in this Articles of Amendment that may be defective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inconsistent; or</w:t>
      </w:r>
    </w:p>
    <w:p>
      <w:pPr>
        <w:spacing w:after="0" w:line="210" w:lineRule="exact"/>
        <w:rPr>
          <w:rFonts w:ascii="Arial" w:cs="Arial" w:eastAsia="Arial" w:hAnsi="Arial"/>
          <w:sz w:val="16"/>
          <w:szCs w:val="16"/>
          <w:color w:val="auto"/>
        </w:rPr>
      </w:pPr>
    </w:p>
    <w:p>
      <w:pPr>
        <w:ind w:right="20" w:firstLine="1304"/>
        <w:spacing w:after="0" w:line="277" w:lineRule="auto"/>
        <w:tabs>
          <w:tab w:leader="none" w:pos="15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make any provision with respect to matters or questions arising with respect to the Series I that is not inconsistent with the provisions of this Articles of Amendment.</w:t>
      </w:r>
    </w:p>
    <w:p>
      <w:pPr>
        <w:spacing w:after="0" w:line="170" w:lineRule="exact"/>
        <w:rPr>
          <w:rFonts w:ascii="Arial" w:cs="Arial" w:eastAsia="Arial" w:hAnsi="Arial"/>
          <w:sz w:val="18"/>
          <w:szCs w:val="18"/>
          <w:color w:val="auto"/>
        </w:rPr>
      </w:pPr>
    </w:p>
    <w:p>
      <w:pPr>
        <w:ind w:firstLine="656"/>
        <w:spacing w:after="0" w:line="277" w:lineRule="auto"/>
        <w:tabs>
          <w:tab w:leader="none" w:pos="906"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Changes after Provision for Redemption</w:t>
      </w:r>
      <w:r>
        <w:rPr>
          <w:rFonts w:ascii="Arial" w:cs="Arial" w:eastAsia="Arial" w:hAnsi="Arial"/>
          <w:sz w:val="18"/>
          <w:szCs w:val="18"/>
          <w:color w:val="auto"/>
        </w:rPr>
        <w:t>. No vote or consent of the holders of Series I shall be required pursuant to Section 7(b), (c) or (d)</w:t>
      </w:r>
      <w:r>
        <w:rPr>
          <w:rFonts w:ascii="Arial" w:cs="Arial" w:eastAsia="Arial" w:hAnsi="Arial"/>
          <w:sz w:val="18"/>
          <w:szCs w:val="18"/>
          <w:i w:val="1"/>
          <w:iCs w:val="1"/>
          <w:color w:val="auto"/>
        </w:rPr>
        <w:t xml:space="preserve"> </w:t>
      </w:r>
      <w:r>
        <w:rPr>
          <w:rFonts w:ascii="Arial" w:cs="Arial" w:eastAsia="Arial" w:hAnsi="Arial"/>
          <w:sz w:val="18"/>
          <w:szCs w:val="18"/>
          <w:color w:val="auto"/>
        </w:rPr>
        <w:t>above if, at or prior to the time when any such vote or consent would otherwise be required pursuant to</w:t>
      </w:r>
    </w:p>
    <w:p>
      <w:pPr>
        <w:sectPr>
          <w:pgSz w:w="11900" w:h="16838" w:orient="portrait"/>
          <w:cols w:equalWidth="0" w:num="1">
            <w:col w:w="11240"/>
          </w:cols>
          <w:pgMar w:left="320" w:top="895" w:right="3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t>such Section, all outstanding shares of Series I shall have been redeemed, or shall have been called for redemption upon proper notice and sufficient funds shall have been set aside for such redemption, in each case pursuant to Section 6 above.</w:t>
      </w:r>
    </w:p>
    <w:p>
      <w:pPr>
        <w:spacing w:after="0" w:line="170" w:lineRule="exact"/>
        <w:rPr>
          <w:sz w:val="20"/>
          <w:szCs w:val="20"/>
          <w:color w:val="auto"/>
        </w:rPr>
      </w:pPr>
    </w:p>
    <w:p>
      <w:pPr>
        <w:jc w:val="both"/>
        <w:ind w:firstLine="656"/>
        <w:spacing w:after="0" w:line="271" w:lineRule="auto"/>
        <w:tabs>
          <w:tab w:leader="none" w:pos="88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Procedures for Voting and Consents</w:t>
      </w:r>
      <w:r>
        <w:rPr>
          <w:rFonts w:ascii="Arial" w:cs="Arial" w:eastAsia="Arial" w:hAnsi="Arial"/>
          <w:sz w:val="17"/>
          <w:szCs w:val="17"/>
          <w:color w:val="auto"/>
        </w:rPr>
        <w:t>. The rules and procedures for calling and conducting any meeting of the holders of Series I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limitation, the fixing of a record date in connection therewith), the solicitation and use of proxies at such a meeting, the obtaining of written consents and any other aspect or matter with regard to such a meeting or such consents shall be governed by any rules the Board of Directors (or any duly authorized committee of the Board of Directors), in its discretion, may adopt from time to time, which rules and procedures shall conform to the requirements of the Articles of Incorporation, the Bylaws, applicable law and any national securities exchange or other trading facility on which the Series I is listed or traded at the time. Whether the vote or consent of the holders of a plurality, majority or other portion of the shares of Series I, Parity Stock and/or Voting Preferred Stock has been cast or given on any matter on which the holders of shares of Series I are entitled to vote shall be determined by the Corporation by reference to the specified liquidation amounts of the shares voted or covered by the consent.</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Section 8. Information Rights. </w:t>
      </w:r>
      <w:r>
        <w:rPr>
          <w:rFonts w:ascii="Arial" w:cs="Arial" w:eastAsia="Arial" w:hAnsi="Arial"/>
          <w:sz w:val="17"/>
          <w:szCs w:val="17"/>
          <w:color w:val="auto"/>
        </w:rPr>
        <w:t>During any period in which the Corporation is not subject to Section 13 or 15(d) of the Securities Exchange Act of</w:t>
      </w:r>
      <w:r>
        <w:rPr>
          <w:rFonts w:ascii="Arial" w:cs="Arial" w:eastAsia="Arial" w:hAnsi="Arial"/>
          <w:sz w:val="17"/>
          <w:szCs w:val="17"/>
          <w:i w:val="1"/>
          <w:iCs w:val="1"/>
          <w:color w:val="auto"/>
        </w:rPr>
        <w:t xml:space="preserve"> </w:t>
      </w:r>
      <w:r>
        <w:rPr>
          <w:rFonts w:ascii="Arial" w:cs="Arial" w:eastAsia="Arial" w:hAnsi="Arial"/>
          <w:sz w:val="17"/>
          <w:szCs w:val="17"/>
          <w:color w:val="auto"/>
        </w:rPr>
        <w:t>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and any shares of Series I are outstanding, the Corporation will use its best efforts to (a) transmit through the Corporation’s website at </w:t>
      </w:r>
      <w:r>
        <w:rPr>
          <w:rFonts w:ascii="Arial" w:cs="Arial" w:eastAsia="Arial" w:hAnsi="Arial"/>
          <w:sz w:val="17"/>
          <w:szCs w:val="17"/>
          <w:u w:val="single" w:color="auto"/>
          <w:color w:val="auto"/>
        </w:rPr>
        <w:t>www.ucbi.com</w:t>
      </w:r>
      <w:r>
        <w:rPr>
          <w:rFonts w:ascii="Arial" w:cs="Arial" w:eastAsia="Arial" w:hAnsi="Arial"/>
          <w:sz w:val="17"/>
          <w:szCs w:val="17"/>
          <w:color w:val="auto"/>
        </w:rPr>
        <w:t xml:space="preserve"> (or other permissible means under the Exchange Act) to all holders of the Series I, as their names and addresses appear on the record books of the Corporation and without cost to such holders, copies of the Annual Reports on Form 10-K and Quarterly Reports on Form 10-Q, respectively, that the Corporation would have been required to file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Section 13 or 15(d) of the Exchange Act if it were subject thereto (other than any exhibits that would have been required); and (b) promptly, upon request, supply copies of such reports to any holders or prospective holder of Series I. The Corporation will use its best efforts to mail (or otherwise provide) the information to the holders of the Series I within 15 days after the respective dates by which a periodic report on Form 10-K or Form 10-Q, as the case may be, in respect of such information would have been required to be filed with the SEC, if the Corporation were subject to Section 13 or 15(d) of the Exchange Act, in each case, based on the dates on which the Corporation would be required to file such periodic reports if it were a “non-accelerated filer” within the meaning of the Exchange Act.</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9. Record Holders</w:t>
      </w:r>
      <w:r>
        <w:rPr>
          <w:rFonts w:ascii="Arial" w:cs="Arial" w:eastAsia="Arial" w:hAnsi="Arial"/>
          <w:sz w:val="18"/>
          <w:szCs w:val="18"/>
          <w:color w:val="auto"/>
        </w:rPr>
        <w:t>. To the fullest extent permitted by applicable law, the Corporation and the transfer agent for the Series I may deem and</w:t>
      </w:r>
      <w:r>
        <w:rPr>
          <w:rFonts w:ascii="Arial" w:cs="Arial" w:eastAsia="Arial" w:hAnsi="Arial"/>
          <w:sz w:val="18"/>
          <w:szCs w:val="18"/>
          <w:i w:val="1"/>
          <w:iCs w:val="1"/>
          <w:color w:val="auto"/>
        </w:rPr>
        <w:t xml:space="preserve"> </w:t>
      </w:r>
      <w:r>
        <w:rPr>
          <w:rFonts w:ascii="Arial" w:cs="Arial" w:eastAsia="Arial" w:hAnsi="Arial"/>
          <w:sz w:val="18"/>
          <w:szCs w:val="18"/>
          <w:color w:val="auto"/>
        </w:rPr>
        <w:t>treat the record holder of any share of Series I as the true and lawful owner thereof for all purposes, and neither the Corporation nor such transfer agent shall be affected by any notice to the contrary.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10. Notices</w:t>
      </w:r>
      <w:r>
        <w:rPr>
          <w:rFonts w:ascii="Arial" w:cs="Arial" w:eastAsia="Arial" w:hAnsi="Arial"/>
          <w:sz w:val="18"/>
          <w:szCs w:val="18"/>
          <w:color w:val="auto"/>
        </w:rPr>
        <w:t>. All notices or communications in respect of Series I shall be sufficiently given if given in writing and delivered in person or</w:t>
      </w:r>
      <w:r>
        <w:rPr>
          <w:rFonts w:ascii="Arial" w:cs="Arial" w:eastAsia="Arial" w:hAnsi="Arial"/>
          <w:sz w:val="18"/>
          <w:szCs w:val="18"/>
          <w:i w:val="1"/>
          <w:iCs w:val="1"/>
          <w:color w:val="auto"/>
        </w:rPr>
        <w:t xml:space="preserve"> </w:t>
      </w:r>
      <w:r>
        <w:rPr>
          <w:rFonts w:ascii="Arial" w:cs="Arial" w:eastAsia="Arial" w:hAnsi="Arial"/>
          <w:sz w:val="18"/>
          <w:szCs w:val="18"/>
          <w:color w:val="auto"/>
        </w:rPr>
        <w:t>by first class mail, postage prepaid, or if given in such other manner as may be permitted in this Articles of Amendment, in the Articles of Incorporation or Bylaws or by applicable law.</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11. Rank</w:t>
      </w:r>
      <w:r>
        <w:rPr>
          <w:rFonts w:ascii="Arial" w:cs="Arial" w:eastAsia="Arial" w:hAnsi="Arial"/>
          <w:sz w:val="18"/>
          <w:szCs w:val="18"/>
          <w:color w:val="auto"/>
        </w:rPr>
        <w:t>. For the avoidance of doubt, the Board of Directors (or any duly authorized committee of the Board of Directors) may,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vote of the holders of Series I, authorize and issue additional shares of Junior Stock or shares of any class or Series of stock of the Corporation now existing or hereafter authorized that ranks equally with the Series I in the payment of dividends or in the distribution of assets on any voluntary or involuntary liquidation, dissolution or winding up of the Corporation.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Section 12. No Preemptive or Conversion Rights</w:t>
      </w:r>
      <w:r>
        <w:rPr>
          <w:rFonts w:ascii="Arial" w:cs="Arial" w:eastAsia="Arial" w:hAnsi="Arial"/>
          <w:sz w:val="18"/>
          <w:szCs w:val="18"/>
          <w:color w:val="auto"/>
        </w:rPr>
        <w:t>. No share of Series I shall have any rights of preemption whatsoever as to any securities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or any warrants, rights or options issued or granted with respect thereto, regardless of how such securities, or such warrants, rights or options, may be designated, issued or granted. No share of Series I shall have any rights to convert such Series I into shares of any other class of capital stock of the Corporation.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Section 13. Other Rights</w:t>
      </w:r>
      <w:r>
        <w:rPr>
          <w:rFonts w:ascii="Arial" w:cs="Arial" w:eastAsia="Arial" w:hAnsi="Arial"/>
          <w:sz w:val="16"/>
          <w:szCs w:val="16"/>
          <w:color w:val="auto"/>
        </w:rPr>
        <w:t>. The shares of Series I shall not have any voting powers, preferences or relative, participating, optional or other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or qualifications, limitations or restrictions thereof, other than as set forth herein or in the Articles of Incorporation or as provided by applicable law.</w:t>
      </w:r>
    </w:p>
    <w:p>
      <w:pPr>
        <w:sectPr>
          <w:pgSz w:w="11900" w:h="16838" w:orient="portrait"/>
          <w:cols w:equalWidth="0" w:num="1">
            <w:col w:w="11240"/>
          </w:cols>
          <w:pgMar w:left="320" w:top="895"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name of the corporation is United Community Banks,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2.</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Article V of the Restated Articles of Incorporation, as amended, of the corporation is amended by deleting the first paragraph of Article V and replacing it with the following in lieu thereof:</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231F20"/>
        </w:rPr>
        <w:t>“The corporation shall have authority to issue 150,000,000 shares of common stock, $1.00 par value (the “Common Stock”), 26,000,000 shares of non-voting common stock, $1.00 par value (the “Non-Voting Common Stock”), having the powers, rights and preferences, and the qualifications, limitations and restrictions thereof,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3.</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 amendment set forth in Section 2 hereof was adopted by the board of directors of the corporation at a meeting duly convened and held on March 18, 2016 and duly approved by the shareholders of the corporation on May 11, 2016 in accordance with the provisions of Section 14-2-1003 of the Georgia Business Corporation Code.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effective time of these Articles of Amendment is at 5:01 p.m. on the date of filing of these Articles of Amendment.</w:t>
      </w:r>
    </w:p>
    <w:p>
      <w:pPr>
        <w:spacing w:after="0" w:line="23"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23rd day of June, 2016.</w:t>
      </w:r>
    </w:p>
    <w:p>
      <w:pPr>
        <w:spacing w:after="0" w:line="33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UNITED COMMUNITY BANKS, INC.</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 Georgia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31750</wp:posOffset>
            </wp:positionV>
            <wp:extent cx="32143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Rex S. Schuette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Executive Vice President &amp;</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Restated Articles of Incorporation, as amended, of the corporation are amended by adding the powers, rights, and preferences, and the qualifications, limitations, and restrictions thereof, of the Senior Non-Cumulative Perpetual Preferred Stock, Series H as set forth in Exhibit A attached hereto.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amendment was adopted by the board of directors of the corporation at a meeting duly convened and held on January 26, 2015. Pursuant to O.C.G.A. § 14-2-602 and Article V of the Restated Articles of Incorporation, as amended, of the corporation, shareholder consent was not required.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time of these Articles of Amendment is at 5:00 p.m. on the date of filing of these Articles of Amendment.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executed these Articles of Amendment to the Restated Articles of Incorporation, as amended, of United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Banks, Inc. this 1st day of May, 2015.</w:t>
      </w:r>
    </w:p>
    <w:p>
      <w:pPr>
        <w:spacing w:after="0" w:line="31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UNITED COMMUNITY BANKS, INC.,</w:t>
      </w:r>
    </w:p>
    <w:p>
      <w:pPr>
        <w:spacing w:after="0" w:line="6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 Georgia corporation</w:t>
      </w:r>
    </w:p>
    <w:p>
      <w:pPr>
        <w:spacing w:after="0" w:line="333" w:lineRule="exact"/>
        <w:rPr>
          <w:sz w:val="20"/>
          <w:szCs w:val="20"/>
          <w:color w:val="auto"/>
        </w:rPr>
      </w:pPr>
    </w:p>
    <w:p>
      <w:pPr>
        <w:ind w:left="5440"/>
        <w:spacing w:after="0"/>
        <w:tabs>
          <w:tab w:leader="none" w:pos="5940" w:val="left"/>
        </w:tabs>
        <w:rPr>
          <w:sz w:val="20"/>
          <w:szCs w:val="20"/>
          <w:color w:val="auto"/>
        </w:rPr>
      </w:pPr>
      <w:r>
        <w:rPr>
          <w:rFonts w:ascii="Arial" w:cs="Arial" w:eastAsia="Arial" w:hAnsi="Arial"/>
          <w:sz w:val="18"/>
          <w:szCs w:val="18"/>
          <w:color w:val="auto"/>
        </w:rPr>
        <w:t>By:</w:t>
        <w:tab/>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31750</wp:posOffset>
            </wp:positionV>
            <wp:extent cx="24174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Jimmy C. Tallent</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&amp; Chief Executive Officer</w:t>
      </w:r>
    </w:p>
    <w:p>
      <w:pPr>
        <w:sectPr>
          <w:pgSz w:w="11900" w:h="16838" w:orient="portrait"/>
          <w:cols w:equalWidth="0" w:num="1">
            <w:col w:w="11240"/>
          </w:cols>
          <w:pgMar w:left="320" w:top="89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NON-CUMULATIVE PERPETUAL PREFERRED STOCK, SERIES 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United Community Banks, Inc.</w:t>
      </w:r>
      <w:r>
        <w:rPr>
          <w:rFonts w:ascii="Arial" w:cs="Arial" w:eastAsia="Arial" w:hAnsi="Arial"/>
          <w:sz w:val="18"/>
          <w:szCs w:val="18"/>
          <w:color w:val="auto"/>
        </w:rPr>
        <w:t>, a corporation organized and existing under the laws of the State of Georgia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Restated Articles of Incorporation of the Issuer, as amended, authorize the issuance of 10,000,000 shares of preferred stock, par value $1.00</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of the Issuer (“</w:t>
      </w:r>
      <w:r>
        <w:rPr>
          <w:rFonts w:ascii="Arial" w:cs="Arial" w:eastAsia="Arial" w:hAnsi="Arial"/>
          <w:sz w:val="17"/>
          <w:szCs w:val="17"/>
          <w:u w:val="single" w:color="auto"/>
          <w:color w:val="auto"/>
        </w:rPr>
        <w:t>Preferred Stock</w:t>
      </w:r>
      <w:r>
        <w:rPr>
          <w:rFonts w:ascii="Arial" w:cs="Arial" w:eastAsia="Arial" w:hAnsi="Arial"/>
          <w:sz w:val="17"/>
          <w:szCs w:val="17"/>
          <w:color w:val="auto"/>
        </w:rPr>
        <w:t>”) in one or more series, and authorizes the Board of Directors of the Issuer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to fix by resolution or resolutions the designation and number of shares of such series, and the voting and other powers, preferences and relative, participating, optional or other special rights, and the qualifications, limitations and restrictions thereof, of the shares of such series.</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Third: </w:t>
      </w:r>
      <w:r>
        <w:rPr>
          <w:rFonts w:ascii="Arial" w:cs="Arial" w:eastAsia="Arial" w:hAnsi="Arial"/>
          <w:sz w:val="17"/>
          <w:szCs w:val="17"/>
          <w:color w:val="auto"/>
        </w:rPr>
        <w:t>That the following resolution was duly adopted by the Board of Directors as required by O.C.G.A. § 14-2-602 and Article V of the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Articles of Incorporation at a meeting duly convened and held on January 26, 2015, at which a quorum was present and acting throughout.</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the provisions of the Restated Articles of Incorporation of the Issuer, as amended, and applicable law,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par value $1.00 per share, of the Issuer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PREFERENCES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Section 1. Designation and Number of Shares</w:t>
      </w:r>
      <w:r>
        <w:rPr>
          <w:rFonts w:ascii="Arial" w:cs="Arial" w:eastAsia="Arial" w:hAnsi="Arial"/>
          <w:sz w:val="18"/>
          <w:szCs w:val="18"/>
          <w:color w:val="auto"/>
        </w:rPr>
        <w:t>. There is hereby created out of the authorized and unissued shares of preferred stock of the Issuer a</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preferred stock designated as the “Senior Non-Cumulative Perpetual Preferred Stock, Series H” (the “</w:t>
      </w:r>
      <w:r>
        <w:rPr>
          <w:rFonts w:ascii="Arial" w:cs="Arial" w:eastAsia="Arial" w:hAnsi="Arial"/>
          <w:sz w:val="18"/>
          <w:szCs w:val="18"/>
          <w:u w:val="single" w:color="auto"/>
          <w:color w:val="auto"/>
        </w:rPr>
        <w:t>Designated Preferred Stock</w:t>
      </w:r>
      <w:r>
        <w:rPr>
          <w:rFonts w:ascii="Arial" w:cs="Arial" w:eastAsia="Arial" w:hAnsi="Arial"/>
          <w:sz w:val="18"/>
          <w:szCs w:val="18"/>
          <w:color w:val="auto"/>
        </w:rPr>
        <w:t>”). The authorized number of shares of Designated Preferred Stock shall be 9,992.</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Section 2. Standard Provisions</w:t>
      </w:r>
      <w:r>
        <w:rPr>
          <w:rFonts w:ascii="Arial" w:cs="Arial" w:eastAsia="Arial" w:hAnsi="Arial"/>
          <w:sz w:val="16"/>
          <w:szCs w:val="16"/>
          <w:color w:val="auto"/>
        </w:rPr>
        <w:t>. The Standard Provisions contained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Schedule A</w:t>
      </w:r>
      <w:r>
        <w:rPr>
          <w:rFonts w:ascii="Arial" w:cs="Arial" w:eastAsia="Arial" w:hAnsi="Arial"/>
          <w:sz w:val="16"/>
          <w:szCs w:val="16"/>
          <w:i w:val="1"/>
          <w:iCs w:val="1"/>
          <w:color w:val="auto"/>
        </w:rPr>
        <w:t xml:space="preserve"> </w:t>
      </w:r>
      <w:r>
        <w:rPr>
          <w:rFonts w:ascii="Arial" w:cs="Arial" w:eastAsia="Arial" w:hAnsi="Arial"/>
          <w:sz w:val="16"/>
          <w:szCs w:val="16"/>
          <w:color w:val="auto"/>
        </w:rPr>
        <w:t>attached hereto are incorporated herein by reference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and shall be deemed to be a part of this Certificate of Designation to the same extent as if such provisions had been set forth in full herein.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3. Definitions</w:t>
      </w:r>
      <w:r>
        <w:rPr>
          <w:rFonts w:ascii="Arial" w:cs="Arial" w:eastAsia="Arial" w:hAnsi="Arial"/>
          <w:sz w:val="18"/>
          <w:szCs w:val="18"/>
          <w:color w:val="auto"/>
        </w:rPr>
        <w:t>. The following terms are used in this Certificate of Designation (including the Standard Provisions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w:t>
      </w:r>
    </w:p>
    <w:p>
      <w:pPr>
        <w:spacing w:after="0" w:line="170" w:lineRule="exact"/>
        <w:rPr>
          <w:sz w:val="20"/>
          <w:szCs w:val="20"/>
          <w:color w:val="auto"/>
        </w:rPr>
      </w:pPr>
    </w:p>
    <w:p>
      <w:pPr>
        <w:ind w:left="2000" w:hanging="696"/>
        <w:spacing w:after="0"/>
        <w:tabs>
          <w:tab w:leader="none" w:pos="2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$1.00 per share, of the Issuer.</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3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Agreement</w:t>
      </w:r>
      <w:r>
        <w:rPr>
          <w:rFonts w:ascii="Arial" w:cs="Arial" w:eastAsia="Arial" w:hAnsi="Arial"/>
          <w:sz w:val="18"/>
          <w:szCs w:val="18"/>
          <w:color w:val="auto"/>
        </w:rPr>
        <w:t>” means that certain Securities Purchase Agreement by and between MoneyTree Corporation, a Tennessee corporation (“</w:t>
      </w:r>
      <w:r>
        <w:rPr>
          <w:rFonts w:ascii="Arial" w:cs="Arial" w:eastAsia="Arial" w:hAnsi="Arial"/>
          <w:sz w:val="18"/>
          <w:szCs w:val="18"/>
          <w:u w:val="single" w:color="auto"/>
          <w:color w:val="auto"/>
        </w:rPr>
        <w:t>MoneyTree</w:t>
      </w:r>
      <w:r>
        <w:rPr>
          <w:rFonts w:ascii="Arial" w:cs="Arial" w:eastAsia="Arial" w:hAnsi="Arial"/>
          <w:sz w:val="18"/>
          <w:szCs w:val="18"/>
          <w:color w:val="auto"/>
        </w:rPr>
        <w:t>”), and Treasury, dated as of the Original Signing Date, August 18, 2011, the obligations of which the Issuer agreed to assume pursuant to that certain Assignment and Assumption Agreement, by and between the Issuer and MoneyTree, and acknowledged by Treasury, dated as of the Signing Date.</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1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means the Common Stock, and any other class or series of stock of the Issuer the terms of which expressly provide that it ranks junior to Designated Preferred Stock as to dividend and redemption rights and/or as to rights on liquidation, dissolution or winding up of the Issuer.</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 per share of Designated Preferred Stock.</w:t>
      </w:r>
    </w:p>
    <w:p>
      <w:pPr>
        <w:sectPr>
          <w:pgSz w:w="11900" w:h="16838" w:orient="portrait"/>
          <w:cols w:equalWidth="0" w:num="1">
            <w:col w:w="11240"/>
          </w:cols>
          <w:pgMar w:left="320" w:top="1134" w:right="339" w:bottom="1440" w:gutter="0" w:footer="0" w:header="0"/>
        </w:sectPr>
      </w:pPr>
    </w:p>
    <w:bookmarkStart w:id="78" w:name="page79"/>
    <w:bookmarkEnd w:id="78"/>
    <w:p>
      <w:pPr>
        <w:jc w:val="both"/>
        <w:ind w:firstLine="1304"/>
        <w:spacing w:after="0" w:line="263" w:lineRule="auto"/>
        <w:tabs>
          <w:tab w:leader="none" w:pos="22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means (i) the amount equal to twenty-five percent (25%) of the aggregate Liquidation Amount of Designated Preferred Stock issued on the Original Issue Date or (ii) all of the outstanding Designated Preferred Stock, if the aggregate liquidation preference of the outstanding Designated Preferred Stock is less than the amount set forth in the preceding clause (i).</w:t>
      </w:r>
    </w:p>
    <w:p>
      <w:pPr>
        <w:spacing w:after="0" w:line="183" w:lineRule="exact"/>
        <w:rPr>
          <w:rFonts w:ascii="Arial" w:cs="Arial" w:eastAsia="Arial" w:hAnsi="Arial"/>
          <w:sz w:val="18"/>
          <w:szCs w:val="18"/>
          <w:color w:val="auto"/>
        </w:rPr>
      </w:pPr>
    </w:p>
    <w:p>
      <w:pPr>
        <w:ind w:left="1980" w:hanging="676"/>
        <w:spacing w:after="0"/>
        <w:tabs>
          <w:tab w:leader="none" w:pos="1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Signing Date</w:t>
      </w:r>
      <w:r>
        <w:rPr>
          <w:rFonts w:ascii="Arial" w:cs="Arial" w:eastAsia="Arial" w:hAnsi="Arial"/>
          <w:sz w:val="18"/>
          <w:szCs w:val="18"/>
          <w:color w:val="auto"/>
        </w:rPr>
        <w:t>” means August 18, 2011.</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2082"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Stock</w:t>
      </w:r>
      <w:r>
        <w:rPr>
          <w:rFonts w:ascii="Arial" w:cs="Arial" w:eastAsia="Arial" w:hAnsi="Arial"/>
          <w:sz w:val="17"/>
          <w:szCs w:val="17"/>
          <w:color w:val="auto"/>
        </w:rPr>
        <w:t>” means any class or series of stock of the Issuer (other than Designated Preferred Stock) the terms of which do not expressly provide that such class or series will rank senior or junior to Designated Preferred Stock as to dividend rights and/or as to rights on liquidation, dissolution or winding up of the Issuer (in each ease without regard to whether dividends accrue cumulatively or non-cumulatively).</w:t>
      </w:r>
    </w:p>
    <w:p>
      <w:pPr>
        <w:spacing w:after="0" w:line="165" w:lineRule="exact"/>
        <w:rPr>
          <w:rFonts w:ascii="Arial" w:cs="Arial" w:eastAsia="Arial" w:hAnsi="Arial"/>
          <w:sz w:val="17"/>
          <w:szCs w:val="17"/>
          <w:color w:val="auto"/>
        </w:rPr>
      </w:pPr>
    </w:p>
    <w:p>
      <w:pPr>
        <w:ind w:left="2000" w:hanging="696"/>
        <w:spacing w:after="0"/>
        <w:tabs>
          <w:tab w:leader="none" w:pos="2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May 1, 2015.</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w:t>
      </w:r>
      <w:r>
        <w:rPr>
          <w:rFonts w:ascii="Arial" w:cs="Arial" w:eastAsia="Arial" w:hAnsi="Arial"/>
          <w:sz w:val="18"/>
          <w:szCs w:val="18"/>
          <w:color w:val="auto"/>
        </w:rPr>
        <w:t>” means the United States Department of the Treasury and any successor in interest thereto.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Section 4. Certain Voting Matters</w:t>
      </w:r>
      <w:r>
        <w:rPr>
          <w:rFonts w:ascii="Arial" w:cs="Arial" w:eastAsia="Arial" w:hAnsi="Arial"/>
          <w:sz w:val="18"/>
          <w:szCs w:val="18"/>
          <w:color w:val="auto"/>
        </w:rPr>
        <w:t>. Holders of shares of Designated Preferred Stock will be entitled to one vote for each such share on any matter</w:t>
      </w:r>
      <w:r>
        <w:rPr>
          <w:rFonts w:ascii="Arial" w:cs="Arial" w:eastAsia="Arial" w:hAnsi="Arial"/>
          <w:sz w:val="18"/>
          <w:szCs w:val="18"/>
          <w:i w:val="1"/>
          <w:iCs w:val="1"/>
          <w:color w:val="auto"/>
        </w:rPr>
        <w:t xml:space="preserve"> </w:t>
      </w:r>
      <w:r>
        <w:rPr>
          <w:rFonts w:ascii="Arial" w:cs="Arial" w:eastAsia="Arial" w:hAnsi="Arial"/>
          <w:sz w:val="18"/>
          <w:szCs w:val="18"/>
          <w:color w:val="auto"/>
        </w:rPr>
        <w:t>on which holders of Designated Preferred stock are entitled to vote, including any action by written consent.</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Matters</w:t>
      </w:r>
      <w:r>
        <w:rPr>
          <w:rFonts w:ascii="Arial" w:cs="Arial" w:eastAsia="Arial" w:hAnsi="Arial"/>
          <w:sz w:val="16"/>
          <w:szCs w:val="16"/>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 The Designated Preferred Stock shall rank equally with Parity Stock and shall rank senior to Junior Stock with respect to the payment of dividends and the distribution of assets in the event of any dissolution, liquidation or winding up of the issuer, as set forth below.</w:t>
      </w:r>
    </w:p>
    <w:p>
      <w:pPr>
        <w:spacing w:after="0" w:line="15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Standard Definitions</w:t>
      </w:r>
      <w:r>
        <w:rPr>
          <w:rFonts w:ascii="Arial" w:cs="Arial" w:eastAsia="Arial" w:hAnsi="Arial"/>
          <w:sz w:val="16"/>
          <w:szCs w:val="16"/>
          <w:color w:val="auto"/>
        </w:rPr>
        <w:t>. As used herein with respect to Designated Preferred Stock:</w:t>
      </w:r>
    </w:p>
    <w:p>
      <w:pPr>
        <w:spacing w:after="0" w:line="225" w:lineRule="exact"/>
        <w:rPr>
          <w:sz w:val="20"/>
          <w:szCs w:val="20"/>
          <w:color w:val="auto"/>
        </w:rPr>
      </w:pPr>
    </w:p>
    <w:p>
      <w:pPr>
        <w:jc w:val="both"/>
        <w:ind w:firstLine="1304"/>
        <w:spacing w:after="0" w:line="263" w:lineRule="auto"/>
        <w:tabs>
          <w:tab w:leader="none" w:pos="20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in any Holding Company Transaction, means the surviving or resulting entity or its ultimate parent in the case of a merger or consolidation or the transferee in the case of a sale, lease or other transfer in one transaction or a series of related transactions of all or substantially all of the consolidated assets of the Issuer and its subsidiaries, taken as a whole.</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21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person directly or indirectly controlling, controlled by or under common control with, such other person. For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control with</w:t>
      </w:r>
      <w:r>
        <w:rPr>
          <w:rFonts w:ascii="Arial" w:cs="Arial" w:eastAsia="Arial" w:hAnsi="Arial"/>
          <w:sz w:val="16"/>
          <w:szCs w:val="16"/>
          <w:color w:val="auto"/>
        </w:rPr>
        <w:t>”) when used with respect to any person, means the possession, directly or indirectly through one or more intermediaries, of the power to cause the direction of management and/or policies of such person, whether through the ownership of voting securities by contract or otherwise.</w:t>
      </w:r>
    </w:p>
    <w:p>
      <w:pPr>
        <w:spacing w:after="0" w:line="157" w:lineRule="exact"/>
        <w:rPr>
          <w:rFonts w:ascii="Arial" w:cs="Arial" w:eastAsia="Arial" w:hAnsi="Arial"/>
          <w:sz w:val="16"/>
          <w:szCs w:val="16"/>
          <w:color w:val="auto"/>
        </w:rPr>
      </w:pPr>
    </w:p>
    <w:p>
      <w:pPr>
        <w:ind w:left="2000" w:hanging="696"/>
        <w:spacing w:after="0"/>
        <w:tabs>
          <w:tab w:leader="none" w:pos="2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Dividend Rate</w:t>
      </w:r>
      <w:r>
        <w:rPr>
          <w:rFonts w:ascii="Arial" w:cs="Arial" w:eastAsia="Arial" w:hAnsi="Arial"/>
          <w:sz w:val="18"/>
          <w:szCs w:val="18"/>
          <w:color w:val="auto"/>
        </w:rPr>
        <w:t>” has the meaning set forth in Section 3(a).</w:t>
      </w:r>
    </w:p>
    <w:p>
      <w:pPr>
        <w:spacing w:after="0" w:line="225" w:lineRule="exact"/>
        <w:rPr>
          <w:rFonts w:ascii="Arial" w:cs="Arial" w:eastAsia="Arial" w:hAnsi="Arial"/>
          <w:sz w:val="18"/>
          <w:szCs w:val="18"/>
          <w:color w:val="auto"/>
        </w:rPr>
      </w:pPr>
    </w:p>
    <w:p>
      <w:pPr>
        <w:ind w:firstLine="1304"/>
        <w:spacing w:after="0" w:line="277" w:lineRule="auto"/>
        <w:tabs>
          <w:tab w:leader="none" w:pos="20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Federal Banking Agency</w:t>
      </w:r>
      <w:r>
        <w:rPr>
          <w:rFonts w:ascii="Arial" w:cs="Arial" w:eastAsia="Arial" w:hAnsi="Arial"/>
          <w:sz w:val="18"/>
          <w:szCs w:val="18"/>
          <w:color w:val="auto"/>
        </w:rPr>
        <w:t>” means the “appropriate Federal banking agency” with respect to the Issuer as defined in Section 3(q) of the Federal Deposit Insurance Act (12 U.S.C. Section 1813(q)), or any successor provision.</w:t>
      </w:r>
    </w:p>
    <w:p>
      <w:pPr>
        <w:spacing w:after="0" w:line="170" w:lineRule="exact"/>
        <w:rPr>
          <w:rFonts w:ascii="Arial" w:cs="Arial" w:eastAsia="Arial" w:hAnsi="Arial"/>
          <w:sz w:val="18"/>
          <w:szCs w:val="18"/>
          <w:color w:val="auto"/>
        </w:rPr>
      </w:pPr>
    </w:p>
    <w:p>
      <w:pPr>
        <w:ind w:right="20" w:firstLine="1304"/>
        <w:spacing w:after="0" w:line="277" w:lineRule="auto"/>
        <w:tabs>
          <w:tab w:leader="none" w:pos="20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Holding Company</w:t>
      </w:r>
      <w:r>
        <w:rPr>
          <w:rFonts w:ascii="Arial" w:cs="Arial" w:eastAsia="Arial" w:hAnsi="Arial"/>
          <w:sz w:val="18"/>
          <w:szCs w:val="18"/>
          <w:color w:val="auto"/>
        </w:rPr>
        <w:t>” means a company registered as such with the Board of Governors of the Federal Reserve System pursuant to 12 U.S.C. §1842 and the regulations of the Board of Governors of the Federal Reserve System thereunder.</w:t>
      </w:r>
    </w:p>
    <w:p>
      <w:pPr>
        <w:spacing w:after="0" w:line="170" w:lineRule="exact"/>
        <w:rPr>
          <w:rFonts w:ascii="Arial" w:cs="Arial" w:eastAsia="Arial" w:hAnsi="Arial"/>
          <w:sz w:val="18"/>
          <w:szCs w:val="18"/>
          <w:color w:val="auto"/>
        </w:rPr>
      </w:pPr>
    </w:p>
    <w:p>
      <w:pPr>
        <w:ind w:firstLine="1304"/>
        <w:spacing w:after="0" w:line="277" w:lineRule="auto"/>
        <w:tabs>
          <w:tab w:leader="none" w:pos="20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Baseline</w:t>
      </w:r>
      <w:r>
        <w:rPr>
          <w:rFonts w:ascii="Arial" w:cs="Arial" w:eastAsia="Arial" w:hAnsi="Arial"/>
          <w:sz w:val="18"/>
          <w:szCs w:val="18"/>
          <w:color w:val="auto"/>
        </w:rPr>
        <w:t>” means the “Initial Small Business Lending Baseline” set forth on the Initial Supplemental Report (as defined in the Definitive Agreement), subject to adjustment pursuant to Section 3(a).</w:t>
      </w:r>
    </w:p>
    <w:p>
      <w:pPr>
        <w:sectPr>
          <w:pgSz w:w="11900" w:h="16838" w:orient="portrait"/>
          <w:cols w:equalWidth="0" w:num="1">
            <w:col w:w="11240"/>
          </w:cols>
          <w:pgMar w:left="320" w:top="895" w:right="339" w:bottom="1440" w:gutter="0" w:footer="0" w:header="0"/>
        </w:sectPr>
      </w:pPr>
    </w:p>
    <w:bookmarkStart w:id="79" w:name="page80"/>
    <w:bookmarkEnd w:id="79"/>
    <w:p>
      <w:pPr>
        <w:ind w:firstLine="1304"/>
        <w:spacing w:after="0" w:line="277" w:lineRule="auto"/>
        <w:tabs>
          <w:tab w:leader="none" w:pos="22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means a merger, consolidation, statutory share exchange or similar transaction that requires the approval of the Issuer’s stockholders.</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pacing w:after="0" w:line="117" w:lineRule="exact"/>
        <w:rPr>
          <w:sz w:val="20"/>
          <w:szCs w:val="20"/>
          <w:color w:val="auto"/>
        </w:rPr>
      </w:pPr>
    </w:p>
    <w:p>
      <w:pPr>
        <w:ind w:firstLine="1304"/>
        <w:spacing w:after="0" w:line="277" w:lineRule="auto"/>
        <w:tabs>
          <w:tab w:leader="none" w:pos="20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or the District of Columbia generally are authorized or required by law or other governmental actions to close.</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the Issuer, as they may be amended from time to time.</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Report</w:t>
      </w:r>
      <w:r>
        <w:rPr>
          <w:rFonts w:ascii="Arial" w:cs="Arial" w:eastAsia="Arial" w:hAnsi="Arial"/>
          <w:sz w:val="18"/>
          <w:szCs w:val="18"/>
          <w:color w:val="auto"/>
        </w:rPr>
        <w:t>” has the meaning set forth in the Definitive Agreement.</w:t>
      </w:r>
    </w:p>
    <w:p>
      <w:pPr>
        <w:spacing w:after="0" w:line="225" w:lineRule="exact"/>
        <w:rPr>
          <w:rFonts w:ascii="Arial" w:cs="Arial" w:eastAsia="Arial" w:hAnsi="Arial"/>
          <w:sz w:val="18"/>
          <w:szCs w:val="18"/>
          <w:color w:val="auto"/>
        </w:rPr>
      </w:pPr>
    </w:p>
    <w:p>
      <w:pPr>
        <w:ind w:firstLine="1304"/>
        <w:spacing w:after="0" w:line="277" w:lineRule="auto"/>
        <w:tabs>
          <w:tab w:leader="none" w:pos="20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means the Certificate of Designation or comparable instrument relating to the Designated Preferred Stock, of which these Standard Provisions form a part, as it may be amended from time to time.</w:t>
      </w:r>
    </w:p>
    <w:p>
      <w:pPr>
        <w:spacing w:after="0" w:line="170" w:lineRule="exact"/>
        <w:rPr>
          <w:rFonts w:ascii="Arial" w:cs="Arial" w:eastAsia="Arial" w:hAnsi="Arial"/>
          <w:sz w:val="18"/>
          <w:szCs w:val="18"/>
          <w:color w:val="auto"/>
        </w:rPr>
      </w:pPr>
    </w:p>
    <w:p>
      <w:pPr>
        <w:ind w:firstLine="1304"/>
        <w:spacing w:after="0" w:line="342" w:lineRule="auto"/>
        <w:tabs>
          <w:tab w:leader="none" w:pos="2195"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Charge-Offs</w:t>
      </w:r>
      <w:r>
        <w:rPr>
          <w:rFonts w:ascii="Arial" w:cs="Arial" w:eastAsia="Arial" w:hAnsi="Arial"/>
          <w:sz w:val="16"/>
          <w:szCs w:val="16"/>
          <w:color w:val="auto"/>
        </w:rPr>
        <w:t>” means the net amount of loans charged off by the Issuer or, if the Issuer is a Bank Holding Company or a Savings and Loan Holding Company, by the IDI Subsidiary(ies) during quarters that begin on or after the Original Signing Date, determined as follows:</w:t>
      </w:r>
    </w:p>
    <w:p>
      <w:pPr>
        <w:spacing w:after="0" w:line="123" w:lineRule="exact"/>
        <w:rPr>
          <w:rFonts w:ascii="Arial" w:cs="Arial" w:eastAsia="Arial" w:hAnsi="Arial"/>
          <w:sz w:val="16"/>
          <w:szCs w:val="16"/>
          <w:color w:val="auto"/>
        </w:rPr>
      </w:pPr>
    </w:p>
    <w:p>
      <w:pPr>
        <w:jc w:val="both"/>
        <w:ind w:firstLine="1992"/>
        <w:spacing w:after="0" w:line="286" w:lineRule="auto"/>
        <w:tabs>
          <w:tab w:leader="none" w:pos="2738"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the Issuer or the applicable IDI Subsidiary is a bank, by subtracting (A) the aggregate dollar amount of recoveries reflected on line RIAD4605 of its Call Reports for such quarters from (B) the aggregate dollar amount of charge-offs reflected on line RIAD4635 of its Call Reports for such quarters (without duplication as a result of such dollar amounts being reported on a year-to-date basis); or</w:t>
      </w:r>
    </w:p>
    <w:p>
      <w:pPr>
        <w:spacing w:after="0" w:line="165" w:lineRule="exact"/>
        <w:rPr>
          <w:rFonts w:ascii="Arial" w:cs="Arial" w:eastAsia="Arial" w:hAnsi="Arial"/>
          <w:sz w:val="17"/>
          <w:szCs w:val="17"/>
          <w:color w:val="auto"/>
        </w:rPr>
      </w:pPr>
    </w:p>
    <w:p>
      <w:pPr>
        <w:jc w:val="both"/>
        <w:ind w:firstLine="1992"/>
        <w:spacing w:after="0" w:line="286" w:lineRule="auto"/>
        <w:tabs>
          <w:tab w:leader="none" w:pos="2719" w:val="left"/>
        </w:tabs>
        <w:numPr>
          <w:ilvl w:val="1"/>
          <w:numId w:val="40"/>
        </w:numPr>
        <w:rPr>
          <w:rFonts w:ascii="Arial" w:cs="Arial" w:eastAsia="Arial" w:hAnsi="Arial"/>
          <w:sz w:val="17"/>
          <w:szCs w:val="17"/>
          <w:color w:val="auto"/>
        </w:rPr>
      </w:pPr>
      <w:r>
        <w:rPr>
          <w:rFonts w:ascii="Arial" w:cs="Arial" w:eastAsia="Arial" w:hAnsi="Arial"/>
          <w:sz w:val="17"/>
          <w:szCs w:val="17"/>
          <w:color w:val="auto"/>
        </w:rPr>
        <w:t>if the Issuer or the applicable IDI Subsidiary is a thrift, by subtracting (A) the sum of the aggregate dollar amount of recoveries reflected on line VA140 of its Call Reports for such quarters and the aggregate dollar amount of adjustments reflected on line VA150 of its Call Reports for such quarters from (B) the aggregate dollar amount of charge-offs reflected on line VA160 of its Call Reports for such quarters.</w:t>
      </w:r>
    </w:p>
    <w:p>
      <w:pPr>
        <w:spacing w:after="0" w:line="165" w:lineRule="exact"/>
        <w:rPr>
          <w:rFonts w:ascii="Arial" w:cs="Arial" w:eastAsia="Arial" w:hAnsi="Arial"/>
          <w:sz w:val="17"/>
          <w:szCs w:val="17"/>
          <w:color w:val="auto"/>
        </w:rPr>
      </w:pPr>
    </w:p>
    <w:p>
      <w:pPr>
        <w:ind w:left="2020" w:hanging="716"/>
        <w:spacing w:after="0"/>
        <w:tabs>
          <w:tab w:leader="none" w:pos="2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means the Issuer’s certificate or articles of incorporation, articles of association, or similar organizational document.</w:t>
      </w:r>
    </w:p>
    <w:p>
      <w:pPr>
        <w:spacing w:after="0" w:line="248" w:lineRule="exact"/>
        <w:rPr>
          <w:rFonts w:ascii="Arial" w:cs="Arial" w:eastAsia="Arial" w:hAnsi="Arial"/>
          <w:sz w:val="16"/>
          <w:szCs w:val="16"/>
          <w:color w:val="auto"/>
        </w:rPr>
      </w:pPr>
    </w:p>
    <w:p>
      <w:pPr>
        <w:ind w:left="2000" w:hanging="696"/>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CPP Lending, Incentive Fee</w:t>
      </w:r>
      <w:r>
        <w:rPr>
          <w:rFonts w:ascii="Arial" w:cs="Arial" w:eastAsia="Arial" w:hAnsi="Arial"/>
          <w:sz w:val="18"/>
          <w:szCs w:val="18"/>
          <w:color w:val="auto"/>
        </w:rPr>
        <w:t>” has the meaning set forth in Section 3(e).</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Period</w:t>
      </w:r>
      <w:r>
        <w:rPr>
          <w:rFonts w:ascii="Arial" w:cs="Arial" w:eastAsia="Arial" w:hAnsi="Arial"/>
          <w:sz w:val="18"/>
          <w:szCs w:val="18"/>
          <w:color w:val="auto"/>
        </w:rPr>
        <w:t>” has the meaning set forth in Section 3(a)(i)(2).</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January 1, April 1, July 1, and October 1 of each year.</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1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xml:space="preserve">” means the period from and including any Dividend Payment Date to, but excluding, the next Dividend Payment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the initial Dividend Period shall be the period from and including the Original Issue Date to, but excluding, the next Dividend Payment Date (the “</w:t>
      </w:r>
      <w:r>
        <w:rPr>
          <w:rFonts w:ascii="Arial" w:cs="Arial" w:eastAsia="Arial" w:hAnsi="Arial"/>
          <w:sz w:val="18"/>
          <w:szCs w:val="18"/>
          <w:u w:val="single" w:color="auto"/>
          <w:color w:val="auto"/>
        </w:rPr>
        <w:t>Initial Dividend Period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020" w:hanging="716"/>
        <w:spacing w:after="0"/>
        <w:tabs>
          <w:tab w:leader="none" w:pos="2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3(b).</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A-2</w:t>
      </w:r>
    </w:p>
    <w:p>
      <w:pPr>
        <w:spacing w:after="0" w:line="131" w:lineRule="exact"/>
        <w:rPr>
          <w:sz w:val="20"/>
          <w:szCs w:val="20"/>
          <w:color w:val="auto"/>
        </w:rPr>
      </w:pPr>
    </w:p>
    <w:p>
      <w:pPr>
        <w:ind w:left="1980" w:hanging="676"/>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Reference Period</w:t>
      </w:r>
      <w:r>
        <w:rPr>
          <w:rFonts w:ascii="Arial" w:cs="Arial" w:eastAsia="Arial" w:hAnsi="Arial"/>
          <w:sz w:val="18"/>
          <w:szCs w:val="18"/>
          <w:color w:val="auto"/>
        </w:rPr>
        <w:t>” has the meaning set forth in Section 3(a)(i)(2).</w:t>
      </w:r>
    </w:p>
    <w:p>
      <w:pPr>
        <w:spacing w:after="0" w:line="225" w:lineRule="exact"/>
        <w:rPr>
          <w:rFonts w:ascii="Arial" w:cs="Arial" w:eastAsia="Arial" w:hAnsi="Arial"/>
          <w:sz w:val="18"/>
          <w:szCs w:val="18"/>
          <w:color w:val="auto"/>
        </w:rPr>
      </w:pPr>
    </w:p>
    <w:p>
      <w:pPr>
        <w:ind w:left="2020" w:hanging="716"/>
        <w:spacing w:after="0"/>
        <w:tabs>
          <w:tab w:leader="none" w:pos="2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 Company Preferred Stock</w:t>
      </w:r>
      <w:r>
        <w:rPr>
          <w:rFonts w:ascii="Arial" w:cs="Arial" w:eastAsia="Arial" w:hAnsi="Arial"/>
          <w:sz w:val="18"/>
          <w:szCs w:val="18"/>
          <w:color w:val="auto"/>
        </w:rPr>
        <w:t>” has the meaning set forth in Section 7(c)(v).</w:t>
      </w:r>
    </w:p>
    <w:p>
      <w:pPr>
        <w:spacing w:after="0" w:line="225" w:lineRule="exact"/>
        <w:rPr>
          <w:rFonts w:ascii="Arial" w:cs="Arial" w:eastAsia="Arial" w:hAnsi="Arial"/>
          <w:sz w:val="18"/>
          <w:szCs w:val="18"/>
          <w:color w:val="auto"/>
        </w:rPr>
      </w:pPr>
    </w:p>
    <w:p>
      <w:pPr>
        <w:jc w:val="both"/>
        <w:ind w:firstLine="1304"/>
        <w:spacing w:after="0" w:line="275" w:lineRule="auto"/>
        <w:tabs>
          <w:tab w:leader="none" w:pos="21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 Company Transaction</w:t>
      </w:r>
      <w:r>
        <w:rPr>
          <w:rFonts w:ascii="Arial" w:cs="Arial" w:eastAsia="Arial" w:hAnsi="Arial"/>
          <w:sz w:val="17"/>
          <w:szCs w:val="17"/>
          <w:color w:val="auto"/>
        </w:rPr>
        <w:t>” means the occurrence of (a) any transaction (including, without limitation, any acquisition, merger or consolidation) the result of which is that a “person” or “group” within the meaning of Section 13(d) of the Securities Exchange Act of 1934, as amended, (i) becomes the direct or indirect ultimate “beneficial owner,” as defined in Rule 13d-3 under that Act, of common equity of the Issuer representing more than 50% of the voting power of the outstanding Common Stock or (ii) is otherwise required to consolidate the Issuer for purposes of generally accepted accounting principles in the United States, or (b) any consolidation or merger of the Issuer or similar transaction or</w:t>
      </w:r>
    </w:p>
    <w:p>
      <w:pPr>
        <w:sectPr>
          <w:pgSz w:w="11900" w:h="16838" w:orient="portrait"/>
          <w:cols w:equalWidth="0" w:num="1">
            <w:col w:w="11240"/>
          </w:cols>
          <w:pgMar w:left="320" w:top="895" w:right="339" w:bottom="1440" w:gutter="0" w:footer="0" w:header="0"/>
        </w:sectPr>
      </w:pPr>
    </w:p>
    <w:bookmarkStart w:id="80" w:name="page81"/>
    <w:bookmarkEnd w:id="80"/>
    <w:p>
      <w:pPr>
        <w:jc w:val="both"/>
        <w:spacing w:after="0" w:line="263" w:lineRule="auto"/>
        <w:rPr>
          <w:sz w:val="20"/>
          <w:szCs w:val="20"/>
          <w:color w:val="auto"/>
        </w:rPr>
      </w:pPr>
      <w:r>
        <w:rPr>
          <w:rFonts w:ascii="Arial" w:cs="Arial" w:eastAsia="Arial" w:hAnsi="Arial"/>
          <w:sz w:val="18"/>
          <w:szCs w:val="18"/>
          <w:color w:val="auto"/>
        </w:rPr>
        <w:t xml:space="preserve">any sale, lease or other transfer in one transaction or a series of related transactions of all or substantially all of the consolidated assets of the Issuer and its subsidiaries, taken as a whole, to any Person other than one of the Issuer’s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either clause (a) or (b), the Issuer or the Acquiror is or becomes a Bank Holding Company or Savings and Loan Holding Company.</w:t>
      </w:r>
    </w:p>
    <w:p>
      <w:pPr>
        <w:spacing w:after="0" w:line="184" w:lineRule="exact"/>
        <w:rPr>
          <w:sz w:val="20"/>
          <w:szCs w:val="20"/>
          <w:color w:val="auto"/>
        </w:rPr>
      </w:pPr>
    </w:p>
    <w:p>
      <w:pPr>
        <w:ind w:left="2000" w:hanging="696"/>
        <w:spacing w:after="0"/>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IDI Subsidiary</w:t>
      </w:r>
      <w:r>
        <w:rPr>
          <w:rFonts w:ascii="Arial" w:cs="Arial" w:eastAsia="Arial" w:hAnsi="Arial"/>
          <w:sz w:val="18"/>
          <w:szCs w:val="18"/>
          <w:color w:val="auto"/>
        </w:rPr>
        <w:t>” means any Issuer Subsidiary that is an insured depository institution.</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in QSBL</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firstLine="1992"/>
        <w:spacing w:after="0" w:line="277" w:lineRule="auto"/>
        <w:tabs>
          <w:tab w:leader="none" w:pos="2685"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the first (1st) Dividend Period, the difference obtained by subtracting (A) the Baseline from (B) QSBL set forth in the Initial Supplemental Report (as defined in the Definitive Agreement); and</w:t>
      </w:r>
    </w:p>
    <w:p>
      <w:pPr>
        <w:spacing w:after="0" w:line="170" w:lineRule="exact"/>
        <w:rPr>
          <w:rFonts w:ascii="Arial" w:cs="Arial" w:eastAsia="Arial" w:hAnsi="Arial"/>
          <w:sz w:val="18"/>
          <w:szCs w:val="18"/>
          <w:color w:val="auto"/>
        </w:rPr>
      </w:pPr>
    </w:p>
    <w:p>
      <w:pPr>
        <w:ind w:firstLine="1992"/>
        <w:spacing w:after="0" w:line="277" w:lineRule="auto"/>
        <w:tabs>
          <w:tab w:leader="none" w:pos="2789" w:val="left"/>
        </w:tabs>
        <w:numPr>
          <w:ilvl w:val="1"/>
          <w:numId w:val="42"/>
        </w:numPr>
        <w:rPr>
          <w:rFonts w:ascii="Arial" w:cs="Arial" w:eastAsia="Arial" w:hAnsi="Arial"/>
          <w:sz w:val="18"/>
          <w:szCs w:val="18"/>
          <w:color w:val="auto"/>
        </w:rPr>
      </w:pPr>
      <w:r>
        <w:rPr>
          <w:rFonts w:ascii="Arial" w:cs="Arial" w:eastAsia="Arial" w:hAnsi="Arial"/>
          <w:sz w:val="18"/>
          <w:szCs w:val="18"/>
          <w:color w:val="auto"/>
        </w:rPr>
        <w:t>with respect to each subsequent Dividend Period, the difference obtained by subtracting (A) the Baseline from (B) QSBL for the Dividend Reference Period for the Current Period.</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Dividend Period</w:t>
      </w:r>
      <w:r>
        <w:rPr>
          <w:rFonts w:ascii="Arial" w:cs="Arial" w:eastAsia="Arial" w:hAnsi="Arial"/>
          <w:sz w:val="18"/>
          <w:szCs w:val="18"/>
          <w:color w:val="auto"/>
        </w:rPr>
        <w:t>” has the meaning set forth in the definition of “Dividend Period”.</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Subsidiary</w:t>
      </w:r>
      <w:r>
        <w:rPr>
          <w:rFonts w:ascii="Arial" w:cs="Arial" w:eastAsia="Arial" w:hAnsi="Arial"/>
          <w:sz w:val="18"/>
          <w:szCs w:val="18"/>
          <w:color w:val="auto"/>
        </w:rPr>
        <w:t>” means any subsidiary of the Issuer.</w:t>
      </w:r>
    </w:p>
    <w:p>
      <w:pPr>
        <w:spacing w:after="0" w:line="225" w:lineRule="exact"/>
        <w:rPr>
          <w:sz w:val="20"/>
          <w:szCs w:val="20"/>
          <w:color w:val="auto"/>
        </w:rPr>
      </w:pPr>
    </w:p>
    <w:p>
      <w:pPr>
        <w:ind w:left="1980" w:hanging="676"/>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225" w:lineRule="exact"/>
        <w:rPr>
          <w:rFonts w:ascii="Arial" w:cs="Arial" w:eastAsia="Arial" w:hAnsi="Arial"/>
          <w:sz w:val="18"/>
          <w:szCs w:val="18"/>
          <w:color w:val="auto"/>
        </w:rPr>
      </w:pPr>
    </w:p>
    <w:p>
      <w:pPr>
        <w:ind w:firstLine="1304"/>
        <w:spacing w:after="0" w:line="277" w:lineRule="auto"/>
        <w:tabs>
          <w:tab w:leader="none" w:pos="2185"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Non-Qualifying Portion Percentage</w:t>
      </w:r>
      <w:r>
        <w:rPr>
          <w:rFonts w:ascii="Arial" w:cs="Arial" w:eastAsia="Arial" w:hAnsi="Arial"/>
          <w:sz w:val="18"/>
          <w:szCs w:val="18"/>
          <w:color w:val="auto"/>
        </w:rPr>
        <w:t>” means with respect to any particular Dividend Period, the percentage obtained by subtracting the Qualifying Portion Percentage from one (1).</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A-3</w:t>
      </w:r>
    </w:p>
    <w:p>
      <w:pPr>
        <w:spacing w:after="0" w:line="117" w:lineRule="exact"/>
        <w:rPr>
          <w:sz w:val="20"/>
          <w:szCs w:val="20"/>
          <w:color w:val="auto"/>
        </w:rPr>
      </w:pPr>
    </w:p>
    <w:p>
      <w:pPr>
        <w:ind w:left="1980" w:hanging="676"/>
        <w:spacing w:after="0"/>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on which shares of Designated Preferred Stock are first issued.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Change in QSBL</w:t>
      </w:r>
      <w:r>
        <w:rPr>
          <w:rFonts w:ascii="Arial" w:cs="Arial" w:eastAsia="Arial" w:hAnsi="Arial"/>
          <w:sz w:val="18"/>
          <w:szCs w:val="18"/>
          <w:color w:val="auto"/>
        </w:rPr>
        <w:t>” has the meaning set forth in Section 3(a)(ii)</w:t>
      </w:r>
    </w:p>
    <w:p>
      <w:pPr>
        <w:spacing w:after="0" w:line="225" w:lineRule="exact"/>
        <w:rPr>
          <w:rFonts w:ascii="Arial" w:cs="Arial" w:eastAsia="Arial" w:hAnsi="Arial"/>
          <w:sz w:val="18"/>
          <w:szCs w:val="18"/>
          <w:color w:val="auto"/>
        </w:rPr>
      </w:pPr>
    </w:p>
    <w:p>
      <w:pPr>
        <w:ind w:right="20" w:firstLine="1304"/>
        <w:spacing w:after="0" w:line="277" w:lineRule="auto"/>
        <w:tabs>
          <w:tab w:leader="none" w:pos="202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70" w:lineRule="exact"/>
        <w:rPr>
          <w:rFonts w:ascii="Arial" w:cs="Arial" w:eastAsia="Arial" w:hAnsi="Arial"/>
          <w:sz w:val="18"/>
          <w:szCs w:val="18"/>
          <w:color w:val="auto"/>
        </w:rPr>
      </w:pPr>
    </w:p>
    <w:p>
      <w:pPr>
        <w:ind w:left="2000" w:hanging="696"/>
        <w:spacing w:after="0"/>
        <w:tabs>
          <w:tab w:leader="none" w:pos="2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Director</w:t>
      </w:r>
      <w:r>
        <w:rPr>
          <w:rFonts w:ascii="Arial" w:cs="Arial" w:eastAsia="Arial" w:hAnsi="Arial"/>
          <w:sz w:val="18"/>
          <w:szCs w:val="18"/>
          <w:color w:val="auto"/>
        </w:rPr>
        <w:t>” has the meaning set forth in Section 7(c).</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Preferred Stock</w:t>
      </w:r>
      <w:r>
        <w:rPr>
          <w:rFonts w:ascii="Arial" w:cs="Arial" w:eastAsia="Arial" w:hAnsi="Arial"/>
          <w:sz w:val="17"/>
          <w:szCs w:val="17"/>
          <w:color w:val="auto"/>
        </w:rPr>
        <w:t>” means any and all series of preferred stock of the Issuer, including the Designated Preferred Stock.</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Previously Acquired Preferred Shares</w:t>
      </w:r>
      <w:r>
        <w:rPr>
          <w:rFonts w:ascii="Arial" w:cs="Arial" w:eastAsia="Arial" w:hAnsi="Arial"/>
          <w:sz w:val="18"/>
          <w:szCs w:val="18"/>
          <w:color w:val="auto"/>
        </w:rPr>
        <w:t>” has the meaning set forth in the Definitive Agreement.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Capital</w:t>
      </w:r>
      <w:r>
        <w:rPr>
          <w:rFonts w:ascii="Arial" w:cs="Arial" w:eastAsia="Arial" w:hAnsi="Arial"/>
          <w:sz w:val="18"/>
          <w:szCs w:val="18"/>
          <w:color w:val="auto"/>
        </w:rPr>
        <w:t>” means, if the Issuer is Matching Private Investment Supported (as defined in the Definitive Agreement), the equity capital received by the Issuer or the applicable Affiliate of the Issuer from one or more non-governmental investors in accordance with Section 1.3(m) of the Definitive Agreement.</w:t>
      </w:r>
    </w:p>
    <w:p>
      <w:pPr>
        <w:spacing w:after="0" w:line="183" w:lineRule="exact"/>
        <w:rPr>
          <w:rFonts w:ascii="Arial" w:cs="Arial" w:eastAsia="Arial" w:hAnsi="Arial"/>
          <w:sz w:val="18"/>
          <w:szCs w:val="18"/>
          <w:color w:val="auto"/>
        </w:rPr>
      </w:pPr>
    </w:p>
    <w:p>
      <w:pPr>
        <w:ind w:firstLine="1304"/>
        <w:spacing w:after="0" w:line="277" w:lineRule="auto"/>
        <w:tabs>
          <w:tab w:leader="none" w:pos="20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Publicly-traded</w:t>
      </w:r>
      <w:r>
        <w:rPr>
          <w:rFonts w:ascii="Arial" w:cs="Arial" w:eastAsia="Arial" w:hAnsi="Arial"/>
          <w:sz w:val="18"/>
          <w:szCs w:val="18"/>
          <w:color w:val="auto"/>
        </w:rPr>
        <w:t>” means a company that (i) has a class of securities that is traded on a national securities exchange and (ii) is required to file periodic reports with either the Securities and Exchange Commission or its primary federal bank regulator.</w:t>
      </w:r>
    </w:p>
    <w:p>
      <w:pPr>
        <w:spacing w:after="0" w:line="170" w:lineRule="exact"/>
        <w:rPr>
          <w:rFonts w:ascii="Arial" w:cs="Arial" w:eastAsia="Arial" w:hAnsi="Arial"/>
          <w:sz w:val="18"/>
          <w:szCs w:val="18"/>
          <w:color w:val="auto"/>
        </w:rPr>
      </w:pPr>
    </w:p>
    <w:p>
      <w:pPr>
        <w:ind w:firstLine="1304"/>
        <w:spacing w:after="0" w:line="277" w:lineRule="auto"/>
        <w:tabs>
          <w:tab w:leader="none" w:pos="21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Small Business Lending</w:t>
      </w:r>
      <w:r>
        <w:rPr>
          <w:rFonts w:ascii="Arial" w:cs="Arial" w:eastAsia="Arial" w:hAnsi="Arial"/>
          <w:sz w:val="18"/>
          <w:szCs w:val="18"/>
          <w:color w:val="auto"/>
        </w:rPr>
        <w:t>” or “</w:t>
      </w:r>
      <w:r>
        <w:rPr>
          <w:rFonts w:ascii="Arial" w:cs="Arial" w:eastAsia="Arial" w:hAnsi="Arial"/>
          <w:sz w:val="18"/>
          <w:szCs w:val="18"/>
          <w:u w:val="single" w:color="auto"/>
          <w:color w:val="auto"/>
        </w:rPr>
        <w:t>QSBL</w:t>
      </w:r>
      <w:r>
        <w:rPr>
          <w:rFonts w:ascii="Arial" w:cs="Arial" w:eastAsia="Arial" w:hAnsi="Arial"/>
          <w:sz w:val="18"/>
          <w:szCs w:val="18"/>
          <w:color w:val="auto"/>
        </w:rPr>
        <w:t>” means, with respect to any particular Dividend Period, the “Quarter-End Adjusted Qualified Small Business Lending” for such Dividend Period set forth in the applicable Supplemental Report.</w:t>
      </w:r>
    </w:p>
    <w:p>
      <w:pPr>
        <w:spacing w:after="0" w:line="170" w:lineRule="exact"/>
        <w:rPr>
          <w:rFonts w:ascii="Arial" w:cs="Arial" w:eastAsia="Arial" w:hAnsi="Arial"/>
          <w:sz w:val="18"/>
          <w:szCs w:val="18"/>
          <w:color w:val="auto"/>
        </w:rPr>
      </w:pPr>
    </w:p>
    <w:p>
      <w:pPr>
        <w:ind w:firstLine="1304"/>
        <w:spacing w:after="0" w:line="308" w:lineRule="auto"/>
        <w:tabs>
          <w:tab w:leader="none" w:pos="196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Portion Percentage</w:t>
      </w:r>
      <w:r>
        <w:rPr>
          <w:rFonts w:ascii="Arial" w:cs="Arial" w:eastAsia="Arial" w:hAnsi="Arial"/>
          <w:sz w:val="17"/>
          <w:szCs w:val="17"/>
          <w:color w:val="auto"/>
        </w:rPr>
        <w:t>” means, with respect to any particular “Dividend Period, the percentage obtained by dividing (i) the Increase in QSBL for such Dividend Period by (ii) the aggregate Liquidation Amount of then-outstanding Designated Preferred Stock.</w:t>
      </w:r>
    </w:p>
    <w:p>
      <w:pPr>
        <w:spacing w:after="0" w:line="146" w:lineRule="exact"/>
        <w:rPr>
          <w:rFonts w:ascii="Arial" w:cs="Arial" w:eastAsia="Arial" w:hAnsi="Arial"/>
          <w:sz w:val="17"/>
          <w:szCs w:val="17"/>
          <w:color w:val="auto"/>
        </w:rPr>
      </w:pPr>
    </w:p>
    <w:p>
      <w:pPr>
        <w:ind w:right="20" w:firstLine="1304"/>
        <w:spacing w:after="0" w:line="277" w:lineRule="auto"/>
        <w:tabs>
          <w:tab w:leader="none" w:pos="19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Savings and Loan Holding Company</w:t>
      </w:r>
      <w:r>
        <w:rPr>
          <w:rFonts w:ascii="Arial" w:cs="Arial" w:eastAsia="Arial" w:hAnsi="Arial"/>
          <w:sz w:val="18"/>
          <w:szCs w:val="18"/>
          <w:color w:val="auto"/>
        </w:rPr>
        <w:t>” means a company registered as such with the Office of Thrift Supervision pursuant to 12 U.S.C. §1467a(b) and the regulations of the Office of Thrift Supervision promulgated thereunder.</w:t>
      </w:r>
    </w:p>
    <w:p>
      <w:pPr>
        <w:sectPr>
          <w:pgSz w:w="11900" w:h="16838" w:orient="portrait"/>
          <w:cols w:equalWidth="0" w:num="1">
            <w:col w:w="11240"/>
          </w:cols>
          <w:pgMar w:left="320" w:top="895" w:right="339" w:bottom="1440" w:gutter="0" w:footer="0" w:header="0"/>
        </w:sectPr>
      </w:pPr>
    </w:p>
    <w:bookmarkStart w:id="81" w:name="page82"/>
    <w:bookmarkEnd w:id="81"/>
    <w:p>
      <w:pPr>
        <w:jc w:val="both"/>
        <w:ind w:firstLine="1304"/>
        <w:spacing w:after="0" w:line="259" w:lineRule="auto"/>
        <w:tabs>
          <w:tab w:leader="none" w:pos="19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means the increase in the number of diluted shares outstanding (determined in accordance with GAAP applied on a consistent basis, and as measured from the date of the Issuer’s or MoneyTree’s, as applicable most recent consolidated financial statements prior to the Signing Date) resulting from the grant, vesting or exercise of equity-based compensation to employees and equitably adjusted for any stock split, stock dividend, reverse stock split, reclassification or similar transaction.</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Signing Date Tier 1 Capital Amount</w:t>
      </w:r>
      <w:r>
        <w:rPr>
          <w:rFonts w:ascii="Arial" w:cs="Arial" w:eastAsia="Arial" w:hAnsi="Arial"/>
          <w:sz w:val="18"/>
          <w:szCs w:val="18"/>
          <w:color w:val="auto"/>
        </w:rPr>
        <w:t>” means $31,579,357.</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A-4</w:t>
      </w:r>
    </w:p>
    <w:p>
      <w:pPr>
        <w:spacing w:after="0" w:line="117" w:lineRule="exact"/>
        <w:rPr>
          <w:sz w:val="20"/>
          <w:szCs w:val="20"/>
          <w:color w:val="auto"/>
        </w:rPr>
      </w:pPr>
    </w:p>
    <w:p>
      <w:pPr>
        <w:ind w:left="2200" w:hanging="896"/>
        <w:spacing w:after="0"/>
        <w:tabs>
          <w:tab w:leader="none" w:pos="22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Standard Provisions</w:t>
      </w:r>
      <w:r>
        <w:rPr>
          <w:rFonts w:ascii="Arial" w:cs="Arial" w:eastAsia="Arial" w:hAnsi="Arial"/>
          <w:sz w:val="17"/>
          <w:szCs w:val="17"/>
          <w:color w:val="auto"/>
        </w:rPr>
        <w:t>” mean these Standard Provisions that form a part of the Certificate of Designation relating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Designated Preferred Stock.</w:t>
      </w:r>
    </w:p>
    <w:p>
      <w:pPr>
        <w:spacing w:after="0" w:line="210" w:lineRule="exact"/>
        <w:rPr>
          <w:rFonts w:ascii="Arial" w:cs="Arial" w:eastAsia="Arial" w:hAnsi="Arial"/>
          <w:sz w:val="17"/>
          <w:szCs w:val="17"/>
          <w:color w:val="auto"/>
        </w:rPr>
      </w:pPr>
    </w:p>
    <w:p>
      <w:pPr>
        <w:ind w:left="1960" w:hanging="656"/>
        <w:spacing w:after="0"/>
        <w:tabs>
          <w:tab w:leader="none" w:pos="1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Supplemental Report</w:t>
      </w:r>
      <w:r>
        <w:rPr>
          <w:rFonts w:ascii="Arial" w:cs="Arial" w:eastAsia="Arial" w:hAnsi="Arial"/>
          <w:sz w:val="16"/>
          <w:szCs w:val="16"/>
          <w:color w:val="auto"/>
        </w:rPr>
        <w:t>” means a Supplemental Report delivered by the Issuer to Treasury pursuant to the Definitive Agreement.</w:t>
      </w:r>
    </w:p>
    <w:p>
      <w:pPr>
        <w:spacing w:after="0" w:line="248" w:lineRule="exact"/>
        <w:rPr>
          <w:rFonts w:ascii="Arial" w:cs="Arial" w:eastAsia="Arial" w:hAnsi="Arial"/>
          <w:sz w:val="16"/>
          <w:szCs w:val="16"/>
          <w:color w:val="auto"/>
        </w:rPr>
      </w:pPr>
    </w:p>
    <w:p>
      <w:pPr>
        <w:ind w:left="1940" w:hanging="636"/>
        <w:spacing w:after="0"/>
        <w:tabs>
          <w:tab w:leader="none" w:pos="1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Tier 1 Dividend Threshold</w:t>
      </w:r>
      <w:r>
        <w:rPr>
          <w:rFonts w:ascii="Arial" w:cs="Arial" w:eastAsia="Arial" w:hAnsi="Arial"/>
          <w:sz w:val="18"/>
          <w:szCs w:val="18"/>
          <w:color w:val="auto"/>
        </w:rPr>
        <w:t>” means, as of any particular date, the result of the following formula:</w:t>
      </w:r>
    </w:p>
    <w:p>
      <w:pPr>
        <w:spacing w:after="0" w:line="225" w:lineRule="exact"/>
        <w:rPr>
          <w:sz w:val="20"/>
          <w:szCs w:val="20"/>
          <w:color w:val="auto"/>
        </w:rPr>
      </w:pPr>
    </w:p>
    <w:p>
      <w:pPr>
        <w:ind w:left="1300" w:right="8160" w:firstLine="4"/>
        <w:spacing w:after="0" w:line="527" w:lineRule="auto"/>
        <w:tabs>
          <w:tab w:leader="none" w:pos="14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(A+B–C)*0.9)–D where:</w:t>
      </w:r>
    </w:p>
    <w:p>
      <w:pPr>
        <w:sectPr>
          <w:pgSz w:w="11900" w:h="16838" w:orient="portrait"/>
          <w:cols w:equalWidth="0" w:num="1">
            <w:col w:w="11240"/>
          </w:cols>
          <w:pgMar w:left="320" w:top="1111" w:right="339" w:bottom="1440" w:gutter="0" w:footer="0" w:header="0"/>
        </w:sectPr>
      </w:pPr>
    </w:p>
    <w:p>
      <w:pPr>
        <w:spacing w:after="0" w:line="103"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 =</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Original Signing Date Tier 1 Capital Amount;</w:t>
      </w:r>
    </w:p>
    <w:p>
      <w:pPr>
        <w:spacing w:after="0" w:line="200" w:lineRule="exact"/>
        <w:rPr>
          <w:sz w:val="20"/>
          <w:szCs w:val="20"/>
          <w:color w:val="auto"/>
        </w:rPr>
      </w:pPr>
    </w:p>
    <w:p>
      <w:pPr>
        <w:sectPr>
          <w:pgSz w:w="11900" w:h="16838" w:orient="portrait"/>
          <w:cols w:equalWidth="0" w:num="2">
            <w:col w:w="1780" w:space="600"/>
            <w:col w:w="8860"/>
          </w:cols>
          <w:pgMar w:left="320" w:top="1111" w:right="339" w:bottom="1440" w:gutter="0" w:footer="0" w:header="0"/>
          <w:type w:val="continuous"/>
        </w:sectPr>
      </w:pPr>
    </w:p>
    <w:p>
      <w:pPr>
        <w:spacing w:after="0" w:line="30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B =</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the aggregate Liquidation Amount of the Designated Preferred Stock issued to Treasury;</w:t>
      </w:r>
    </w:p>
    <w:p>
      <w:pPr>
        <w:spacing w:after="0" w:line="222" w:lineRule="exact"/>
        <w:rPr>
          <w:sz w:val="20"/>
          <w:szCs w:val="20"/>
          <w:color w:val="auto"/>
        </w:rPr>
      </w:pPr>
    </w:p>
    <w:p>
      <w:pPr>
        <w:sectPr>
          <w:pgSz w:w="11900" w:h="16838" w:orient="portrait"/>
          <w:cols w:equalWidth="0" w:num="2">
            <w:col w:w="1800" w:space="600"/>
            <w:col w:w="8840"/>
          </w:cols>
          <w:pgMar w:left="320" w:top="1111" w:right="339" w:bottom="1440" w:gutter="0" w:footer="0" w:header="0"/>
          <w:type w:val="continuous"/>
        </w:sectPr>
      </w:pPr>
    </w:p>
    <w:p>
      <w:pPr>
        <w:spacing w:after="0" w:line="29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C =</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Charge-Offs since the Original Signing Date; and</w:t>
      </w:r>
    </w:p>
    <w:p>
      <w:pPr>
        <w:spacing w:after="0" w:line="211" w:lineRule="exact"/>
        <w:rPr>
          <w:sz w:val="20"/>
          <w:szCs w:val="20"/>
          <w:color w:val="auto"/>
        </w:rPr>
      </w:pPr>
    </w:p>
    <w:p>
      <w:pPr>
        <w:sectPr>
          <w:pgSz w:w="11900" w:h="16838" w:orient="portrait"/>
          <w:cols w:equalWidth="0" w:num="2">
            <w:col w:w="1800" w:space="600"/>
            <w:col w:w="8840"/>
          </w:cols>
          <w:pgMar w:left="320" w:top="1111" w:right="339" w:bottom="1440" w:gutter="0" w:footer="0" w:header="0"/>
          <w:type w:val="continuous"/>
        </w:sectPr>
      </w:pP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D =</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both"/>
        <w:ind w:right="2020"/>
        <w:spacing w:after="0" w:line="255" w:lineRule="auto"/>
        <w:rPr>
          <w:sz w:val="20"/>
          <w:szCs w:val="20"/>
          <w:color w:val="auto"/>
        </w:rPr>
      </w:pPr>
      <w:r>
        <w:rPr>
          <w:rFonts w:ascii="Arial" w:cs="Arial" w:eastAsia="Arial" w:hAnsi="Arial"/>
          <w:sz w:val="18"/>
          <w:szCs w:val="18"/>
          <w:color w:val="auto"/>
        </w:rPr>
        <w:t>(i) beginning on the first day of the eleventh (11th) Dividend Period, the amount equal to ten percent (10%) of the aggregate Liquidation Amount of the Designated Preferred Stock issued to Treasury as of the Effective Date (without regard to any redemptions of Designated Preferred Stock that may have occurred thereafter) for every one percent (1%) of positive Percentage Change in Qualified Small Business Lending between the ninth (9th) Dividend Period and the Baseline; and</w:t>
      </w:r>
    </w:p>
    <w:p>
      <w:pPr>
        <w:spacing w:after="0" w:line="200" w:lineRule="exact"/>
        <w:rPr>
          <w:sz w:val="20"/>
          <w:szCs w:val="20"/>
          <w:color w:val="auto"/>
        </w:rPr>
      </w:pPr>
    </w:p>
    <w:p>
      <w:pPr>
        <w:sectPr>
          <w:pgSz w:w="11900" w:h="16838" w:orient="portrait"/>
          <w:cols w:equalWidth="0" w:num="2">
            <w:col w:w="1800" w:space="600"/>
            <w:col w:w="8840"/>
          </w:cols>
          <w:pgMar w:left="320" w:top="1111" w:right="339" w:bottom="1440" w:gutter="0" w:footer="0" w:header="0"/>
          <w:type w:val="continuous"/>
        </w:sectPr>
      </w:pPr>
    </w:p>
    <w:p>
      <w:pPr>
        <w:spacing w:after="0" w:line="114" w:lineRule="exact"/>
        <w:rPr>
          <w:sz w:val="20"/>
          <w:szCs w:val="20"/>
          <w:color w:val="auto"/>
        </w:rPr>
      </w:pPr>
    </w:p>
    <w:p>
      <w:pPr>
        <w:ind w:left="2660" w:hanging="708"/>
        <w:spacing w:after="0"/>
        <w:tabs>
          <w:tab w:leader="none" w:pos="2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zero (0) at all other times.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0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Parity Stock</w:t>
      </w:r>
      <w:r>
        <w:rPr>
          <w:rFonts w:ascii="Arial" w:cs="Arial" w:eastAsia="Arial" w:hAnsi="Arial"/>
          <w:sz w:val="18"/>
          <w:szCs w:val="18"/>
          <w:color w:val="auto"/>
        </w:rPr>
        <w:t>” means, with regard to any matter as to which the holders of Designated Preferred Stock are entitled to vote as specified in Section 7(d) of these Standard Provisions that form a part of the Certificate of Designation, any and all series of Parity Stock upon which like voting rights have been conferred and are exercisable with respect to such matter.</w:t>
      </w:r>
    </w:p>
    <w:p>
      <w:pPr>
        <w:spacing w:after="0" w:line="18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Dividends</w:t>
      </w:r>
      <w:r>
        <w:rPr>
          <w:rFonts w:ascii="Arial" w:cs="Arial" w:eastAsia="Arial" w:hAnsi="Arial"/>
          <w:sz w:val="16"/>
          <w:szCs w:val="16"/>
          <w:color w:val="auto"/>
        </w:rPr>
        <w:t>.</w:t>
      </w:r>
    </w:p>
    <w:p>
      <w:pPr>
        <w:spacing w:after="0" w:line="225" w:lineRule="exact"/>
        <w:rPr>
          <w:sz w:val="20"/>
          <w:szCs w:val="20"/>
          <w:color w:val="auto"/>
        </w:rPr>
      </w:pPr>
    </w:p>
    <w:p>
      <w:pPr>
        <w:ind w:left="1960" w:hanging="656"/>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560" w:hanging="608"/>
        <w:spacing w:after="0"/>
        <w:tabs>
          <w:tab w:leader="none" w:pos="25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Applicable Dividend Rate</w:t>
      </w:r>
      <w:r>
        <w:rPr>
          <w:rFonts w:ascii="Arial" w:cs="Arial" w:eastAsia="Arial" w:hAnsi="Arial"/>
          <w:sz w:val="18"/>
          <w:szCs w:val="18"/>
          <w:color w:val="auto"/>
        </w:rPr>
        <w:t>” shall be determined as follows:</w:t>
      </w:r>
    </w:p>
    <w:p>
      <w:pPr>
        <w:spacing w:after="0" w:line="225" w:lineRule="exact"/>
        <w:rPr>
          <w:rFonts w:ascii="Arial" w:cs="Arial" w:eastAsia="Arial" w:hAnsi="Arial"/>
          <w:sz w:val="18"/>
          <w:szCs w:val="18"/>
          <w:color w:val="auto"/>
        </w:rPr>
      </w:pPr>
    </w:p>
    <w:p>
      <w:pPr>
        <w:ind w:left="2760" w:hanging="322"/>
        <w:spacing w:after="0"/>
        <w:tabs>
          <w:tab w:leader="none" w:pos="2760" w:val="left"/>
        </w:tabs>
        <w:numPr>
          <w:ilvl w:val="2"/>
          <w:numId w:val="50"/>
        </w:numPr>
        <w:rPr>
          <w:rFonts w:ascii="Arial" w:cs="Arial" w:eastAsia="Arial" w:hAnsi="Arial"/>
          <w:sz w:val="18"/>
          <w:szCs w:val="18"/>
          <w:color w:val="auto"/>
        </w:rPr>
      </w:pPr>
      <w:r>
        <w:rPr>
          <w:rFonts w:ascii="Arial" w:cs="Arial" w:eastAsia="Arial" w:hAnsi="Arial"/>
          <w:sz w:val="18"/>
          <w:szCs w:val="18"/>
          <w:color w:val="auto"/>
        </w:rPr>
        <w:t>With respect to the Initial Dividend Period, the Applicable Dividend Rate shall be five percent (5%).</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A-5</w:t>
      </w:r>
    </w:p>
    <w:p>
      <w:pPr>
        <w:spacing w:after="0" w:line="131" w:lineRule="exact"/>
        <w:rPr>
          <w:sz w:val="20"/>
          <w:szCs w:val="20"/>
          <w:color w:val="auto"/>
        </w:rPr>
      </w:pPr>
    </w:p>
    <w:p>
      <w:pPr>
        <w:ind w:left="2760" w:right="500" w:hanging="322"/>
        <w:spacing w:after="0" w:line="277" w:lineRule="auto"/>
        <w:tabs>
          <w:tab w:leader="none" w:pos="27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respect to each of the second (2nd) through the tenth (10th) Dividend Periods, inclusive (in each case, the “</w:t>
      </w:r>
      <w:r>
        <w:rPr>
          <w:rFonts w:ascii="Arial" w:cs="Arial" w:eastAsia="Arial" w:hAnsi="Arial"/>
          <w:sz w:val="18"/>
          <w:szCs w:val="18"/>
          <w:u w:val="single" w:color="auto"/>
          <w:color w:val="auto"/>
        </w:rPr>
        <w:t>Current Period</w:t>
      </w:r>
      <w:r>
        <w:rPr>
          <w:rFonts w:ascii="Arial" w:cs="Arial" w:eastAsia="Arial" w:hAnsi="Arial"/>
          <w:sz w:val="18"/>
          <w:szCs w:val="18"/>
          <w:color w:val="auto"/>
        </w:rPr>
        <w:t>”), the Applicable Dividend Rate shall be:</w:t>
      </w:r>
    </w:p>
    <w:p>
      <w:pPr>
        <w:sectPr>
          <w:pgSz w:w="11900" w:h="16838" w:orient="portrait"/>
          <w:cols w:equalWidth="0" w:num="1">
            <w:col w:w="11240"/>
          </w:cols>
          <w:pgMar w:left="320" w:top="1111" w:right="339" w:bottom="1440" w:gutter="0" w:footer="0" w:header="0"/>
          <w:type w:val="continuous"/>
        </w:sectPr>
      </w:pPr>
    </w:p>
    <w:bookmarkStart w:id="82" w:name="page83"/>
    <w:bookmarkEnd w:id="82"/>
    <w:p>
      <w:pPr>
        <w:jc w:val="both"/>
        <w:ind w:firstLine="3248"/>
        <w:spacing w:after="0" w:line="263" w:lineRule="auto"/>
        <w:tabs>
          <w:tab w:leader="none" w:pos="4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(x) the applicable rate set forth in column “A” of the table in Section 3(a)(iii), based on the Percentage Change in QSBL between the Dividend Period that was two Dividend Periods prior to the Current Period (the “</w:t>
      </w:r>
      <w:r>
        <w:rPr>
          <w:rFonts w:ascii="Arial" w:cs="Arial" w:eastAsia="Arial" w:hAnsi="Arial"/>
          <w:sz w:val="18"/>
          <w:szCs w:val="18"/>
          <w:u w:val="single" w:color="auto"/>
          <w:color w:val="auto"/>
        </w:rPr>
        <w:t>Dividend Reference Period</w:t>
      </w:r>
      <w:r>
        <w:rPr>
          <w:rFonts w:ascii="Arial" w:cs="Arial" w:eastAsia="Arial" w:hAnsi="Arial"/>
          <w:sz w:val="18"/>
          <w:szCs w:val="18"/>
          <w:color w:val="auto"/>
        </w:rPr>
        <w:t>”) and the Baseline, multiplied by (y) the Qualifying Portion Percentage; plus</w:t>
      </w:r>
    </w:p>
    <w:p>
      <w:pPr>
        <w:spacing w:after="0" w:line="183" w:lineRule="exact"/>
        <w:rPr>
          <w:rFonts w:ascii="Arial" w:cs="Arial" w:eastAsia="Arial" w:hAnsi="Arial"/>
          <w:sz w:val="18"/>
          <w:szCs w:val="18"/>
          <w:color w:val="auto"/>
        </w:rPr>
      </w:pPr>
    </w:p>
    <w:p>
      <w:pPr>
        <w:ind w:left="3980" w:hanging="732"/>
        <w:spacing w:after="0"/>
        <w:tabs>
          <w:tab w:leader="none" w:pos="3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(x) five percent (5%) multiplied by (y) the Non-Qualifying Portion Percentage.</w:t>
      </w:r>
    </w:p>
    <w:p>
      <w:pPr>
        <w:spacing w:after="0" w:line="225" w:lineRule="exact"/>
        <w:rPr>
          <w:sz w:val="20"/>
          <w:szCs w:val="20"/>
          <w:color w:val="auto"/>
        </w:rPr>
      </w:pPr>
    </w:p>
    <w:p>
      <w:pPr>
        <w:ind w:firstLine="2592"/>
        <w:spacing w:after="0" w:line="277" w:lineRule="auto"/>
        <w:rPr>
          <w:sz w:val="20"/>
          <w:szCs w:val="20"/>
          <w:color w:val="auto"/>
        </w:rPr>
      </w:pPr>
      <w:r>
        <w:rPr>
          <w:rFonts w:ascii="Arial" w:cs="Arial" w:eastAsia="Arial" w:hAnsi="Arial"/>
          <w:sz w:val="18"/>
          <w:szCs w:val="18"/>
          <w:color w:val="auto"/>
        </w:rPr>
        <w:t>In each such case, the Applicable Dividend Rate shall be determined at the time the Issuer delivers a complete and accurate Supplemental Report to Treasury with respect to the Dividend Reference Period.</w:t>
      </w:r>
    </w:p>
    <w:p>
      <w:pPr>
        <w:spacing w:after="0" w:line="170" w:lineRule="exact"/>
        <w:rPr>
          <w:sz w:val="20"/>
          <w:szCs w:val="20"/>
          <w:color w:val="auto"/>
        </w:rPr>
      </w:pPr>
    </w:p>
    <w:p>
      <w:pPr>
        <w:jc w:val="both"/>
        <w:ind w:left="2760" w:hanging="322"/>
        <w:spacing w:after="0" w:line="255" w:lineRule="auto"/>
        <w:tabs>
          <w:tab w:leader="none" w:pos="27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respect to the eleventh (11th) through the eighteenth (18th) Dividend Periods, inclusive, and that portion of the nineteenth (19th) Dividend Period prior to, but not including, the four and one half (4½) year anniversary of the Original Issue Date, the Applicable Dividend Rate shall be:</w:t>
      </w:r>
    </w:p>
    <w:p>
      <w:pPr>
        <w:spacing w:after="0" w:line="2" w:lineRule="exact"/>
        <w:rPr>
          <w:rFonts w:ascii="Arial" w:cs="Arial" w:eastAsia="Arial" w:hAnsi="Arial"/>
          <w:sz w:val="18"/>
          <w:szCs w:val="18"/>
          <w:color w:val="auto"/>
        </w:rPr>
      </w:pPr>
    </w:p>
    <w:p>
      <w:pPr>
        <w:jc w:val="both"/>
        <w:ind w:firstLine="3248"/>
        <w:spacing w:after="0" w:line="255" w:lineRule="auto"/>
        <w:tabs>
          <w:tab w:leader="none" w:pos="4266" w:val="left"/>
        </w:tabs>
        <w:numPr>
          <w:ilvl w:val="1"/>
          <w:numId w:val="53"/>
        </w:numPr>
        <w:rPr>
          <w:rFonts w:ascii="Arial" w:cs="Arial" w:eastAsia="Arial" w:hAnsi="Arial"/>
          <w:sz w:val="18"/>
          <w:szCs w:val="18"/>
          <w:color w:val="auto"/>
        </w:rPr>
      </w:pPr>
      <w:r>
        <w:rPr>
          <w:rFonts w:ascii="Arial" w:cs="Arial" w:eastAsia="Arial" w:hAnsi="Arial"/>
          <w:sz w:val="18"/>
          <w:szCs w:val="18"/>
          <w:color w:val="auto"/>
        </w:rPr>
        <w:t>(x) the applicable rate set forth in column “B” of the table in Section 3(a)(iii), based on the Percentage Change in QSBL between the ninth (9th) Dividend Period and the Baseline, multiplied by (y) the Qualifying Portion Percentage, calculated as of the last day of the ninth (9th) Dividend Period; plus</w:t>
      </w:r>
    </w:p>
    <w:p>
      <w:pPr>
        <w:spacing w:after="0" w:line="189" w:lineRule="exact"/>
        <w:rPr>
          <w:rFonts w:ascii="Arial" w:cs="Arial" w:eastAsia="Arial" w:hAnsi="Arial"/>
          <w:sz w:val="18"/>
          <w:szCs w:val="18"/>
          <w:color w:val="auto"/>
        </w:rPr>
      </w:pPr>
    </w:p>
    <w:p>
      <w:pPr>
        <w:ind w:left="4040" w:hanging="792"/>
        <w:spacing w:after="0"/>
        <w:tabs>
          <w:tab w:leader="none" w:pos="40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(x) five percent (5%) multiplied by (y) the Non-Qualifying Portion Percentage, calculated as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last day of the ninth (9th) Dividend Period.</w:t>
      </w:r>
    </w:p>
    <w:p>
      <w:pPr>
        <w:spacing w:after="0" w:line="211" w:lineRule="exact"/>
        <w:rPr>
          <w:sz w:val="20"/>
          <w:szCs w:val="20"/>
          <w:color w:val="auto"/>
        </w:rPr>
      </w:pPr>
    </w:p>
    <w:p>
      <w:pPr>
        <w:ind w:firstLine="2592"/>
        <w:spacing w:after="0" w:line="277" w:lineRule="auto"/>
        <w:rPr>
          <w:sz w:val="20"/>
          <w:szCs w:val="20"/>
          <w:color w:val="auto"/>
        </w:rPr>
      </w:pPr>
      <w:r>
        <w:rPr>
          <w:rFonts w:ascii="Arial" w:cs="Arial" w:eastAsia="Arial" w:hAnsi="Arial"/>
          <w:sz w:val="18"/>
          <w:szCs w:val="18"/>
          <w:color w:val="auto"/>
        </w:rPr>
        <w:t>In such case, the Applicable Dividend Rate shall be determined at the time the Issuer delivers a complete and accurate Supplemental Report to Treasury with respect to the ninth (9th) Dividend Period.</w:t>
      </w:r>
    </w:p>
    <w:p>
      <w:pPr>
        <w:spacing w:after="0" w:line="170" w:lineRule="exact"/>
        <w:rPr>
          <w:sz w:val="20"/>
          <w:szCs w:val="20"/>
          <w:color w:val="auto"/>
        </w:rPr>
      </w:pPr>
    </w:p>
    <w:p>
      <w:pPr>
        <w:jc w:val="both"/>
        <w:ind w:left="2760" w:hanging="322"/>
        <w:spacing w:after="0" w:line="255" w:lineRule="auto"/>
        <w:tabs>
          <w:tab w:leader="none" w:pos="27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(A) that portion of the nineteenth (19th) Dividend Period beginning on the four and one half (4½) year anniversary of the Original Issue Date and (B) all Dividend Periods thereafter, the Applicable Dividend Rate shall be nine percent (9%).</w:t>
      </w:r>
    </w:p>
    <w:p>
      <w:pPr>
        <w:spacing w:after="0" w:line="2" w:lineRule="exact"/>
        <w:rPr>
          <w:rFonts w:ascii="Arial" w:cs="Arial" w:eastAsia="Arial" w:hAnsi="Arial"/>
          <w:sz w:val="18"/>
          <w:szCs w:val="18"/>
          <w:color w:val="auto"/>
        </w:rPr>
      </w:pPr>
    </w:p>
    <w:p>
      <w:pPr>
        <w:jc w:val="both"/>
        <w:ind w:left="2760" w:hanging="322"/>
        <w:spacing w:after="0" w:line="253" w:lineRule="auto"/>
        <w:tabs>
          <w:tab w:leader="none" w:pos="27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the Issuer fails to submit a Supplemental Report that is due during any of the second (2nd) through tenth (10th) Dividend Periods on or before the sixtieth (60th) day of such Dividend Period, the Issuer’s QSBL for the Dividend Period that would have been covered by such Supplemental Report shall be zero (0) for purposes hereof.</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A-6</w:t>
      </w:r>
    </w:p>
    <w:p>
      <w:pPr>
        <w:spacing w:after="0" w:line="117" w:lineRule="exact"/>
        <w:rPr>
          <w:sz w:val="20"/>
          <w:szCs w:val="20"/>
          <w:color w:val="auto"/>
        </w:rPr>
      </w:pPr>
    </w:p>
    <w:p>
      <w:pPr>
        <w:ind w:left="2760" w:right="120" w:hanging="322"/>
        <w:spacing w:after="0" w:line="291" w:lineRule="auto"/>
        <w:tabs>
          <w:tab w:leader="none" w:pos="2754" w:val="left"/>
        </w:tabs>
        <w:numPr>
          <w:ilvl w:val="1"/>
          <w:numId w:val="55"/>
        </w:numPr>
        <w:rPr>
          <w:rFonts w:ascii="Arial" w:cs="Arial" w:eastAsia="Arial" w:hAnsi="Arial"/>
          <w:sz w:val="16"/>
          <w:szCs w:val="16"/>
          <w:color w:val="auto"/>
        </w:rPr>
      </w:pPr>
      <w:r>
        <w:rPr>
          <w:rFonts w:ascii="Arial" w:cs="Arial" w:eastAsia="Arial" w:hAnsi="Arial"/>
          <w:sz w:val="16"/>
          <w:szCs w:val="16"/>
          <w:color w:val="auto"/>
        </w:rPr>
        <w:t>Notwithstanding anything herein to the contrary, but subject to Section 3(a)(i)(5) above, if the Issuer fails to submit the Supplemental Report that is due during the tenth (10th) Dividend Period, the Issuer’s QSBL for the shall be zero</w:t>
      </w:r>
    </w:p>
    <w:p>
      <w:pPr>
        <w:ind w:left="2760" w:right="20"/>
        <w:spacing w:after="0" w:line="281" w:lineRule="auto"/>
        <w:rPr>
          <w:rFonts w:ascii="Arial" w:cs="Arial" w:eastAsia="Arial" w:hAnsi="Arial"/>
          <w:sz w:val="16"/>
          <w:szCs w:val="16"/>
          <w:color w:val="auto"/>
        </w:rPr>
      </w:pPr>
      <w:r>
        <w:rPr>
          <w:rFonts w:ascii="Arial" w:cs="Arial" w:eastAsia="Arial" w:hAnsi="Arial"/>
          <w:sz w:val="16"/>
          <w:szCs w:val="16"/>
          <w:color w:val="auto"/>
        </w:rPr>
        <w:t>(0) for purposes of calculating the Applicable Dividend Rate pursuant to Section 3(a)(i)(3) and (4). The Applicable Dividend Rate shall be re-determined effective as of the first day of the calendar quarter following the date such failure is remedied, provided it is remedied prior to the four and one half (4½) anniversary of the Original Issue Date.</w:t>
      </w:r>
    </w:p>
    <w:p>
      <w:pPr>
        <w:spacing w:after="0" w:line="1" w:lineRule="exact"/>
        <w:rPr>
          <w:rFonts w:ascii="Arial" w:cs="Arial" w:eastAsia="Arial" w:hAnsi="Arial"/>
          <w:sz w:val="16"/>
          <w:szCs w:val="16"/>
          <w:color w:val="auto"/>
        </w:rPr>
      </w:pPr>
    </w:p>
    <w:p>
      <w:pPr>
        <w:ind w:left="2760" w:right="40" w:hanging="322"/>
        <w:spacing w:after="0" w:line="250" w:lineRule="auto"/>
        <w:tabs>
          <w:tab w:leader="none" w:pos="27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Notwithstanding anything herein on the contrary, if the Issuer fails to submit any of the certificates required by Sections 3.1(d)(ii) or 3.1(d)(iii) of the Definitive Agreement when and as required thereby, the Issuer’s QSBL for the shall be zero (0) for purposes of calculating the Applicable Dividend Rate pursuant to Section 3(a)(1)(2) or (3) above until such failure is remedied.</w:t>
      </w:r>
    </w:p>
    <w:p>
      <w:pPr>
        <w:spacing w:after="0" w:line="1" w:lineRule="exact"/>
        <w:rPr>
          <w:rFonts w:ascii="Arial" w:cs="Arial" w:eastAsia="Arial" w:hAnsi="Arial"/>
          <w:sz w:val="18"/>
          <w:szCs w:val="18"/>
          <w:color w:val="auto"/>
        </w:rPr>
      </w:pPr>
    </w:p>
    <w:p>
      <w:pPr>
        <w:ind w:right="20" w:firstLine="1952"/>
        <w:spacing w:after="0" w:line="260" w:lineRule="auto"/>
        <w:tabs>
          <w:tab w:leader="none" w:pos="259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Percentage Change in Qualified Lending</w:t>
      </w:r>
      <w:r>
        <w:rPr>
          <w:rFonts w:ascii="Arial" w:cs="Arial" w:eastAsia="Arial" w:hAnsi="Arial"/>
          <w:sz w:val="18"/>
          <w:szCs w:val="18"/>
          <w:color w:val="auto"/>
        </w:rPr>
        <w:t>” between any given Dividend Period and the Baseline shall be the result of the following formula, expressed as a percentage:</w:t>
      </w:r>
    </w:p>
    <w:p>
      <w:pPr>
        <w:spacing w:after="0" w:line="91" w:lineRule="exact"/>
        <w:rPr>
          <w:sz w:val="20"/>
          <w:szCs w:val="20"/>
          <w:color w:val="auto"/>
        </w:rPr>
      </w:pPr>
    </w:p>
    <w:tbl>
      <w:tblPr>
        <w:tblLayout w:type="fixed"/>
        <w:tblInd w:w="4400" w:type="dxa"/>
        <w:tblCellMar>
          <w:top w:w="0" w:type="dxa"/>
          <w:left w:w="0" w:type="dxa"/>
          <w:bottom w:w="0" w:type="dxa"/>
          <w:right w:w="0" w:type="dxa"/>
        </w:tblCellMar>
      </w:tblPr>
      <w:tr>
        <w:trPr>
          <w:trHeight w:val="311"/>
        </w:trPr>
        <w:tc>
          <w:tcPr>
            <w:tcW w:w="220" w:type="dxa"/>
            <w:vAlign w:val="bottom"/>
            <w:vMerge w:val="restart"/>
          </w:tcPr>
          <w:p>
            <w:pPr>
              <w:jc w:val="right"/>
              <w:spacing w:after="0"/>
              <w:rPr>
                <w:sz w:val="20"/>
                <w:szCs w:val="20"/>
                <w:color w:val="auto"/>
              </w:rPr>
            </w:pPr>
            <w:r>
              <w:rPr>
                <w:rFonts w:ascii="Arial" w:cs="Arial" w:eastAsia="Arial" w:hAnsi="Arial"/>
                <w:sz w:val="65"/>
                <w:szCs w:val="65"/>
                <w:color w:val="auto"/>
                <w:w w:val="82"/>
              </w:rPr>
              <w:t>(</w:t>
            </w:r>
          </w:p>
        </w:tc>
        <w:tc>
          <w:tcPr>
            <w:tcW w:w="4060" w:type="dxa"/>
            <w:vAlign w:val="bottom"/>
          </w:tcPr>
          <w:p>
            <w:pPr>
              <w:jc w:val="center"/>
              <w:spacing w:after="0"/>
              <w:rPr>
                <w:sz w:val="20"/>
                <w:szCs w:val="20"/>
                <w:color w:val="auto"/>
              </w:rPr>
            </w:pPr>
            <w:r>
              <w:rPr>
                <w:rFonts w:ascii="Arial" w:cs="Arial" w:eastAsia="Arial" w:hAnsi="Arial"/>
                <w:sz w:val="18"/>
                <w:szCs w:val="18"/>
                <w:color w:val="auto"/>
                <w:w w:val="92"/>
              </w:rPr>
              <w:t>( QSBL for the Dividend Period – Baseline )</w:t>
            </w:r>
          </w:p>
        </w:tc>
        <w:tc>
          <w:tcPr>
            <w:tcW w:w="220" w:type="dxa"/>
            <w:vAlign w:val="bottom"/>
            <w:vMerge w:val="restart"/>
          </w:tcPr>
          <w:p>
            <w:pPr>
              <w:jc w:val="right"/>
              <w:spacing w:after="0"/>
              <w:rPr>
                <w:sz w:val="20"/>
                <w:szCs w:val="20"/>
                <w:color w:val="auto"/>
              </w:rPr>
            </w:pPr>
            <w:r>
              <w:rPr>
                <w:rFonts w:ascii="Arial" w:cs="Arial" w:eastAsia="Arial" w:hAnsi="Arial"/>
                <w:sz w:val="65"/>
                <w:szCs w:val="65"/>
                <w:color w:val="auto"/>
                <w:w w:val="92"/>
              </w:rPr>
              <w:t>)</w:t>
            </w:r>
          </w:p>
        </w:tc>
        <w:tc>
          <w:tcPr>
            <w:tcW w:w="0" w:type="dxa"/>
            <w:vAlign w:val="bottom"/>
          </w:tcPr>
          <w:p>
            <w:pPr>
              <w:spacing w:after="0"/>
              <w:rPr>
                <w:sz w:val="1"/>
                <w:szCs w:val="1"/>
                <w:color w:val="auto"/>
              </w:rPr>
            </w:pPr>
          </w:p>
        </w:tc>
      </w:tr>
      <w:tr>
        <w:trPr>
          <w:trHeight w:val="88"/>
        </w:trPr>
        <w:tc>
          <w:tcPr>
            <w:tcW w:w="220" w:type="dxa"/>
            <w:vAlign w:val="bottom"/>
            <w:vMerge w:val="continue"/>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0"/>
        </w:trPr>
        <w:tc>
          <w:tcPr>
            <w:tcW w:w="220" w:type="dxa"/>
            <w:vAlign w:val="bottom"/>
            <w:vMerge w:val="continue"/>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color w:val="auto"/>
                <w:w w:val="89"/>
              </w:rPr>
              <w:t>Baseline</w:t>
            </w:r>
          </w:p>
        </w:tc>
        <w:tc>
          <w:tcPr>
            <w:tcW w:w="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2580" w:hanging="628"/>
        <w:spacing w:after="0"/>
        <w:tabs>
          <w:tab w:leader="none" w:pos="2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following table shall be used for determining the Applicable Dividend Rate:</w:t>
      </w:r>
    </w:p>
    <w:p>
      <w:pPr>
        <w:sectPr>
          <w:pgSz w:w="11900" w:h="16838" w:orient="portrait"/>
          <w:cols w:equalWidth="0" w:num="1">
            <w:col w:w="11240"/>
          </w:cols>
          <w:pgMar w:left="320" w:top="895" w:right="339" w:bottom="1440" w:gutter="0" w:footer="0" w:header="0"/>
        </w:sectPr>
      </w:pPr>
    </w:p>
    <w:bookmarkStart w:id="83" w:name="page84"/>
    <w:bookmarkEnd w:id="83"/>
    <w:p>
      <w:pPr>
        <w:ind w:left="55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6480810" cy="2074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480810" cy="2074545"/>
                    </a:xfrm>
                    <a:prstGeom prst="rect">
                      <a:avLst/>
                    </a:prstGeom>
                    <a:noFill/>
                  </pic:spPr>
                </pic:pic>
              </a:graphicData>
            </a:graphic>
          </wp:anchor>
        </w:drawing>
        <w:t>The Applicable Dividend Rate shall be:</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680" w:firstLine="162"/>
        <w:spacing w:after="0" w:line="235" w:lineRule="auto"/>
        <w:rPr>
          <w:sz w:val="20"/>
          <w:szCs w:val="20"/>
          <w:color w:val="auto"/>
        </w:rPr>
      </w:pPr>
      <w:r>
        <w:rPr>
          <w:rFonts w:ascii="Arial" w:cs="Arial" w:eastAsia="Arial" w:hAnsi="Arial"/>
          <w:sz w:val="18"/>
          <w:szCs w:val="18"/>
          <w:u w:val="single" w:color="auto"/>
          <w:color w:val="auto"/>
        </w:rPr>
        <w:t>If the Percentage Change in Qualified Lending 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2331720" cy="11404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331720" cy="11404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0% or less</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More than 0%, but less than 2.5%</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2.5% or more, but less than 5%</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 or more, but less than 7.5%</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7.5% or more, but less than 10%</w:t>
      </w:r>
    </w:p>
    <w:p>
      <w:pPr>
        <w:spacing w:after="0" w:line="9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 or more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Column “A”</w:t>
      </w:r>
    </w:p>
    <w:p>
      <w:pPr>
        <w:jc w:val="center"/>
        <w:ind w:right="1220"/>
        <w:spacing w:after="0" w:line="203" w:lineRule="auto"/>
        <w:rPr>
          <w:sz w:val="20"/>
          <w:szCs w:val="20"/>
          <w:color w:val="auto"/>
        </w:rPr>
      </w:pPr>
      <w:r>
        <w:rPr>
          <w:rFonts w:ascii="Arial" w:cs="Arial" w:eastAsia="Arial" w:hAnsi="Arial"/>
          <w:sz w:val="18"/>
          <w:szCs w:val="18"/>
          <w:u w:val="single" w:color="auto"/>
          <w:color w:val="auto"/>
        </w:rPr>
        <w:t>(each of the</w:t>
      </w:r>
    </w:p>
    <w:p>
      <w:pPr>
        <w:jc w:val="center"/>
        <w:ind w:right="1220"/>
        <w:spacing w:after="0" w:line="203" w:lineRule="auto"/>
        <w:rPr>
          <w:sz w:val="20"/>
          <w:szCs w:val="20"/>
          <w:color w:val="auto"/>
        </w:rPr>
      </w:pPr>
      <w:r>
        <w:rPr>
          <w:rFonts w:ascii="Arial" w:cs="Arial" w:eastAsia="Arial" w:hAnsi="Arial"/>
          <w:sz w:val="18"/>
          <w:szCs w:val="18"/>
          <w:u w:val="single" w:color="auto"/>
          <w:color w:val="auto"/>
        </w:rPr>
        <w:t>2nd – 10th</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16"/>
          <w:szCs w:val="16"/>
          <w:u w:val="single" w:color="auto"/>
          <w:color w:val="auto"/>
        </w:rPr>
        <w:t>Dividend Periods</w:t>
      </w:r>
      <w:r>
        <w:rPr>
          <w:rFonts w:ascii="Arial" w:cs="Arial" w:eastAsia="Arial" w:hAnsi="Arial"/>
          <w:sz w:val="16"/>
          <w:szCs w:val="16"/>
          <w:color w:val="auto"/>
        </w:rPr>
        <w:t>)</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4%</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700"/>
        <w:spacing w:after="0"/>
        <w:rPr>
          <w:sz w:val="20"/>
          <w:szCs w:val="20"/>
          <w:color w:val="auto"/>
        </w:rPr>
      </w:pPr>
      <w:r>
        <w:rPr>
          <w:rFonts w:ascii="Arial" w:cs="Arial" w:eastAsia="Arial" w:hAnsi="Arial"/>
          <w:sz w:val="18"/>
          <w:szCs w:val="18"/>
          <w:u w:val="single" w:color="auto"/>
          <w:color w:val="auto"/>
        </w:rPr>
        <w:t>Column “B”</w:t>
      </w:r>
    </w:p>
    <w:p>
      <w:pPr>
        <w:spacing w:after="0" w:line="23" w:lineRule="exact"/>
        <w:rPr>
          <w:sz w:val="20"/>
          <w:szCs w:val="20"/>
          <w:color w:val="auto"/>
        </w:rPr>
      </w:pPr>
    </w:p>
    <w:p>
      <w:pPr>
        <w:jc w:val="center"/>
        <w:ind w:right="1700"/>
        <w:spacing w:after="0"/>
        <w:rPr>
          <w:sz w:val="20"/>
          <w:szCs w:val="20"/>
          <w:color w:val="auto"/>
        </w:rPr>
      </w:pPr>
      <w:r>
        <w:rPr>
          <w:rFonts w:ascii="Arial" w:cs="Arial" w:eastAsia="Arial" w:hAnsi="Arial"/>
          <w:sz w:val="18"/>
          <w:szCs w:val="18"/>
          <w:u w:val="single" w:color="auto"/>
          <w:color w:val="auto"/>
        </w:rPr>
        <w:t>(11th – 18th and</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6"/>
          <w:szCs w:val="16"/>
          <w:u w:val="single" w:color="auto"/>
          <w:color w:val="auto"/>
        </w:rPr>
        <w:t>the first part of the</w:t>
      </w:r>
    </w:p>
    <w:p>
      <w:pPr>
        <w:spacing w:after="0" w:line="32" w:lineRule="exact"/>
        <w:rPr>
          <w:sz w:val="20"/>
          <w:szCs w:val="20"/>
          <w:color w:val="auto"/>
        </w:rPr>
      </w:pPr>
    </w:p>
    <w:p>
      <w:pPr>
        <w:jc w:val="center"/>
        <w:ind w:right="1700"/>
        <w:spacing w:after="0"/>
        <w:rPr>
          <w:sz w:val="20"/>
          <w:szCs w:val="20"/>
          <w:color w:val="auto"/>
        </w:rPr>
      </w:pPr>
      <w:r>
        <w:rPr>
          <w:rFonts w:ascii="Arial" w:cs="Arial" w:eastAsia="Arial" w:hAnsi="Arial"/>
          <w:sz w:val="18"/>
          <w:szCs w:val="18"/>
          <w:u w:val="single" w:color="auto"/>
          <w:color w:val="auto"/>
        </w:rPr>
        <w:t>19th Dividend</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8"/>
          <w:szCs w:val="18"/>
          <w:u w:val="single" w:color="auto"/>
          <w:color w:val="auto"/>
        </w:rPr>
        <w:t>Periods)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w:t>
      </w:r>
    </w:p>
    <w:p>
      <w:pPr>
        <w:spacing w:after="0" w:line="200" w:lineRule="exact"/>
        <w:rPr>
          <w:sz w:val="20"/>
          <w:szCs w:val="20"/>
          <w:color w:val="auto"/>
        </w:rPr>
      </w:pPr>
    </w:p>
    <w:p>
      <w:pPr>
        <w:sectPr>
          <w:pgSz w:w="11900" w:h="16838" w:orient="portrait"/>
          <w:cols w:equalWidth="0" w:num="3">
            <w:col w:w="4240" w:space="720"/>
            <w:col w:w="2520" w:space="720"/>
            <w:col w:w="3040"/>
          </w:cols>
          <w:pgMar w:left="320" w:top="1070" w:right="339" w:bottom="1440" w:gutter="0" w:footer="0" w:header="0"/>
          <w:type w:val="continuous"/>
        </w:sect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A-7</w:t>
      </w:r>
    </w:p>
    <w:p>
      <w:pPr>
        <w:spacing w:after="0" w:line="131" w:lineRule="exact"/>
        <w:rPr>
          <w:sz w:val="20"/>
          <w:szCs w:val="20"/>
          <w:color w:val="auto"/>
        </w:rPr>
      </w:pPr>
    </w:p>
    <w:p>
      <w:pPr>
        <w:jc w:val="both"/>
        <w:ind w:firstLine="1952"/>
        <w:spacing w:after="0" w:line="263" w:lineRule="auto"/>
        <w:tabs>
          <w:tab w:leader="none" w:pos="26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Issuer consummates a Business Combination, a purchase of loans or a purchase of participations in loans and the Designated Preferred Stock remains outstanding thereafter, then the Baseline shall thereafter be the “Quarter-End Adjusted Small Business Lending Baseline” set forth on the Quarterly Supplemental Report (as defined in the Definitive Agreement).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8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non-cumulative cash dividends with respect to:</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864"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Dividend Period (other than the Initial Dividend Period) at a rate equal to one-fourth (¼) of the Applicable Dividend Rate with respect to each Dividend Period on the Liquidation Amount per share of Designated Preferred Stock, and no more, payable quarterly in arrears on each Dividend Payment Date; and</w:t>
      </w:r>
    </w:p>
    <w:p>
      <w:pPr>
        <w:spacing w:after="0" w:line="183" w:lineRule="exact"/>
        <w:rPr>
          <w:rFonts w:ascii="Arial" w:cs="Arial" w:eastAsia="Arial" w:hAnsi="Arial"/>
          <w:sz w:val="18"/>
          <w:szCs w:val="18"/>
          <w:color w:val="auto"/>
        </w:rPr>
      </w:pPr>
    </w:p>
    <w:p>
      <w:pPr>
        <w:jc w:val="both"/>
        <w:ind w:firstLine="1952"/>
        <w:spacing w:after="0" w:line="263" w:lineRule="auto"/>
        <w:tabs>
          <w:tab w:leader="none" w:pos="2718"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Initial Dividend Period, on the first such Dividend Payment Date to occur at least twenty (20) calendar days after the Original Issue Date, an amount equal to (A) the Applicable Dividend Rate with respect to the Initial Dividend Period multiplied by (B) the number of days from the Original Issue Date to the last day of the Initial Dividend Period (inclusive) divided by 360.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Dividend Payment Date would otherwise fall on a day that is not a Business Day, the dividend payment due on that date will be postponed to the next day that is a Business Day and no additional dividends will accrue as a result of that postponement. For avoidance of doubt, “payable quarterly in arrears” means that, with respect to any particular Dividend Period, dividends begin accruing on the first day of such Dividend Period and are payable on the first day of the next Dividend Period.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amount of dividends payable on Designated Preferred Stock on any date prior to the end of a Dividend Period, and for the initial Dividend Period, shall be computed on the basis of a 360-day year consisting of four 90-day quarters, and actual days elapsed over a 90-day quarter.</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Dividends that are payable on Designated Preferred Stock on any Dividend Payment Date will be payable to holders of record of Designated Preferred Stock as they appear on the stock register of the Issuer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Any such day that is a Dividend Record Date shall be a Dividend Record Date whether or not such day is a Business Day.</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Holders of Designated Preferred Stock shall not be entitled to any dividends, whether payable in cash, securities or other property, other than dividends (if any) declared and payable on Designated Preferred Stock as specified in this Section 3 (subject to the other provisions of the Certificate of Designation).</w:t>
      </w: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40"/>
          </w:cols>
          <w:pgMar w:left="320" w:top="1070" w:right="339" w:bottom="1440" w:gutter="0" w:footer="0" w:header="0"/>
          <w:type w:val="continuous"/>
        </w:sectPr>
      </w:pPr>
    </w:p>
    <w:bookmarkStart w:id="84" w:name="page85"/>
    <w:bookmarkEnd w:id="84"/>
    <w:p>
      <w:pPr>
        <w:ind w:right="20" w:firstLine="1304"/>
        <w:spacing w:after="0" w:line="342" w:lineRule="auto"/>
        <w:tabs>
          <w:tab w:leader="none" w:pos="1959"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Non-Cumulative</w:t>
      </w:r>
      <w:r>
        <w:rPr>
          <w:rFonts w:ascii="Arial" w:cs="Arial" w:eastAsia="Arial" w:hAnsi="Arial"/>
          <w:sz w:val="16"/>
          <w:szCs w:val="16"/>
          <w:color w:val="auto"/>
        </w:rPr>
        <w:t>. Dividends on shares of Designated Preferred Stock shall be non-cumulative. If the Board of Directors or any duly authorized committee of the Board of Directors does not declare a dividend on the Designated Preferred Stock in respect of any Dividend Period:</w:t>
      </w:r>
    </w:p>
    <w:p>
      <w:pPr>
        <w:spacing w:after="0" w:line="123" w:lineRule="exact"/>
        <w:rPr>
          <w:rFonts w:ascii="Arial" w:cs="Arial" w:eastAsia="Arial" w:hAnsi="Arial"/>
          <w:sz w:val="16"/>
          <w:szCs w:val="16"/>
          <w:color w:val="auto"/>
        </w:rPr>
      </w:pPr>
    </w:p>
    <w:p>
      <w:pPr>
        <w:jc w:val="both"/>
        <w:ind w:firstLine="1952"/>
        <w:spacing w:after="0" w:line="263" w:lineRule="auto"/>
        <w:tabs>
          <w:tab w:leader="none" w:pos="2751"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holders of Designated Preferred Stock shall have no right to receive any dividend for such Dividend Period, and the Issuer shall have no obligation to pay a dividend for such Dividend Period, whether or not dividends are declared for any subsequent Dividend Period with respect to the Designated Preferred Stock; and</w:t>
      </w:r>
    </w:p>
    <w:p>
      <w:pPr>
        <w:spacing w:after="0" w:line="183" w:lineRule="exact"/>
        <w:rPr>
          <w:rFonts w:ascii="Arial" w:cs="Arial" w:eastAsia="Arial" w:hAnsi="Arial"/>
          <w:sz w:val="18"/>
          <w:szCs w:val="18"/>
          <w:color w:val="auto"/>
        </w:rPr>
      </w:pPr>
    </w:p>
    <w:p>
      <w:pPr>
        <w:ind w:firstLine="1952"/>
        <w:spacing w:after="0" w:line="342" w:lineRule="auto"/>
        <w:tabs>
          <w:tab w:leader="none" w:pos="2683"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Issuer shall, within five (5) calendar days, deliver to the holders of the Designated Preferred Stock a written notice executed by the Chief Executive Officer and the Chief Financial Officer of the Issuer stating the Board of Directors’ rationale for not declaring dividends.</w:t>
      </w:r>
    </w:p>
    <w:p>
      <w:pPr>
        <w:spacing w:after="0" w:line="123" w:lineRule="exact"/>
        <w:rPr>
          <w:rFonts w:ascii="Arial" w:cs="Arial" w:eastAsia="Arial" w:hAnsi="Arial"/>
          <w:sz w:val="16"/>
          <w:szCs w:val="16"/>
          <w:color w:val="auto"/>
        </w:rPr>
      </w:pPr>
    </w:p>
    <w:p>
      <w:pPr>
        <w:ind w:left="1960" w:hanging="656"/>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Priority of Dividends; Restrictions on 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5" w:lineRule="auto"/>
        <w:tabs>
          <w:tab w:leader="none" w:pos="27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Subject to Sections 3(d)(ii), (iii) and (v) and any restrictions imposed by the Appropriate Federal Banking Agency or, if applicable, the Issuer’s state bank supervisor (as defined in Section 3(r) of the Federal Deposit Insurance Act (12 U.S.C. § 1813(q)), so long as any share of Designated Preferred Stock remains outstanding, the Issuer may declare and pay dividends on the Common Stock, any other shares of Junior Stock, or Parity Stock, in each case only if (A) after giving effect to such dividend the Issuer’s Tier 1 capital would be at least equal to the Tier 1 Dividend Threshold, and (B) full dividends on all outstanding shares of Designated Preferred Stock for the most recently completed Dividend Period have been or are contemporaneously declared and paid.</w:t>
      </w:r>
    </w:p>
    <w:p>
      <w:pPr>
        <w:spacing w:after="0" w:line="192" w:lineRule="exact"/>
        <w:rPr>
          <w:rFonts w:ascii="Arial" w:cs="Arial" w:eastAsia="Arial" w:hAnsi="Arial"/>
          <w:sz w:val="18"/>
          <w:szCs w:val="18"/>
          <w:color w:val="auto"/>
        </w:rPr>
      </w:pPr>
    </w:p>
    <w:p>
      <w:pPr>
        <w:jc w:val="both"/>
        <w:ind w:firstLine="1952"/>
        <w:spacing w:after="0" w:line="275" w:lineRule="auto"/>
        <w:tabs>
          <w:tab w:leader="none" w:pos="2668"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If a dividend is not declared and paid in full on the Designated Preferred Stock in respect of any Dividend Period, then from the last day of such Dividend Period until the last day of the third (3rd) Dividend Period immediately following it, no dividend or distribution shall be declared or paid on the Common Stock or any other shares of Junior Stock (other than dividends payable solely in shares of Common Stock) or Parity Stock;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in any such Dividend Period in which a dividend is declared and paid on the Designated Preferred Stock, dividends may be paid on Parity Stock to the extent necessary to avoid any material breach of a covenant by which the Issuer is bound.</w:t>
      </w:r>
    </w:p>
    <w:p>
      <w:pPr>
        <w:spacing w:after="0" w:line="176" w:lineRule="exact"/>
        <w:rPr>
          <w:rFonts w:ascii="Arial" w:cs="Arial" w:eastAsia="Arial" w:hAnsi="Arial"/>
          <w:sz w:val="17"/>
          <w:szCs w:val="17"/>
          <w:color w:val="auto"/>
        </w:rPr>
      </w:pPr>
    </w:p>
    <w:p>
      <w:pPr>
        <w:jc w:val="both"/>
        <w:ind w:firstLine="1952"/>
        <w:spacing w:after="0" w:line="257" w:lineRule="auto"/>
        <w:tabs>
          <w:tab w:leader="none" w:pos="2755" w:val="left"/>
        </w:tabs>
        <w:numPr>
          <w:ilvl w:val="1"/>
          <w:numId w:val="60"/>
        </w:numPr>
        <w:rPr>
          <w:rFonts w:ascii="Arial" w:cs="Arial" w:eastAsia="Arial" w:hAnsi="Arial"/>
          <w:sz w:val="18"/>
          <w:szCs w:val="18"/>
          <w:color w:val="auto"/>
        </w:rPr>
      </w:pPr>
      <w:r>
        <w:rPr>
          <w:rFonts w:ascii="Arial" w:cs="Arial" w:eastAsia="Arial" w:hAnsi="Arial"/>
          <w:sz w:val="18"/>
          <w:szCs w:val="18"/>
          <w:color w:val="auto"/>
        </w:rPr>
        <w:t>When dividends have not been declared and paid in full for an aggregate of four (4) Dividend Periods or more, and during such time the Issuer was not subject to a regulatory determination that prohibits the declaration and payment of dividends, the Issuer shall, within five (5) calendar days of each missed payment, deliver to the holders of the Designated Preferred Stock a certificate executed by at least a majority of the Board of Directors stating that the Board of Directors used its best efforts to declare and pay such dividends in a manner consistent with (A) safe and sound banking practices and (B) the directors’ fiduciary obligations.</w:t>
      </w: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A-9</w:t>
      </w:r>
    </w:p>
    <w:p>
      <w:pPr>
        <w:spacing w:after="0" w:line="117" w:lineRule="exact"/>
        <w:rPr>
          <w:sz w:val="20"/>
          <w:szCs w:val="20"/>
          <w:color w:val="auto"/>
        </w:rPr>
      </w:pPr>
    </w:p>
    <w:p>
      <w:pPr>
        <w:jc w:val="both"/>
        <w:ind w:firstLine="1992"/>
        <w:spacing w:after="0" w:line="259" w:lineRule="auto"/>
        <w:tabs>
          <w:tab w:leader="none" w:pos="26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to the foregoing and Section 3(e) below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186" w:lineRule="exact"/>
        <w:rPr>
          <w:rFonts w:ascii="Arial" w:cs="Arial" w:eastAsia="Arial" w:hAnsi="Arial"/>
          <w:sz w:val="18"/>
          <w:szCs w:val="18"/>
          <w:color w:val="auto"/>
        </w:rPr>
      </w:pPr>
    </w:p>
    <w:p>
      <w:pPr>
        <w:jc w:val="both"/>
        <w:ind w:firstLine="1992"/>
        <w:spacing w:after="0" w:line="234" w:lineRule="auto"/>
        <w:tabs>
          <w:tab w:leader="none" w:pos="271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If the Issuer is not Publicly-Traded, then after the tenth (10</w:t>
      </w:r>
      <w:r>
        <w:rPr>
          <w:rFonts w:ascii="Arial" w:cs="Arial" w:eastAsia="Arial" w:hAnsi="Arial"/>
          <w:sz w:val="23"/>
          <w:szCs w:val="23"/>
          <w:color w:val="auto"/>
          <w:vertAlign w:val="superscript"/>
        </w:rPr>
        <w:t>th</w:t>
      </w:r>
      <w:r>
        <w:rPr>
          <w:rFonts w:ascii="Arial" w:cs="Arial" w:eastAsia="Arial" w:hAnsi="Arial"/>
          <w:sz w:val="18"/>
          <w:szCs w:val="18"/>
          <w:color w:val="auto"/>
        </w:rPr>
        <w:t>) anniversary of the Original Signing Date, so long as any share of Designated Preferred Stock remains outstanding, no dividend or distribution shall be declared or paid on the Common Stock or any other shares of Junior Stock (other than dividends payable solely in shares of Common Stock) or Parity Stock.</w:t>
      </w:r>
    </w:p>
    <w:p>
      <w:pPr>
        <w:spacing w:after="0" w:line="202" w:lineRule="exact"/>
        <w:rPr>
          <w:rFonts w:ascii="Arial" w:cs="Arial" w:eastAsia="Arial" w:hAnsi="Arial"/>
          <w:sz w:val="18"/>
          <w:szCs w:val="18"/>
          <w:color w:val="auto"/>
        </w:rPr>
      </w:pPr>
    </w:p>
    <w:p>
      <w:pPr>
        <w:jc w:val="both"/>
        <w:ind w:firstLine="1304"/>
        <w:spacing w:after="0" w:line="254" w:lineRule="auto"/>
        <w:tabs>
          <w:tab w:leader="none" w:pos="200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Special Lending Incentive Fee Related to CPP</w:t>
      </w:r>
      <w:r>
        <w:rPr>
          <w:rFonts w:ascii="Arial" w:cs="Arial" w:eastAsia="Arial" w:hAnsi="Arial"/>
          <w:sz w:val="18"/>
          <w:szCs w:val="18"/>
          <w:color w:val="auto"/>
        </w:rPr>
        <w:t>. If Treasury held Previously Acquired Preferred Shares immediately prior to the Original Issue Date and the Issuer did not apply to Treasury to redeem such Previously Acquired Preferred Shares prior to December 16, 2010, and if the Issuer’s Supplemental Report with respect to the ninth (9th) Dividend Period reflects an amount of Qualified Small Business Lending that is less than or equal to the Baseline (or if the Issuer fails to timely file a Supplemental Report with respect to the ninth (9th) Dividend Period), then beginning on May 15, 2014 and on all Dividend Payment Dates thereafter ending on April 1, 2016, the Issuer shall pay to the Holders of Designated Preferred Stock, on each share of Designated Preferred Stock, but only out of assets legally available therefor, a fee equal to 0.5% of the Liquidation Amount per share of Designated Preferred Stock (“</w:t>
      </w:r>
      <w:r>
        <w:rPr>
          <w:rFonts w:ascii="Arial" w:cs="Arial" w:eastAsia="Arial" w:hAnsi="Arial"/>
          <w:sz w:val="18"/>
          <w:szCs w:val="18"/>
          <w:u w:val="single" w:color="auto"/>
          <w:color w:val="auto"/>
        </w:rPr>
        <w:t>CPP Lending Incentive Fee</w:t>
      </w:r>
      <w:r>
        <w:rPr>
          <w:rFonts w:ascii="Arial" w:cs="Arial" w:eastAsia="Arial" w:hAnsi="Arial"/>
          <w:sz w:val="18"/>
          <w:szCs w:val="18"/>
          <w:color w:val="auto"/>
        </w:rPr>
        <w:t>”). All references in Section 3(d) to “dividends” on the Designated Preferred Stock shall be deemed to include the CPP Lending Incentive Fee.</w:t>
      </w:r>
    </w:p>
    <w:p>
      <w:pPr>
        <w:sectPr>
          <w:pgSz w:w="11900" w:h="16838" w:orient="portrait"/>
          <w:cols w:equalWidth="0" w:num="1">
            <w:col w:w="11240"/>
          </w:cols>
          <w:pgMar w:left="320" w:top="895" w:right="339" w:bottom="1440" w:gutter="0" w:footer="0" w:header="0"/>
        </w:sectPr>
      </w:pPr>
    </w:p>
    <w:bookmarkStart w:id="85" w:name="page86"/>
    <w:bookmarkEnd w:id="85"/>
    <w:p>
      <w:pPr>
        <w:ind w:left="660"/>
        <w:spacing w:after="0"/>
        <w:tabs>
          <w:tab w:leader="none" w:pos="19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Liquidation Rights</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93" w:lineRule="auto"/>
        <w:tabs>
          <w:tab w:leader="none" w:pos="212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Voluntary or Involuntary Liquidation</w:t>
      </w:r>
      <w:r>
        <w:rPr>
          <w:rFonts w:ascii="Arial" w:cs="Arial" w:eastAsia="Arial" w:hAnsi="Arial"/>
          <w:sz w:val="16"/>
          <w:szCs w:val="16"/>
          <w:color w:val="auto"/>
        </w:rPr>
        <w:t>. In the event of any liquidation, dissolution or winding up of the affairs of the Issuer, whether voluntary or involuntary, holders of Designated Preferred Stock shall be entitled to receive for each share of Designated Preferred Stock, out of the assets of the Issuer or proceeds thereof (whether capital or surplus) available for distribution to stockholders of the Issuer, subject to the rights of any creditors of the Issuer, before any distribution of such assets or proceeds is made to or set aside for the holders of Common Stock and any other stock of the Issuer ranking junior to Designated Preferred Stock as to such distribution, payment in full in an amount equal to the sum of (i) the Liquidation Amount per share and (ii) the amount of any accrued and unpaid dividends on each such share (such amounts collectively, the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1304"/>
        <w:spacing w:after="0" w:line="301" w:lineRule="auto"/>
        <w:tabs>
          <w:tab w:leader="none" w:pos="2176"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Partial Payment</w:t>
      </w:r>
      <w:r>
        <w:rPr>
          <w:rFonts w:ascii="Arial" w:cs="Arial" w:eastAsia="Arial" w:hAnsi="Arial"/>
          <w:sz w:val="16"/>
          <w:szCs w:val="16"/>
          <w:color w:val="auto"/>
        </w:rPr>
        <w:t>. If in any distribution described in Section 4(a) above the assets of the Issuer or proceeds thereof are not sufficient to pay in full the amounts payable with respect to all outstanding shares of Designated Preferred Stock and the corresponding amounts payable with respect of any other stock of the Issuer ranking equally with Designated Preferred Stock as to such distribution, holders of Designated Preferred Stock and the holders of such other stock shall share ratably in any such distribution in proportion to the full respective distributions to which they are entitled.</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A-10</w:t>
      </w:r>
    </w:p>
    <w:p>
      <w:pPr>
        <w:spacing w:after="0" w:line="117" w:lineRule="exact"/>
        <w:rPr>
          <w:sz w:val="20"/>
          <w:szCs w:val="20"/>
          <w:color w:val="auto"/>
        </w:rPr>
      </w:pPr>
    </w:p>
    <w:p>
      <w:pPr>
        <w:jc w:val="both"/>
        <w:ind w:firstLine="1304"/>
        <w:spacing w:after="0" w:line="259" w:lineRule="auto"/>
        <w:tabs>
          <w:tab w:leader="none" w:pos="203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Residual Distributions</w:t>
      </w:r>
      <w:r>
        <w:rPr>
          <w:rFonts w:ascii="Arial" w:cs="Arial" w:eastAsia="Arial" w:hAnsi="Arial"/>
          <w:sz w:val="18"/>
          <w:szCs w:val="18"/>
          <w:color w:val="auto"/>
        </w:rPr>
        <w:t>. If the Liquidation Preference has been paid in full to all holders of Designated Preferred Stock and the corresponding amounts payable with respect of any other stock of the Issuer ranking equally with Designated Preferred Stock as to such distribution has been paid in full, the holders of other stock of the Issuer shall be entitled to receive all remaining assets of the Issuer for proceeds thereof) according to their respective rights and preferences.</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014"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Is Not Liquidation</w:t>
      </w:r>
      <w:r>
        <w:rPr>
          <w:rFonts w:ascii="Arial" w:cs="Arial" w:eastAsia="Arial" w:hAnsi="Arial"/>
          <w:sz w:val="18"/>
          <w:szCs w:val="18"/>
          <w:color w:val="auto"/>
        </w:rPr>
        <w:t>. For purposes of this Section 4, the merger or consolidation of the Issuer with any other corporation or other entity, including a merger or consolidation in which the holders of Designated Preferred Stock receive cash, securities or other property for their shares, or the sale, lease or exchange (or cash, securities or other property) of all or substantially all of the assets of the Issuer, shall not constitute a liquidation, dissolution or winding up of the Issuer.</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Redemption</w:t>
      </w:r>
      <w:r>
        <w:rPr>
          <w:rFonts w:ascii="Arial" w:cs="Arial" w:eastAsia="Arial" w:hAnsi="Arial"/>
          <w:sz w:val="16"/>
          <w:szCs w:val="16"/>
          <w:color w:val="auto"/>
        </w:rPr>
        <w:t>.</w:t>
      </w:r>
    </w:p>
    <w:p>
      <w:pPr>
        <w:spacing w:after="0" w:line="225" w:lineRule="exact"/>
        <w:rPr>
          <w:sz w:val="20"/>
          <w:szCs w:val="20"/>
          <w:color w:val="auto"/>
        </w:rPr>
      </w:pPr>
    </w:p>
    <w:p>
      <w:pPr>
        <w:ind w:left="2000" w:hanging="696"/>
        <w:spacing w:after="0"/>
        <w:tabs>
          <w:tab w:leader="none" w:pos="20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28"/>
        <w:spacing w:after="0"/>
        <w:tabs>
          <w:tab w:leader="none" w:pos="2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Subject to the other provisions of this Section 5:</w:t>
      </w:r>
    </w:p>
    <w:p>
      <w:pPr>
        <w:spacing w:after="0" w:line="225" w:lineRule="exact"/>
        <w:rPr>
          <w:rFonts w:ascii="Arial" w:cs="Arial" w:eastAsia="Arial" w:hAnsi="Arial"/>
          <w:sz w:val="18"/>
          <w:szCs w:val="18"/>
          <w:color w:val="auto"/>
        </w:rPr>
      </w:pPr>
    </w:p>
    <w:p>
      <w:pPr>
        <w:jc w:val="both"/>
        <w:ind w:left="2760" w:hanging="322"/>
        <w:spacing w:after="0" w:line="255" w:lineRule="auto"/>
        <w:tabs>
          <w:tab w:leader="none" w:pos="2754"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Issuer, at its option, subject to the approval of the Appropriate Federal Banking Agency, may redeem, in whole or in part, at any time and from time to time, out of funds legally available therefor, the shares of Designated Preferred Stock at the time outstanding; and</w:t>
      </w:r>
    </w:p>
    <w:p>
      <w:pPr>
        <w:spacing w:after="0" w:line="2" w:lineRule="exact"/>
        <w:rPr>
          <w:rFonts w:ascii="Arial" w:cs="Arial" w:eastAsia="Arial" w:hAnsi="Arial"/>
          <w:sz w:val="18"/>
          <w:szCs w:val="18"/>
          <w:color w:val="auto"/>
        </w:rPr>
      </w:pPr>
    </w:p>
    <w:p>
      <w:pPr>
        <w:jc w:val="both"/>
        <w:ind w:left="2760" w:hanging="322"/>
        <w:spacing w:after="0" w:line="281" w:lineRule="auto"/>
        <w:tabs>
          <w:tab w:leader="none" w:pos="2754" w:val="left"/>
        </w:tabs>
        <w:numPr>
          <w:ilvl w:val="2"/>
          <w:numId w:val="65"/>
        </w:numPr>
        <w:rPr>
          <w:rFonts w:ascii="Arial" w:cs="Arial" w:eastAsia="Arial" w:hAnsi="Arial"/>
          <w:sz w:val="16"/>
          <w:szCs w:val="16"/>
          <w:color w:val="auto"/>
        </w:rPr>
      </w:pPr>
      <w:r>
        <w:rPr>
          <w:rFonts w:ascii="Arial" w:cs="Arial" w:eastAsia="Arial" w:hAnsi="Arial"/>
          <w:sz w:val="16"/>
          <w:szCs w:val="16"/>
          <w:color w:val="auto"/>
        </w:rPr>
        <w:t>If, after the Signing Date, there is a change in law that modifies the terms of Treasury’s investment in the Designated Preferred Stock or the terms of Treasury’s Small Business Lending Fund program in a materially adverse respect for the Issuer or MoneyTree , as applicable, the Issuer or MoneyTree , as applicable may, after consultation with the Appropriate Federal Banking Agency, redeem all of the shares of Designated Preferred Stock at the time outstanding.</w:t>
      </w:r>
    </w:p>
    <w:p>
      <w:pPr>
        <w:spacing w:after="0" w:line="2" w:lineRule="exact"/>
        <w:rPr>
          <w:rFonts w:ascii="Arial" w:cs="Arial" w:eastAsia="Arial" w:hAnsi="Arial"/>
          <w:sz w:val="16"/>
          <w:szCs w:val="16"/>
          <w:color w:val="auto"/>
        </w:rPr>
      </w:pPr>
    </w:p>
    <w:p>
      <w:pPr>
        <w:ind w:left="2620" w:hanging="628"/>
        <w:spacing w:after="0"/>
        <w:tabs>
          <w:tab w:leader="none" w:pos="2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per-share redemption price for shares of Designated Preferred Stock shall be equal to the sum of:</w:t>
      </w:r>
    </w:p>
    <w:p>
      <w:pPr>
        <w:spacing w:after="0" w:line="210" w:lineRule="exact"/>
        <w:rPr>
          <w:rFonts w:ascii="Arial" w:cs="Arial" w:eastAsia="Arial" w:hAnsi="Arial"/>
          <w:sz w:val="18"/>
          <w:szCs w:val="18"/>
          <w:color w:val="auto"/>
        </w:rPr>
      </w:pPr>
    </w:p>
    <w:p>
      <w:pPr>
        <w:ind w:left="2760" w:hanging="322"/>
        <w:spacing w:after="0"/>
        <w:tabs>
          <w:tab w:leader="none" w:pos="27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Liquidation Amount per share,</w:t>
      </w:r>
    </w:p>
    <w:p>
      <w:pPr>
        <w:spacing w:after="0" w:line="23" w:lineRule="exact"/>
        <w:rPr>
          <w:rFonts w:ascii="Arial" w:cs="Arial" w:eastAsia="Arial" w:hAnsi="Arial"/>
          <w:sz w:val="18"/>
          <w:szCs w:val="18"/>
          <w:color w:val="auto"/>
        </w:rPr>
      </w:pPr>
    </w:p>
    <w:p>
      <w:pPr>
        <w:jc w:val="both"/>
        <w:ind w:left="2760" w:hanging="322"/>
        <w:spacing w:after="0" w:line="250" w:lineRule="auto"/>
        <w:tabs>
          <w:tab w:leader="none" w:pos="2754"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per-share amount of any unpaid dividends for the then current Dividend Period at the Applicable Dividend Rate to, but excluding, the date fixed for redemption (regardless of whether any dividends are actually declared for that Dividend Period; and</w:t>
      </w:r>
    </w:p>
    <w:p>
      <w:pPr>
        <w:spacing w:after="0" w:line="1" w:lineRule="exact"/>
        <w:rPr>
          <w:rFonts w:ascii="Arial" w:cs="Arial" w:eastAsia="Arial" w:hAnsi="Arial"/>
          <w:sz w:val="18"/>
          <w:szCs w:val="18"/>
          <w:color w:val="auto"/>
        </w:rPr>
      </w:pPr>
    </w:p>
    <w:p>
      <w:pPr>
        <w:ind w:left="2760" w:hanging="322"/>
        <w:spacing w:after="0"/>
        <w:tabs>
          <w:tab w:leader="none" w:pos="27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the pro rata amount of CPP Lending Incentive Fees for the current Dividend Period.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40"/>
          </w:cols>
          <w:pgMar w:left="320" w:top="895" w:right="339" w:bottom="1440" w:gutter="0" w:footer="0" w:header="0"/>
        </w:sectPr>
      </w:pPr>
    </w:p>
    <w:bookmarkStart w:id="86" w:name="page87"/>
    <w:bookmarkEnd w:id="86"/>
    <w:p>
      <w:pPr>
        <w:jc w:val="both"/>
        <w:ind w:firstLine="648"/>
        <w:spacing w:after="0" w:line="257" w:lineRule="auto"/>
        <w:rPr>
          <w:sz w:val="20"/>
          <w:szCs w:val="20"/>
          <w:color w:val="auto"/>
        </w:rPr>
      </w:pPr>
      <w:r>
        <w:rPr>
          <w:rFonts w:ascii="Arial" w:cs="Arial" w:eastAsia="Arial" w:hAnsi="Arial"/>
          <w:sz w:val="18"/>
          <w:szCs w:val="18"/>
          <w:color w:val="auto"/>
        </w:rPr>
        <w:t>The redemption price for any shares of Designated Preferred Stock shall be payable on the redemption date to the holder of such shares against surrender of the certificate(s) evidencing such shares to the Issuer or its agent. Any declared but unpaid dividends for the then current Dividend Period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88" w:lineRule="exact"/>
        <w:rPr>
          <w:sz w:val="20"/>
          <w:szCs w:val="20"/>
          <w:color w:val="auto"/>
        </w:rPr>
      </w:pPr>
    </w:p>
    <w:p>
      <w:pPr>
        <w:jc w:val="both"/>
        <w:ind w:firstLine="1304"/>
        <w:spacing w:after="0" w:line="263" w:lineRule="auto"/>
        <w:tabs>
          <w:tab w:leader="none" w:pos="2149"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Sinking Fund</w:t>
      </w:r>
      <w:r>
        <w:rPr>
          <w:rFonts w:ascii="Arial" w:cs="Arial" w:eastAsia="Arial" w:hAnsi="Arial"/>
          <w:sz w:val="18"/>
          <w:szCs w:val="18"/>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2058"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every redemption of shares of Designated Preferred Stock shall be given by first class mail, postage prepaid, addressed to the holders of record of the shares to be redeemed at their respective last addresses appearing on the books of the Issuer.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Company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181" w:lineRule="exact"/>
        <w:rPr>
          <w:rFonts w:ascii="Arial" w:cs="Arial" w:eastAsia="Arial" w:hAnsi="Arial"/>
          <w:sz w:val="17"/>
          <w:szCs w:val="17"/>
          <w:color w:val="auto"/>
        </w:rPr>
      </w:pPr>
    </w:p>
    <w:p>
      <w:pPr>
        <w:jc w:val="both"/>
        <w:ind w:firstLine="1304"/>
        <w:spacing w:after="0" w:line="254" w:lineRule="auto"/>
        <w:tabs>
          <w:tab w:leader="none" w:pos="204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Partial Redemption</w:t>
      </w:r>
      <w:r>
        <w:rPr>
          <w:rFonts w:ascii="Arial" w:cs="Arial" w:eastAsia="Arial" w:hAnsi="Arial"/>
          <w:sz w:val="18"/>
          <w:szCs w:val="18"/>
          <w:color w:val="auto"/>
        </w:rPr>
        <w:t>. In case of any redemption of part of the shares of Designated Preferred Stock at the time outstanding, the shares to be redeemed shall be selected either pro rata or in such other manner as the Board of Directors or a duly authorized committee thereof may determine to be fair and equitable, but in any event the shares to be redeemed shall not be less than the Minimum Amount. Subject to the provisions hereof, the Board of Directors or a duly authorized committee thereof shall have full power and authority to prescribe the terms and conditions upon which shares of Designated Preferred Stock shall be redeemed from time to time, subject to the approval of the Appropriate Federal Banking Agency. If fewer than all the shares represented by any certificate are redeemed, a new certificate shall be issued representing the unredeemed shares without charge to the holder thereof.</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304"/>
        <w:spacing w:after="0" w:line="253" w:lineRule="auto"/>
        <w:tabs>
          <w:tab w:leader="none" w:pos="203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Effectiveness of Redemption</w:t>
      </w:r>
      <w:r>
        <w:rPr>
          <w:rFonts w:ascii="Arial" w:cs="Arial" w:eastAsia="Arial" w:hAnsi="Arial"/>
          <w:sz w:val="18"/>
          <w:szCs w:val="18"/>
          <w:color w:val="auto"/>
        </w:rPr>
        <w:t xml:space="preserve">. If notice of redemption has been duly given and if on or before the redemption date specified in the notice all funds necessary for the redemption have been deposited by the Issuer, in trust for the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Issuer, after which time the holders of the shares so called for redemption shall look only to the Issuer for payment of the redemption price of such shares.</w:t>
      </w:r>
    </w:p>
    <w:p>
      <w:pPr>
        <w:spacing w:after="0" w:line="194" w:lineRule="exact"/>
        <w:rPr>
          <w:rFonts w:ascii="Arial" w:cs="Arial" w:eastAsia="Arial" w:hAnsi="Arial"/>
          <w:sz w:val="18"/>
          <w:szCs w:val="18"/>
          <w:color w:val="auto"/>
        </w:rPr>
      </w:pPr>
    </w:p>
    <w:p>
      <w:pPr>
        <w:jc w:val="both"/>
        <w:ind w:firstLine="1304"/>
        <w:spacing w:after="0" w:line="263" w:lineRule="auto"/>
        <w:tabs>
          <w:tab w:leader="none" w:pos="2029"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Shares of Designated Preferred Stock that are redeemed, repurchased or otherwise acquired by the Issuer shall revert to authorized but unissued shares of Preferred Stock (provided that any such cancelled shares of Designated Preferred Stock may be reissued only as shares of any series of Preferred Stock other than Designated Preferred Stock).</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Conversion</w:t>
      </w:r>
      <w:r>
        <w:rPr>
          <w:rFonts w:ascii="Arial" w:cs="Arial" w:eastAsia="Arial" w:hAnsi="Arial"/>
          <w:sz w:val="18"/>
          <w:szCs w:val="18"/>
          <w:color w:val="auto"/>
        </w:rPr>
        <w:t>. Holders of Designated Preferred Stock shares shall have no right to exchange or convert such shares into any other securities.</w:t>
      </w:r>
    </w:p>
    <w:p>
      <w:pPr>
        <w:sectPr>
          <w:pgSz w:w="11900" w:h="16838" w:orient="portrait"/>
          <w:cols w:equalWidth="0" w:num="1">
            <w:col w:w="11240"/>
          </w:cols>
          <w:pgMar w:left="320" w:top="895" w:right="339" w:bottom="1440" w:gutter="0" w:footer="0" w:header="0"/>
        </w:sectPr>
      </w:pPr>
    </w:p>
    <w:bookmarkStart w:id="87" w:name="page88"/>
    <w:bookmarkEnd w:id="87"/>
    <w:p>
      <w:pPr>
        <w:ind w:left="660"/>
        <w:spacing w:after="0"/>
        <w:tabs>
          <w:tab w:leader="none" w:pos="19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Voting Rights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204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Designated Preferred Stock shall not have any voting rights except as set forth below or as otherwise from time to time required by law.</w:t>
      </w:r>
    </w:p>
    <w:p>
      <w:pPr>
        <w:spacing w:after="0" w:line="170" w:lineRule="exact"/>
        <w:rPr>
          <w:rFonts w:ascii="Arial" w:cs="Arial" w:eastAsia="Arial" w:hAnsi="Arial"/>
          <w:sz w:val="18"/>
          <w:szCs w:val="18"/>
          <w:color w:val="auto"/>
        </w:rPr>
      </w:pPr>
    </w:p>
    <w:p>
      <w:pPr>
        <w:jc w:val="both"/>
        <w:ind w:firstLine="1304"/>
        <w:spacing w:after="0" w:line="270" w:lineRule="auto"/>
        <w:tabs>
          <w:tab w:leader="none" w:pos="2109"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Board Observation Rights</w:t>
      </w:r>
      <w:r>
        <w:rPr>
          <w:rFonts w:ascii="Arial" w:cs="Arial" w:eastAsia="Arial" w:hAnsi="Arial"/>
          <w:sz w:val="17"/>
          <w:szCs w:val="17"/>
          <w:color w:val="auto"/>
        </w:rPr>
        <w:t xml:space="preserve">. Whenever, at any time or times, dividends on the shares of Designated Preferred Stock have not been declared and paid in full within five (5) Business Days after each Dividend Payment Date for an aggregate of five (5) Dividend Periods or more, whether or not consecutive, the Issuer shall invite a representative selected by the holders of a majority of the outstanding shares of Designated Preferred Stock, voting as a single class, to attend all meetings of its Board of Directors in a nonvoting observer capacity and, in this respect, shall give such representative copies of all notices, minutes, consents, and other materials that it provides to its directors in connection with such meetings; </w:t>
      </w:r>
      <w:r>
        <w:rPr>
          <w:rFonts w:ascii="Arial" w:cs="Arial" w:eastAsia="Arial" w:hAnsi="Arial"/>
          <w:sz w:val="17"/>
          <w:szCs w:val="17"/>
          <w:u w:val="single" w:color="auto"/>
          <w:color w:val="auto"/>
        </w:rPr>
        <w:t>provided</w:t>
      </w:r>
      <w:r>
        <w:rPr>
          <w:rFonts w:ascii="Arial" w:cs="Arial" w:eastAsia="Arial" w:hAnsi="Arial"/>
          <w:sz w:val="17"/>
          <w:szCs w:val="17"/>
          <w:color w:val="auto"/>
        </w:rPr>
        <w:t>, that the holders of the Designated Preferred Stock shall not be obligated to select such a representative, nor shall such representative, if selected, be obligated to attend any meeting to which he/she is invited. The rights of the holders of the Designated Preferred Stock set forth in this Section 7(b) shall terminate when full dividends have been timely paid on the Designated Preferred Stock for at least four consecutive Dividend Periods, subject to revesting in the event of each and every subsequent default of the character above mentioned.</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A-13</w:t>
      </w:r>
    </w:p>
    <w:p>
      <w:pPr>
        <w:spacing w:after="0" w:line="360" w:lineRule="exact"/>
        <w:rPr>
          <w:sz w:val="20"/>
          <w:szCs w:val="20"/>
          <w:color w:val="auto"/>
        </w:rPr>
      </w:pPr>
    </w:p>
    <w:p>
      <w:pPr>
        <w:jc w:val="both"/>
        <w:ind w:firstLine="1304"/>
        <w:spacing w:after="0" w:line="285" w:lineRule="auto"/>
        <w:tabs>
          <w:tab w:leader="none" w:pos="205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Preferred Stock Directors</w:t>
      </w:r>
      <w:r>
        <w:rPr>
          <w:rFonts w:ascii="Arial" w:cs="Arial" w:eastAsia="Arial" w:hAnsi="Arial"/>
          <w:sz w:val="16"/>
          <w:szCs w:val="16"/>
          <w:i w:val="1"/>
          <w:iCs w:val="1"/>
          <w:color w:val="auto"/>
        </w:rPr>
        <w:t>.</w:t>
      </w:r>
      <w:r>
        <w:rPr>
          <w:rFonts w:ascii="Arial" w:cs="Arial" w:eastAsia="Arial" w:hAnsi="Arial"/>
          <w:sz w:val="16"/>
          <w:szCs w:val="16"/>
          <w:color w:val="auto"/>
        </w:rPr>
        <w:t xml:space="preserve"> Whenever, at any time or times, (i) dividends on the shares of Designated Preferred Stock have not been declared and paid in full within five (5) Business Days after each Dividend Payment Date for an aggregate of six (6) Dividend Periods or more, whether or not consecutive, and (ii) the aggregate liquidation preference of the then-outstanding shares of Designated Preferred Stock is greater than or equal to $25,000,000, the authorized number of directors of the Issuer shall automatically be increased by two and the holders of the Designated Preferred Stock, voting as a single class, shall have the right, but not the obligation, to elect two directors (hereinafter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and each a “</w:t>
      </w:r>
      <w:r>
        <w:rPr>
          <w:rFonts w:ascii="Arial" w:cs="Arial" w:eastAsia="Arial" w:hAnsi="Arial"/>
          <w:sz w:val="16"/>
          <w:szCs w:val="16"/>
          <w:u w:val="single" w:color="auto"/>
          <w:color w:val="auto"/>
        </w:rPr>
        <w:t>Preferred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to fill such newly created directorships at the Issuer’s next annual meeting of stockholders (or, if the next annual meeting is not yet scheduled or is scheduled to occur more than thirty days later, the President of the Company shall promptly call a special meeting for that purpose) and at each subsequent annual meeting of stockholders until full dividends have been timely paid on the Designated Preferred Stock for at least four consecutive Dividend Periods, at which time such right shall terminate with respect to the Designated Preferred Stock, except as herein or by law expressly provided, subject to revesting in the event of each and every subsequent default of the character above mentioned;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be a qualification for election for any Preferred Director that the election of such Preferred Director shall not cause the Issuer to violate any corporate governance requirements of any securities exchange or other trading facility on which securities of the Issuer may then be listed or traded that listed or traded companies must have a majority of independent directors. Upon any termination of the right of the holders of shares of Designated Preferred Stock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If the office of any Preferred Director becomes vacant for any reason other than removal from office as aforesaid, the holders of a majority of the outstanding shares of Designated Preferred Stock, voting as a single class, may choose a successor who shall hold office for the unexpired term in respect of which such vacancy occurred.</w:t>
      </w:r>
    </w:p>
    <w:p>
      <w:pPr>
        <w:spacing w:after="0" w:line="168" w:lineRule="exact"/>
        <w:rPr>
          <w:rFonts w:ascii="Arial" w:cs="Arial" w:eastAsia="Arial" w:hAnsi="Arial"/>
          <w:sz w:val="16"/>
          <w:szCs w:val="16"/>
          <w:color w:val="auto"/>
        </w:rPr>
      </w:pPr>
    </w:p>
    <w:p>
      <w:pPr>
        <w:jc w:val="both"/>
        <w:ind w:firstLine="1304"/>
        <w:spacing w:after="0" w:line="259" w:lineRule="auto"/>
        <w:tabs>
          <w:tab w:leader="none" w:pos="205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Class Voting Rights as to Particular Matters</w:t>
      </w:r>
      <w:r>
        <w:rPr>
          <w:rFonts w:ascii="Arial" w:cs="Arial" w:eastAsia="Arial" w:hAnsi="Arial"/>
          <w:sz w:val="18"/>
          <w:szCs w:val="18"/>
          <w:color w:val="auto"/>
        </w:rPr>
        <w:t>. So long as any shares of Designated Preferred Stock are outstanding, in addition to any other vote or consent of stockholders required by law or by the Charter, the written consent of (x) Treasury if Treasury holds any shares of Designated Preferred Stock, or (y) the holders of a majority of the outstanding shares of Designated Preferred Stock, voting as a single class, if Treasury does not hold any shares of Designated Preferred Stock, shall be necessary for effecting or validating:</w:t>
      </w:r>
    </w:p>
    <w:p>
      <w:pPr>
        <w:spacing w:after="0" w:line="186" w:lineRule="exact"/>
        <w:rPr>
          <w:rFonts w:ascii="Arial" w:cs="Arial" w:eastAsia="Arial" w:hAnsi="Arial"/>
          <w:sz w:val="18"/>
          <w:szCs w:val="18"/>
          <w:color w:val="auto"/>
        </w:rPr>
      </w:pPr>
    </w:p>
    <w:p>
      <w:pPr>
        <w:jc w:val="both"/>
        <w:ind w:firstLine="1992"/>
        <w:spacing w:after="0" w:line="301" w:lineRule="auto"/>
        <w:tabs>
          <w:tab w:leader="none" w:pos="2824"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Authorization of Senior Stock</w:t>
      </w:r>
      <w:r>
        <w:rPr>
          <w:rFonts w:ascii="Arial" w:cs="Arial" w:eastAsia="Arial" w:hAnsi="Arial"/>
          <w:sz w:val="16"/>
          <w:szCs w:val="16"/>
          <w:color w:val="auto"/>
        </w:rPr>
        <w:t>. Any amendment or alteration of the Certificate of Designation for the Designated Preferred Stock or the Charter to authorize or create or increase the authorized amount of, or any issuance of, any shares of, or any securities convertible into or exchangeable or exercisable for shares of any class or series of capital stock of the Issuer ranking senior to Designated Preferred Stock with respect to either or both the payment of dividends and/or the distribution of assets on any liquidation, dissolution or winding up of the Issuer;</w:t>
      </w:r>
    </w:p>
    <w:p>
      <w:pPr>
        <w:spacing w:after="0" w:line="157" w:lineRule="exact"/>
        <w:rPr>
          <w:rFonts w:ascii="Arial" w:cs="Arial" w:eastAsia="Arial" w:hAnsi="Arial"/>
          <w:sz w:val="16"/>
          <w:szCs w:val="16"/>
          <w:color w:val="auto"/>
        </w:rPr>
      </w:pPr>
    </w:p>
    <w:p>
      <w:pPr>
        <w:jc w:val="both"/>
        <w:ind w:firstLine="1992"/>
        <w:spacing w:after="0" w:line="263" w:lineRule="auto"/>
        <w:tabs>
          <w:tab w:leader="none" w:pos="2654"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Amendment of Designated Preferred Stock</w:t>
      </w:r>
      <w:r>
        <w:rPr>
          <w:rFonts w:ascii="Arial" w:cs="Arial" w:eastAsia="Arial" w:hAnsi="Arial"/>
          <w:sz w:val="18"/>
          <w:szCs w:val="18"/>
          <w:color w:val="auto"/>
        </w:rPr>
        <w:t>. Any amendment, alteration or repeal of any provision of the Certificate of Designation for the Designated Preferred Stock or the Charter (including, unless no vote on such merger or consolidation is required by Section 7(d)(iii) below, any amendment, alteration or repeal by means of a merger,</w:t>
      </w:r>
    </w:p>
    <w:p>
      <w:pPr>
        <w:sectPr>
          <w:pgSz w:w="11900" w:h="16838" w:orient="portrait"/>
          <w:cols w:equalWidth="0" w:num="1">
            <w:col w:w="11240"/>
          </w:cols>
          <w:pgMar w:left="320" w:top="89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consolidation or otherwise) so as to adversely affect the rights, preferences, privileges or voting powers of the Designated Preferred Stock;</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A-14</w:t>
      </w:r>
    </w:p>
    <w:p>
      <w:pPr>
        <w:spacing w:after="0" w:line="360" w:lineRule="exact"/>
        <w:rPr>
          <w:sz w:val="20"/>
          <w:szCs w:val="20"/>
          <w:color w:val="auto"/>
        </w:rPr>
      </w:pPr>
    </w:p>
    <w:p>
      <w:pPr>
        <w:jc w:val="both"/>
        <w:ind w:firstLine="1952"/>
        <w:spacing w:after="0" w:line="290" w:lineRule="auto"/>
        <w:tabs>
          <w:tab w:leader="none" w:pos="2619"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Share Exchanges, Reclassifications, Mergers and Consolidations</w:t>
      </w:r>
      <w:r>
        <w:rPr>
          <w:rFonts w:ascii="Arial" w:cs="Arial" w:eastAsia="Arial" w:hAnsi="Arial"/>
          <w:sz w:val="16"/>
          <w:szCs w:val="16"/>
          <w:color w:val="auto"/>
        </w:rPr>
        <w:t>. Subject to Section 7(d)(v) below, any consummation of a binding share exchange or reclassification involving the Designated Preferred Stock, or of a merger or consolidation of the Issuer with another corporation or other entity, unless in each case (x) the shares of Designated Preferred Stock remain outstanding or, in the case of any such merger or consolidation with respect to which the Issuer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that are the same as the rights, preferences, privileges and voting powers, and limitations and restrictions thereof, of Designated Preferred Stock immediately prior to such consummation, taken as a whole; provided, that in all cases, the obligations of the Issuer are assumed (by operation of law or by express written assumption) by the resulting entity or its ultimate parent;</w:t>
      </w:r>
    </w:p>
    <w:p>
      <w:pPr>
        <w:spacing w:after="0" w:line="165" w:lineRule="exact"/>
        <w:rPr>
          <w:rFonts w:ascii="Arial" w:cs="Arial" w:eastAsia="Arial" w:hAnsi="Arial"/>
          <w:sz w:val="16"/>
          <w:szCs w:val="16"/>
          <w:color w:val="auto"/>
        </w:rPr>
      </w:pPr>
    </w:p>
    <w:p>
      <w:pPr>
        <w:ind w:firstLine="1952"/>
        <w:spacing w:after="0" w:line="277" w:lineRule="auto"/>
        <w:tabs>
          <w:tab w:leader="none" w:pos="274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Certain Asset Sales</w:t>
      </w:r>
      <w:r>
        <w:rPr>
          <w:rFonts w:ascii="Arial" w:cs="Arial" w:eastAsia="Arial" w:hAnsi="Arial"/>
          <w:sz w:val="18"/>
          <w:szCs w:val="18"/>
          <w:color w:val="auto"/>
        </w:rPr>
        <w:t>. Any sale of all, substantially all, or any material portion of, the assets of the Company, if the Designated Preferred Stock will not be redeemed in full contemporaneously with the consummation of such sale; and</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76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Holding Company Transactions</w:t>
      </w:r>
      <w:r>
        <w:rPr>
          <w:rFonts w:ascii="Arial" w:cs="Arial" w:eastAsia="Arial" w:hAnsi="Arial"/>
          <w:sz w:val="17"/>
          <w:szCs w:val="17"/>
          <w:color w:val="auto"/>
        </w:rPr>
        <w:t>. Any consummation of a Holding Company Transaction, unless as a result of the Holding Company Transaction each share of Designated Preferred Stock shall be converted into or exchanged for one share with an equal liquidation preference of preference securities of the Issuer or MoneyTree , as applicable or the Acquiror (the “</w:t>
      </w:r>
      <w:r>
        <w:rPr>
          <w:rFonts w:ascii="Arial" w:cs="Arial" w:eastAsia="Arial" w:hAnsi="Arial"/>
          <w:sz w:val="17"/>
          <w:szCs w:val="17"/>
          <w:u w:val="single" w:color="auto"/>
          <w:color w:val="auto"/>
        </w:rPr>
        <w:t>Holding Company Preferred Stock</w:t>
      </w:r>
      <w:r>
        <w:rPr>
          <w:rFonts w:ascii="Arial" w:cs="Arial" w:eastAsia="Arial" w:hAnsi="Arial"/>
          <w:sz w:val="17"/>
          <w:szCs w:val="17"/>
          <w:color w:val="auto"/>
        </w:rPr>
        <w:t>”). Any such Holding Company Preferred Stock shall entitle holders thereof to dividends from the date of issuance of such Holding Company Preferred Stock on terms that are equivalent to the terms set forth herein, and shall have such other rights, preferences, privileges and voting powers, and limitations and restrictions thereof that are the same as the rights, preferences, privileges and voting powers, and limitations and restrictions thereof, of Designated Preferred Stock immediately prior to such conversion or exchange, taken as a whole;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provided, however</w:t>
      </w:r>
      <w:r>
        <w:rPr>
          <w:rFonts w:ascii="Arial" w:cs="Arial" w:eastAsia="Arial" w:hAnsi="Arial"/>
          <w:sz w:val="18"/>
          <w:szCs w:val="18"/>
          <w:color w:val="auto"/>
        </w:rPr>
        <w:t>, that for all purposes of this Section 7(d), any increase in the amount of the authorized Preferred Stock, including any increase in the authorized amount of Designated Preferred Stock necessary to satisfy preemptive or similar rights granted by the Issuer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Issuer will not be deemed to adversely affect the rights, preferences, privileges or voting powers, and shall not require the affirmative vote or consent of, the holders of outstanding shares of the Designated Preferred Stock.</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A-15</w:t>
      </w:r>
    </w:p>
    <w:p>
      <w:pPr>
        <w:spacing w:after="0" w:line="374" w:lineRule="exact"/>
        <w:rPr>
          <w:sz w:val="20"/>
          <w:szCs w:val="20"/>
          <w:color w:val="auto"/>
        </w:rPr>
      </w:pPr>
    </w:p>
    <w:p>
      <w:pPr>
        <w:jc w:val="both"/>
        <w:ind w:firstLine="1304"/>
        <w:spacing w:after="0" w:line="259" w:lineRule="auto"/>
        <w:tabs>
          <w:tab w:leader="none" w:pos="214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Designated Preferred Stock shall be required pursuant to Section 7(d)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2232"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Procedures for Voting and Consents</w:t>
      </w:r>
      <w:r>
        <w:rPr>
          <w:rFonts w:ascii="Arial" w:cs="Arial" w:eastAsia="Arial" w:hAnsi="Arial"/>
          <w:sz w:val="17"/>
          <w:szCs w:val="17"/>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ectPr>
          <w:pgSz w:w="11900" w:h="16838" w:orient="portrait"/>
          <w:cols w:equalWidth="0" w:num="1">
            <w:col w:w="11240"/>
          </w:cols>
          <w:pgMar w:left="320" w:top="895" w:right="339" w:bottom="1440" w:gutter="0" w:footer="0" w:header="0"/>
        </w:sectPr>
      </w:pPr>
    </w:p>
    <w:bookmarkStart w:id="89" w:name="page90"/>
    <w:bookmarkEnd w:id="89"/>
    <w:p>
      <w:pPr>
        <w:ind w:left="660"/>
        <w:spacing w:after="0"/>
        <w:tabs>
          <w:tab w:leader="none" w:pos="20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u w:val="single" w:color="auto"/>
          <w:color w:val="auto"/>
        </w:rPr>
        <w:t>Restriction on Redemptions and Repurchases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96" w:lineRule="auto"/>
        <w:tabs>
          <w:tab w:leader="none" w:pos="2198"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Sections 8(b) and (c), so long as any share of Designated Preferred Stock remains outstanding, the Issuer may repurchase or redeem any shares of Capital Stock (as defined below), in each case only if (i) after giving effect to such dividend, repurchase or redemption, the Issuer’s Tier 1 capital would be at least equal to the Tier 1 Dividend Threshold and (ii) dividends on all outstanding shares of Designated Preferred Stock for the most recently completed Dividend Period have been or are contemporaneously declared and paid (or have been declared and a sum sufficient for the payment thereof has been set aside for the benefit of the holders of shares of Designated Preferred Stock on the applicable record date).</w:t>
      </w:r>
    </w:p>
    <w:p>
      <w:pPr>
        <w:spacing w:after="0" w:line="161" w:lineRule="exact"/>
        <w:rPr>
          <w:rFonts w:ascii="Arial" w:cs="Arial" w:eastAsia="Arial" w:hAnsi="Arial"/>
          <w:sz w:val="16"/>
          <w:szCs w:val="16"/>
          <w:color w:val="auto"/>
        </w:rPr>
      </w:pPr>
    </w:p>
    <w:p>
      <w:pPr>
        <w:jc w:val="both"/>
        <w:ind w:firstLine="1304"/>
        <w:spacing w:after="0" w:line="285" w:lineRule="auto"/>
        <w:tabs>
          <w:tab w:leader="none" w:pos="21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If a dividend is not declared and paid on the Designated Preferred Stock in respect of any Dividend Period, then from the last day of such Dividend Period until the last day of the third (3rd) Dividend Period immediately following it, neither the Issuer nor any Issuer Subsidiary shall, redeem, purchase or acquire any shares of Common Stock, Junior Stock, Parity Stock or other capital stock or other equity securities of any kind of the Issuer or any Issuer Subsidiary, or any trust preferred securities issued by the Issuer or any Affiliate of the Issuer (“Capital Stock”), (other than (i) redemptions, purchases, repurchases or other acquisitions of the Designated Preferred Stock and (ii) repurchases of Junior Stock or Common Stock in connection with the administration of any employee benefit plan in the ordinary course of business (including purchases to offset any Share Dilution Amount pursuant to a publicly announced repurchase plan) and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purchases to offset the Share Dilution Amount shall in no event exceed the Share Dilution Amount, (iii) the acquisition by the Issuer or any of the Issuer Subsidiaries of record ownership in Junior Stock or Parity Stock for the beneficial ownership of any other persons (other than the Issuer or any other Issuer Subsidiary), including as trustees or custodians, (iv) the exchange or conversion of Junior Stock for or into other Junior Stock or of Parity Stock or trust preferred securities for or into other Parity Stock (with the same or lesser aggregate liquidation amount) or Junior Stock, in each case set forth in this clause (iv), solely to the extent required pursuant to binding contractual agreements entered into prior to the Signing Date by MoneyTree or any subsequent agreement for the accelerated exercise, settlement or exchange thereof for Common Stock, (v) redemptions of securities held by the Issuer or any wholly-owned Issuer Subsidiary or (vi) redemptions, purchases or other acquisitions of capital stock or other equity securities of any kind of any Issuer Subsidiary required pursuant to binding contractual agreements entered into prior to (x) if Treasury held Previously Acquired Preferred Shares immediately prior to the Original Issue Date, the original issue date of such Previously Acquired Preferred Shares, or (y) otherwise, the Signing Date).</w:t>
      </w: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A-16</w:t>
      </w:r>
    </w:p>
    <w:p>
      <w:pPr>
        <w:spacing w:after="0" w:line="360" w:lineRule="exact"/>
        <w:rPr>
          <w:sz w:val="20"/>
          <w:szCs w:val="20"/>
          <w:color w:val="auto"/>
        </w:rPr>
      </w:pPr>
    </w:p>
    <w:p>
      <w:pPr>
        <w:jc w:val="both"/>
        <w:ind w:firstLine="1304"/>
        <w:spacing w:after="0" w:line="263" w:lineRule="auto"/>
        <w:tabs>
          <w:tab w:leader="none" w:pos="224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 Issuer is not Publicly-Traded, then after the tenth (10th) anniversary of the Signing Date, so long as any share of Designated Preferred Stock remains outstanding, no Common Stock, Junior Stock or Parity Stock shall be, directly or indirectly, purchased, redeemed or otherwise acquired for consideration by the Issuer or any of its subsidiaries.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Designated Preferred Stock shall have any rights of preemption whatsoever as to any securities of the Issuer, or any warrants, rights or options issued or granted with respect thereto, regardless of how such securities, or such warrants, rights or options, may be designated, issued or granted.</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References to Line Items of Supplemental Reports</w:t>
      </w:r>
      <w:r>
        <w:rPr>
          <w:rFonts w:ascii="Arial" w:cs="Arial" w:eastAsia="Arial" w:hAnsi="Arial"/>
          <w:sz w:val="17"/>
          <w:szCs w:val="17"/>
          <w:color w:val="auto"/>
        </w:rPr>
        <w:t>. If Treasury modifies the form of Supplemental Report, pursuant to its rights under the Definitive Agreement, and any such modification includes a change to the caption or number of any line item on the Supplemental Report, then any reference herein to such line item shall thereafter be a reference to such re-captioned or re-numbered line item.</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Record Holders</w:t>
      </w:r>
      <w:r>
        <w:rPr>
          <w:rFonts w:ascii="Arial" w:cs="Arial" w:eastAsia="Arial" w:hAnsi="Arial"/>
          <w:sz w:val="18"/>
          <w:szCs w:val="18"/>
          <w:color w:val="auto"/>
        </w:rPr>
        <w:t>. To the fullest extent permitted by applicable law, the Issuer and the transfer agent for Designated Preferred Stock may deem and treat the record holder of any share of Designated Preferred Stock as the true and lawful owner thereof for all purposes, and neither the Issuer nor such transfer agent shall be affected by any notice to the contrary.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 in the Charter or Bylaws or by applicable law. Notwithstanding the foregoing, if shares of Designated Preferred Stock are issued in book-entry form through The Depository Trust Company or any similar facility, such notices may be given to the holders of Designated Preferred Stock in any manner permitted by such facility.</w:t>
      </w:r>
    </w:p>
    <w:p>
      <w:pPr>
        <w:sectPr>
          <w:pgSz w:w="11900" w:h="16838" w:orient="portrait"/>
          <w:cols w:equalWidth="0" w:num="1">
            <w:col w:w="11240"/>
          </w:cols>
          <w:pgMar w:left="320" w:top="895" w:right="339" w:bottom="1440" w:gutter="0" w:footer="0" w:header="0"/>
        </w:sectPr>
      </w:pPr>
    </w:p>
    <w:bookmarkStart w:id="90" w:name="page91"/>
    <w:bookmarkEnd w:id="90"/>
    <w:p>
      <w:pPr>
        <w:jc w:val="both"/>
        <w:ind w:firstLine="648"/>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 The Issuer shall replace any mutilated certificate at the holder’s expense upon surrender of that certificate to the Issuer. The Issuer shall replace certificates that become destroyed, stolen or lost at the holder’s expense upon delivery to the Issuer of reasonably satisfactory evidence that the certificate has been destroyed, stolen or lost, together with any indemnity that may be reasonably required by the Issuer.</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40"/>
          </w:cols>
          <w:pgMar w:left="320" w:top="895" w:right="3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b w:val="1"/>
          <w:bCs w:val="1"/>
          <w:color w:val="auto"/>
        </w:rPr>
        <w:t>ARTICLES OF AMENDMENT</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Restated Articles of Incorporation, as amended, of the corporation are amended as follows:</w:t>
      </w:r>
    </w:p>
    <w:p>
      <w:pPr>
        <w:spacing w:after="0" w:line="185" w:lineRule="exact"/>
        <w:rPr>
          <w:sz w:val="20"/>
          <w:szCs w:val="20"/>
          <w:color w:val="auto"/>
        </w:rPr>
      </w:pPr>
    </w:p>
    <w:p>
      <w:pPr>
        <w:ind w:right="400" w:firstLine="453"/>
        <w:spacing w:after="0" w:line="277" w:lineRule="auto"/>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Amendment to Article V. Article V of the Restated Articles of Incorporation, as amended, of the corporation is amended by deleting the first paragraph of Article V and replacing it with the following in lieu thereof.</w:t>
      </w:r>
    </w:p>
    <w:p>
      <w:pPr>
        <w:spacing w:after="0" w:line="200" w:lineRule="exact"/>
        <w:rPr>
          <w:sz w:val="20"/>
          <w:szCs w:val="20"/>
          <w:color w:val="auto"/>
        </w:rPr>
      </w:pPr>
    </w:p>
    <w:p>
      <w:pPr>
        <w:spacing w:after="0" w:line="348" w:lineRule="exact"/>
        <w:rPr>
          <w:sz w:val="20"/>
          <w:szCs w:val="20"/>
          <w:color w:val="auto"/>
        </w:rPr>
      </w:pPr>
    </w:p>
    <w:p>
      <w:pPr>
        <w:ind w:left="1560"/>
        <w:spacing w:after="0" w:line="290" w:lineRule="auto"/>
        <w:rPr>
          <w:sz w:val="20"/>
          <w:szCs w:val="20"/>
          <w:color w:val="auto"/>
        </w:rPr>
      </w:pPr>
      <w:r>
        <w:rPr>
          <w:rFonts w:ascii="Arial" w:cs="Arial" w:eastAsia="Arial" w:hAnsi="Arial"/>
          <w:sz w:val="16"/>
          <w:szCs w:val="16"/>
          <w:color w:val="auto"/>
        </w:rPr>
        <w:t>“The corporation shall have authority to issue 500,000,000 shares of common stock, $1.00 par value (the “Common Stock”), 130,000,000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52" w:lineRule="exact"/>
        <w:rPr>
          <w:sz w:val="20"/>
          <w:szCs w:val="20"/>
          <w:color w:val="auto"/>
        </w:rPr>
      </w:pPr>
    </w:p>
    <w:p>
      <w:pPr>
        <w:ind w:right="200" w:firstLine="453"/>
        <w:spacing w:after="0" w:line="342" w:lineRule="auto"/>
        <w:tabs>
          <w:tab w:leader="none" w:pos="7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Non-Voting Common Stock. The Restated Articles of Incorporation, as amended, of the corporation are amended by adding the powers, rights, and preferences, and the qualifications, limitations, and restrictions thereof, of the Non-Voting Common Stock as set forth in Exhibit A attached hereto.</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amendment was adopted by the board of directors of the corporation at a meeting duly convened and held on March 14, 2011 and duly approved by the shareholders of the corporation on June 16, 2011 in accordance with the provisions of O.C.G.A. § 14-2-1003.</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time of these Articles of Amendment is at 5:00 p.m. on the date of filing of these Articles of Amendment.</w:t>
      </w:r>
    </w:p>
    <w:p>
      <w:pPr>
        <w:spacing w:after="0" w:line="181" w:lineRule="exact"/>
        <w:rPr>
          <w:sz w:val="20"/>
          <w:szCs w:val="20"/>
          <w:color w:val="auto"/>
        </w:rPr>
      </w:pPr>
    </w:p>
    <w:p>
      <w:pPr>
        <w:ind w:right="220" w:firstLine="44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17th day of June, 2011.</w:t>
      </w:r>
    </w:p>
    <w:p>
      <w:pPr>
        <w:spacing w:after="0" w:line="200" w:lineRule="exact"/>
        <w:rPr>
          <w:sz w:val="20"/>
          <w:szCs w:val="20"/>
          <w:color w:val="auto"/>
        </w:rPr>
      </w:pPr>
    </w:p>
    <w:p>
      <w:pPr>
        <w:spacing w:after="0" w:line="20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UNITED COMMUNITY BANKS, INC.</w:t>
      </w:r>
    </w:p>
    <w:p>
      <w:pPr>
        <w:spacing w:after="0" w:line="216" w:lineRule="exact"/>
        <w:rPr>
          <w:sz w:val="20"/>
          <w:szCs w:val="20"/>
          <w:color w:val="auto"/>
        </w:rPr>
      </w:pPr>
    </w:p>
    <w:tbl>
      <w:tblPr>
        <w:tblLayout w:type="fixed"/>
        <w:tblInd w:w="4340" w:type="dxa"/>
        <w:tblCellMar>
          <w:top w:w="0" w:type="dxa"/>
          <w:left w:w="0" w:type="dxa"/>
          <w:bottom w:w="0" w:type="dxa"/>
          <w:right w:w="0" w:type="dxa"/>
        </w:tblCellMar>
      </w:tblPr>
      <w:tr>
        <w:trPr>
          <w:trHeight w:val="257"/>
        </w:trPr>
        <w:tc>
          <w:tcPr>
            <w:tcW w:w="140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Rex S. Schuette</w:t>
            </w:r>
          </w:p>
        </w:tc>
      </w:tr>
      <w:tr>
        <w:trPr>
          <w:trHeight w:val="236"/>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ind w:left="20"/>
              <w:spacing w:after="0"/>
              <w:rPr>
                <w:sz w:val="20"/>
                <w:szCs w:val="20"/>
                <w:color w:val="auto"/>
              </w:rPr>
            </w:pPr>
            <w:r>
              <w:rPr>
                <w:rFonts w:ascii="Arial" w:cs="Arial" w:eastAsia="Arial" w:hAnsi="Arial"/>
                <w:sz w:val="18"/>
                <w:szCs w:val="18"/>
                <w:color w:val="auto"/>
              </w:rPr>
              <w:t>Rex S. Schuette</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
              <w:spacing w:after="0"/>
              <w:rPr>
                <w:sz w:val="20"/>
                <w:szCs w:val="20"/>
                <w:color w:val="auto"/>
              </w:rPr>
            </w:pPr>
            <w:r>
              <w:rPr>
                <w:rFonts w:ascii="Arial" w:cs="Arial" w:eastAsia="Arial" w:hAnsi="Arial"/>
                <w:sz w:val="18"/>
                <w:szCs w:val="18"/>
                <w:color w:val="auto"/>
              </w:rPr>
              <w:t>EVP &amp; CFO</w:t>
            </w:r>
          </w:p>
        </w:tc>
      </w:tr>
    </w:tbl>
    <w:p>
      <w:pPr>
        <w:sectPr>
          <w:pgSz w:w="11900" w:h="16838" w:orient="portrait"/>
          <w:cols w:equalWidth="0" w:num="1">
            <w:col w:w="11200"/>
          </w:cols>
          <w:pgMar w:left="320" w:top="1066" w:right="379" w:bottom="1440" w:gutter="0" w:footer="0" w:header="0"/>
        </w:sectPr>
      </w:pPr>
    </w:p>
    <w:bookmarkStart w:id="92" w:name="page93"/>
    <w:bookmarkEnd w:id="92"/>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NON-VOTING COMMON STOCK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ind w:right="100" w:firstLine="899"/>
        <w:spacing w:after="0" w:line="277" w:lineRule="auto"/>
        <w:tabs>
          <w:tab w:leader="none" w:pos="1071"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Designation. </w:t>
      </w:r>
      <w:r>
        <w:rPr>
          <w:rFonts w:ascii="Arial" w:cs="Arial" w:eastAsia="Arial" w:hAnsi="Arial"/>
          <w:sz w:val="18"/>
          <w:szCs w:val="18"/>
          <w:color w:val="auto"/>
        </w:rPr>
        <w:t>The shares of such class of non-voting common stock, $1.00 par value, of United Community Banks, Inc. (the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designated “Non-Voting Common Stock” (referred to herein as the “Non-Voting Common Stock”).</w:t>
      </w:r>
    </w:p>
    <w:p>
      <w:pPr>
        <w:spacing w:after="0" w:line="129" w:lineRule="exact"/>
        <w:rPr>
          <w:rFonts w:ascii="Arial" w:cs="Arial" w:eastAsia="Arial" w:hAnsi="Arial"/>
          <w:sz w:val="18"/>
          <w:szCs w:val="18"/>
          <w:color w:val="auto"/>
        </w:rPr>
      </w:pPr>
    </w:p>
    <w:p>
      <w:pPr>
        <w:ind w:right="640" w:firstLine="899"/>
        <w:spacing w:after="0" w:line="277" w:lineRule="auto"/>
        <w:tabs>
          <w:tab w:leader="none" w:pos="1071"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Authorized Number. </w:t>
      </w:r>
      <w:r>
        <w:rPr>
          <w:rFonts w:ascii="Arial" w:cs="Arial" w:eastAsia="Arial" w:hAnsi="Arial"/>
          <w:sz w:val="18"/>
          <w:szCs w:val="18"/>
          <w:color w:val="auto"/>
        </w:rPr>
        <w:t>The number of shares constituting the Non-Voting Common Stock shall be as set forth in the first paragraph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 V of the Restated Articles of Incorporation, as amended.</w:t>
      </w:r>
    </w:p>
    <w:p>
      <w:pPr>
        <w:spacing w:after="0" w:line="125" w:lineRule="exact"/>
        <w:rPr>
          <w:rFonts w:ascii="Arial" w:cs="Arial" w:eastAsia="Arial" w:hAnsi="Arial"/>
          <w:sz w:val="18"/>
          <w:szCs w:val="18"/>
          <w:color w:val="auto"/>
        </w:rPr>
      </w:pPr>
    </w:p>
    <w:p>
      <w:pPr>
        <w:ind w:right="60" w:firstLine="899"/>
        <w:spacing w:after="0" w:line="289" w:lineRule="auto"/>
        <w:tabs>
          <w:tab w:leader="none" w:pos="1071"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Rights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set forth below, the Non-Voting Common Stock shall have the same rights and privileges, share ratably and be identical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respects to the Common Stock as to all matters. Each share of Non-Voting Common Stock shall have the same relative powers, preferences and rights as, and shall be identical in all respects with, all the other shares of Non-Voting Common Stock of the Corporation.</w:t>
      </w:r>
    </w:p>
    <w:p>
      <w:pPr>
        <w:spacing w:after="0" w:line="134" w:lineRule="exact"/>
        <w:rPr>
          <w:rFonts w:ascii="Arial" w:cs="Arial" w:eastAsia="Arial" w:hAnsi="Arial"/>
          <w:sz w:val="17"/>
          <w:szCs w:val="17"/>
          <w:color w:val="auto"/>
        </w:rPr>
      </w:pPr>
    </w:p>
    <w:p>
      <w:pPr>
        <w:ind w:right="80" w:firstLine="899"/>
        <w:spacing w:after="0" w:line="257" w:lineRule="auto"/>
        <w:tabs>
          <w:tab w:leader="none" w:pos="1071"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The holders of Non-Voting Common Stock shall have no voting rights except as provided herein or required by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foregoing, and in addition to any other vote required by law, the affirmative vote of the holders of a majority of the outstanding shares of Non-Voting Common Stock, voting separately as a class, shall be required to amend, alter or repeal (including by merger, consolidation or otherwise) any provision of these Articles of Amendment that significantly and adversely affects the rights, preferences or privileges of the Non-Voting Common Stock contained herein.</w:t>
      </w:r>
    </w:p>
    <w:p>
      <w:pPr>
        <w:spacing w:after="0" w:line="147" w:lineRule="exact"/>
        <w:rPr>
          <w:rFonts w:ascii="Arial" w:cs="Arial" w:eastAsia="Arial" w:hAnsi="Arial"/>
          <w:sz w:val="18"/>
          <w:szCs w:val="18"/>
          <w:color w:val="auto"/>
        </w:rPr>
      </w:pPr>
    </w:p>
    <w:p>
      <w:pPr>
        <w:ind w:right="60" w:firstLine="899"/>
        <w:spacing w:after="0" w:line="269" w:lineRule="auto"/>
        <w:tabs>
          <w:tab w:leader="none" w:pos="1071"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Dividends</w:t>
      </w:r>
      <w:r>
        <w:rPr>
          <w:rFonts w:ascii="Arial" w:cs="Arial" w:eastAsia="Arial" w:hAnsi="Arial"/>
          <w:sz w:val="17"/>
          <w:szCs w:val="17"/>
          <w:color w:val="auto"/>
        </w:rPr>
        <w:t>. Subject to preferential dividend rights, if any, applicable to any shares of the Preferred Stock, the holders of Non-Voting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shall be entitled to receive, to the extent permitted by law, such dividends as may be declared from time to time by the Board of Directors on the Common Stock. If a dividend is declared and paid with respect to the Common Stock, then the Board shall declare and pay an equivalent dividend, on a per share basis, to the Non-Voting Common Stock. Likewise, if the Board of Directors declares and pays a dividend on the Non-Voting Common Stock, it shall declare and pay an equivalent dividend, on a per share basis, on the Common Stock. The holders of the Non-Voting Common Stock shall share ratably in any such dividend in proportion to the number of shares of Common Stock and Non-Voting Common Stock held by each such holder. All dividends paid with respect to the Common Stock and Non-Voting Common Stock shall be paid pro rata to the holders of such shares entitled thereto; provided , however , that no dividend payable in Common Stock or rights or warrants to subscribe for Common Stock shall be declared on the Non-Voting Common Stock and no dividend payable in Non-Voting Common Stock or rights or warrants to subscribe for Non-Voting Common Stock shall be declared on the Common Stock, but instead, in the case of such a dividend, each class shall receive such dividend in like stock or rights or warrants to subscribe for like stock.</w:t>
      </w:r>
    </w:p>
    <w:p>
      <w:pPr>
        <w:spacing w:after="0" w:line="141" w:lineRule="exact"/>
        <w:rPr>
          <w:rFonts w:ascii="Arial" w:cs="Arial" w:eastAsia="Arial" w:hAnsi="Arial"/>
          <w:sz w:val="17"/>
          <w:szCs w:val="17"/>
          <w:color w:val="auto"/>
        </w:rPr>
      </w:pPr>
    </w:p>
    <w:p>
      <w:pPr>
        <w:jc w:val="both"/>
        <w:ind w:right="180" w:firstLine="899"/>
        <w:spacing w:after="0" w:line="301" w:lineRule="auto"/>
        <w:tabs>
          <w:tab w:leader="none" w:pos="1071"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Distributions. </w:t>
      </w:r>
      <w:r>
        <w:rPr>
          <w:rFonts w:ascii="Arial" w:cs="Arial" w:eastAsia="Arial" w:hAnsi="Arial"/>
          <w:sz w:val="16"/>
          <w:szCs w:val="16"/>
          <w:color w:val="auto"/>
        </w:rPr>
        <w:t>In the event of the voluntary or involuntary liquidation, dissolution, distribution of assets or winding up of the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distribution in full of the preferential amounts, if any, to be distributed to the holders of shares of Preferred Stock, holders of the Common Stock and the Non-Voting Common Stock shall be entitled to receive all the remaining assets of the Corporation of whatever kind available for distribution to shareholders ratably in proportion to the number of shares of Common Stock and Non-Voting Common Stock held by them.</w:t>
      </w:r>
    </w:p>
    <w:p>
      <w:pPr>
        <w:spacing w:after="0" w:line="130" w:lineRule="exact"/>
        <w:rPr>
          <w:rFonts w:ascii="Arial" w:cs="Arial" w:eastAsia="Arial" w:hAnsi="Arial"/>
          <w:sz w:val="16"/>
          <w:szCs w:val="16"/>
          <w:color w:val="auto"/>
        </w:rPr>
      </w:pPr>
    </w:p>
    <w:p>
      <w:pPr>
        <w:ind w:right="240" w:firstLine="899"/>
        <w:spacing w:after="0" w:line="277" w:lineRule="auto"/>
        <w:tabs>
          <w:tab w:leader="none" w:pos="1071"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w:t>
      </w:r>
      <w:r>
        <w:rPr>
          <w:rFonts w:ascii="Arial" w:cs="Arial" w:eastAsia="Arial" w:hAnsi="Arial"/>
          <w:sz w:val="18"/>
          <w:szCs w:val="18"/>
          <w:color w:val="auto"/>
        </w:rPr>
        <w:t>In the event of any stock split, combination or other reclassification of shares of either the Common Stock or the Non-Voting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the outstanding shares of the other class shall be proportionately split, combined or</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reclassified in a similar manner, provided, however, that in any such transaction, only holders of Common Stock shall receive shares of Common Stock and only holders of Non-Voting Common Stock shall receive shares of Non-Voting Common Stock.</w:t>
      </w:r>
    </w:p>
    <w:p>
      <w:pPr>
        <w:spacing w:after="0" w:line="200" w:lineRule="exact"/>
        <w:rPr>
          <w:sz w:val="20"/>
          <w:szCs w:val="20"/>
          <w:color w:val="auto"/>
        </w:rPr>
      </w:pPr>
    </w:p>
    <w:p>
      <w:pPr>
        <w:spacing w:after="0" w:line="362" w:lineRule="exact"/>
        <w:rPr>
          <w:sz w:val="20"/>
          <w:szCs w:val="20"/>
          <w:color w:val="auto"/>
        </w:rPr>
      </w:pPr>
    </w:p>
    <w:p>
      <w:pPr>
        <w:ind w:left="1080" w:hanging="181"/>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w:t>
      </w:r>
    </w:p>
    <w:p>
      <w:pPr>
        <w:spacing w:after="0" w:line="185" w:lineRule="exact"/>
        <w:rPr>
          <w:sz w:val="20"/>
          <w:szCs w:val="20"/>
          <w:color w:val="auto"/>
        </w:rPr>
      </w:pPr>
    </w:p>
    <w:p>
      <w:pPr>
        <w:ind w:right="40" w:firstLine="899"/>
        <w:spacing w:after="0" w:line="268" w:lineRule="auto"/>
        <w:tabs>
          <w:tab w:leader="none" w:pos="1132"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Non-Voting Common Stock may be converted into Common Stock in accordance with the provisions of this paragraph 8 by any Convertible Holder following an Approved Transfer (as defined herein). The term “Approved Transfer” means a sale or other transfer (i) to an Affiliate of the holder of the Non-Voting Common Stock to be transferred under common control with such holder’s ultimate parent, general partner or investment advisor but only if the transferee agrees in writing for the benefit of the Corporation to be bound by the terms of that certain Investment Agreement or Subscription Agreement by and between the Corporation and such holder pursuant to which such shares of Non-Voting Common Stock were sold to such holder (the “Investment Agreement”); (ii) in a widely distributed public offering registered pursuant to the Securities Act of 1933, as amended; (iii) to a person that is acquiring at least a majority of the Corporation’s outstanding “voting securities” (as defined in the Bank Holding Company Act of 1956, as amended and any rules or regulations promulgated thereunder) not including any voting securities such person is acquiring from the holder of the Non-Voting Common Stock to be transferred or its Affiliates; or (iv) upon certification by the holder of the Non-Voting Common Stock to be transferred in writing to the Corporation that the such holder believes that the transferee shall not, after giving effect to such transfer, own for purposes of the Bank Holding Company Act of 1956, as amended, or the Change of Bank Control Act of 1978, as amended, and any rules and regulations promulgated thereunder, more than 2% of any class of voting securities of the Corporation outstanding at such time. The term “Affiliate” means, with respect to any person, any person directly or indirectly, controlling, controlled by or under common control with, such other person. “Convertible Holder” means a holder of Non-Voting Common Stock, other than the initial holder of such Non-Voting Common Stock or an Affiliate thereof, who acquires one or more shares of Non-Voting Common Stock in an Approved Transfer.</w:t>
      </w:r>
    </w:p>
    <w:p>
      <w:pPr>
        <w:spacing w:after="0" w:line="154" w:lineRule="exact"/>
        <w:rPr>
          <w:rFonts w:ascii="Arial" w:cs="Arial" w:eastAsia="Arial" w:hAnsi="Arial"/>
          <w:sz w:val="17"/>
          <w:szCs w:val="17"/>
          <w:color w:val="auto"/>
        </w:rPr>
      </w:pPr>
    </w:p>
    <w:p>
      <w:pPr>
        <w:ind w:right="60" w:firstLine="899"/>
        <w:spacing w:after="0" w:line="269" w:lineRule="auto"/>
        <w:tabs>
          <w:tab w:leader="none" w:pos="1146"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Conditions of Conversion</w:t>
      </w:r>
      <w:r>
        <w:rPr>
          <w:rFonts w:ascii="Arial" w:cs="Arial" w:eastAsia="Arial" w:hAnsi="Arial"/>
          <w:sz w:val="17"/>
          <w:szCs w:val="17"/>
          <w:color w:val="auto"/>
        </w:rPr>
        <w:t>. Following an Approved Transfer, a Convertible Holder may surrender to the Corporation (at the principal office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Corporation) a certificate or certificates representing all or part of the Convertible Holder’s shares of Non-Voting Common Stock and in such event each share of Non-Voting Common Stock represented by such certificate or certificates will convert into one share of Common Stock. Except as otherwise provided herein, each conversion of Non-Voting Common Stock shall be deemed to have been effected as of the close of business on the date on which the certificate or certificates representing such shares of Non-Voting Common Stock to be converted have been surrendered for conversion at the principal office of the Corporation. Notwithstanding any other provision hereof, if a conversion of Non-Voting Common Stock is to be made in connection with a merger, consolidation, reclassification or other transaction in which the shares of Common Stock are exchanged for or changed into other stock or securities, cash and/or any other property or any dissolution or liquidation, the conversion of any shares of Non-Voting Common Stock may, at the election of the holder thereof, be conditioned upon the consummation of such event or transaction, in which case such conversion shall not be deemed to be effective until such event or transaction has been consummated.</w:t>
      </w:r>
    </w:p>
    <w:p>
      <w:pPr>
        <w:spacing w:after="0" w:line="144" w:lineRule="exact"/>
        <w:rPr>
          <w:rFonts w:ascii="Arial" w:cs="Arial" w:eastAsia="Arial" w:hAnsi="Arial"/>
          <w:sz w:val="17"/>
          <w:szCs w:val="17"/>
          <w:color w:val="auto"/>
        </w:rPr>
      </w:pPr>
    </w:p>
    <w:p>
      <w:pPr>
        <w:ind w:right="40" w:firstLine="899"/>
        <w:spacing w:after="0" w:line="288" w:lineRule="auto"/>
        <w:tabs>
          <w:tab w:leader="none" w:pos="1135"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Reservation of Stock Issuable Upon Conversion</w:t>
      </w:r>
      <w:r>
        <w:rPr>
          <w:rFonts w:ascii="Arial" w:cs="Arial" w:eastAsia="Arial" w:hAnsi="Arial"/>
          <w:sz w:val="16"/>
          <w:szCs w:val="16"/>
          <w:color w:val="auto"/>
        </w:rPr>
        <w:t>. The Corporation shall at all times reserve and keep available out of its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Common Stock, solely for the purpose of effecting the conversion of the Non-Voting Common Stock, such number of shares of Common Stock as shall from time to time be sufficient to effect the conversion of all outstanding shares of Non-Voting Common Stock. The Corporation shall take all action necessary so that all shares of Common Stock issuable upon conversion of Non-Voting Common Stock will, upon issue, be duly and validly issued, fully paid, and non-assessable, and free from all taxes, liens, charges and encumbrances in respect of the issuance or delivery thereof. The Corporation shall take all such actions as may be necessary to assure that all such shares of Common Stock issuable upon conversion of the Non-Voting Common Stock may be so issued without violation of any applicable law or governmental regulation or any requirements of any domestic securities exchange upon which shares may be listed (except for official notice of issuance which shall be immediately delivered by the Corporation upon each such issuance). The Corporation shall not take any action which would cause the number of authorized but unissued shares of Common Stock to be less than the number of such shares required to be reserved hereunder for issuance upon conversion of the Non-Voting Common Stock.</w:t>
      </w:r>
    </w:p>
    <w:p>
      <w:pPr>
        <w:spacing w:after="0" w:line="128" w:lineRule="exact"/>
        <w:rPr>
          <w:sz w:val="20"/>
          <w:szCs w:val="20"/>
          <w:color w:val="auto"/>
        </w:rPr>
      </w:pPr>
    </w:p>
    <w:p>
      <w:pPr>
        <w:ind w:firstLine="899"/>
        <w:spacing w:after="0" w:line="272" w:lineRule="auto"/>
        <w:tabs>
          <w:tab w:leader="none" w:pos="1071"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Mergers, Consolidations, Etc</w:t>
      </w:r>
      <w:r>
        <w:rPr>
          <w:rFonts w:ascii="Arial" w:cs="Arial" w:eastAsia="Arial" w:hAnsi="Arial"/>
          <w:sz w:val="17"/>
          <w:szCs w:val="17"/>
          <w:color w:val="auto"/>
        </w:rPr>
        <w:t>. In the event of any merger, consolidation, reclassification or other transaction in which the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are exchanged for or changed into other stock or securities, cash and/or any other property, each share of Non-Voting Common Stock will at the same time be similarly exchanged or changed in an amount per whole share equal to the aggregate amount of stock, securities, cash and/or any other property (payable in kind), as the case may be, that each share of Common Stock would be entitled to receive as a result of such transaction, provided that at the election of such holder, any securities issued with respect to the Non-Voting Common Stock shall be non-voting securities under the resulting corporation’s organizational documents and the Corporation shall make appropriate provisions (in form and substance reasonably satisfactory to the holders of a majority of the Non-Voting Common Stock then outstanding) and take such actions</w:t>
      </w:r>
    </w:p>
    <w:p>
      <w:pPr>
        <w:sectPr>
          <w:pgSz w:w="11900" w:h="16838" w:orient="portrait"/>
          <w:cols w:equalWidth="0" w:num="1">
            <w:col w:w="11220"/>
          </w:cols>
          <w:pgMar w:left="320" w:top="1070" w:right="359" w:bottom="1440" w:gutter="0" w:footer="0" w:header="0"/>
        </w:sectPr>
      </w:pPr>
    </w:p>
    <w:bookmarkStart w:id="94" w:name="page95"/>
    <w:bookmarkEnd w:id="94"/>
    <w:p>
      <w:pPr>
        <w:spacing w:after="0" w:line="287" w:lineRule="auto"/>
        <w:rPr>
          <w:sz w:val="20"/>
          <w:szCs w:val="20"/>
          <w:color w:val="auto"/>
        </w:rPr>
      </w:pPr>
      <w:r>
        <w:rPr>
          <w:rFonts w:ascii="Arial" w:cs="Arial" w:eastAsia="Arial" w:hAnsi="Arial"/>
          <w:sz w:val="16"/>
          <w:szCs w:val="16"/>
          <w:color w:val="auto"/>
        </w:rPr>
        <w:t>necessary to ensure that holders of the Non-Voting Common Stock shall retain securities with substantially the same rights and benefits as the Non-Voting Common Stock. Subject to the foregoing, in the event the holders of Common Stock are provided the right to convert or exchange Common Stock for stock or securities, cash and/or any other property, then the holders of the Non-Voting Common Stock shall be provided the same right based upon the number of shares of Common Stock such holders would be entitled to receive if such shares of Non-Voting Common Stock were converted into shares of Common Stock immediately prior to such offering. In the event that the Corporation offers to repurchase shares of Common Stock from its shareholders generally, the Corporation shall offer to repurchase Non-Voting Common Stock pro rata based upon the number of shares of Common Stock such holders would be entitled to receive if such shares were converted into shares of Common Stock immediately prior to such repurchase. In the event of any pro rata subscription offer, rights offer or similar offer to holders of Common Stock, the Corporation shall provide the holders of the Non-Voting Common Stock the right to participate based upon the number of shares of Common Stock such holders would be entitled to receive if such shares were converted into shares of Common Stock immediately prior to such offering; provided that at the election of such holder, any shares issued with respect to the Non-Voting Common Stock shall be issued in the form of Non-Voting Common Stock rather than Common Stock.</w:t>
      </w:r>
    </w:p>
    <w:p>
      <w:pPr>
        <w:spacing w:after="0" w:line="145" w:lineRule="exact"/>
        <w:rPr>
          <w:sz w:val="20"/>
          <w:szCs w:val="20"/>
          <w:color w:val="auto"/>
        </w:rPr>
      </w:pPr>
    </w:p>
    <w:p>
      <w:pPr>
        <w:ind w:right="240" w:firstLine="899"/>
        <w:spacing w:after="0" w:line="277" w:lineRule="auto"/>
        <w:tabs>
          <w:tab w:leader="none" w:pos="1161"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w:t>
      </w:r>
      <w:r>
        <w:rPr>
          <w:rFonts w:ascii="Arial" w:cs="Arial" w:eastAsia="Arial" w:hAnsi="Arial"/>
          <w:sz w:val="18"/>
          <w:szCs w:val="18"/>
          <w:color w:val="auto"/>
        </w:rPr>
        <w:t>At any time notice is provided to the holders of Common Stock, the Corporation shall give written notice to all holders of Non-Voting Common Stock at or prior to such time.</w:t>
      </w:r>
    </w:p>
    <w:p>
      <w:pPr>
        <w:sectPr>
          <w:pgSz w:w="11900" w:h="16838" w:orient="portrait"/>
          <w:cols w:equalWidth="0" w:num="1">
            <w:col w:w="11220"/>
          </w:cols>
          <w:pgMar w:left="320" w:top="1070" w:right="359" w:bottom="1440" w:gutter="0" w:footer="0" w:header="0"/>
        </w:sectPr>
      </w:pPr>
    </w:p>
    <w:bookmarkStart w:id="95" w:name="page96"/>
    <w:bookmarkEnd w:id="95"/>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ARTICLES OF AMENDMENT</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the corporation’s reclassification of its common stock pursuant to which each 1 share of common stock is to be reclassified into one-fifth (1/5) of a share of common stock (so that, conversely, each 5 shares of such common stock is to be reclassified into 1 share of common stock), Section I of the Certificate of Designation of Common Stock Equivalent Junior Preferred Stock of United Community Banks, Inc. is amended by deleting the definition of “Initial Conversion Rate” therein and replacing it with the following in lieu thereof:</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“Initial Conversion Rate” means, for each share of Junior Preferred Stock, twenty (20) shares of Common Stock.</w:t>
      </w:r>
    </w:p>
    <w:p>
      <w:pPr>
        <w:spacing w:after="0" w:line="198"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In addition, in connection with such reclassification, the corporation hereby supplements the Certificate of Rights and Preferences of Series C Convertible Preferred Stock of United Community Banks, Inc. as set forth in the Supplemental Certificate of Rights and Preferences attached hereto as Exhibit A .</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Article V of the Restated Articles of Incorporation, as amended, of the corporation is amended by deleting the first paragraph of Article V and replacing it with the following in lieu thereof:</w:t>
      </w:r>
    </w:p>
    <w:p>
      <w:pPr>
        <w:spacing w:after="0" w:line="200" w:lineRule="exact"/>
        <w:rPr>
          <w:sz w:val="20"/>
          <w:szCs w:val="20"/>
          <w:color w:val="auto"/>
        </w:rPr>
      </w:pPr>
    </w:p>
    <w:p>
      <w:pPr>
        <w:spacing w:after="0" w:line="348" w:lineRule="exact"/>
        <w:rPr>
          <w:sz w:val="20"/>
          <w:szCs w:val="20"/>
          <w:color w:val="auto"/>
        </w:rPr>
      </w:pPr>
    </w:p>
    <w:p>
      <w:pPr>
        <w:ind w:left="1560" w:right="40"/>
        <w:spacing w:after="0" w:line="290" w:lineRule="auto"/>
        <w:rPr>
          <w:sz w:val="20"/>
          <w:szCs w:val="20"/>
          <w:color w:val="auto"/>
        </w:rPr>
      </w:pPr>
      <w:r>
        <w:rPr>
          <w:rFonts w:ascii="Arial" w:cs="Arial" w:eastAsia="Arial" w:hAnsi="Arial"/>
          <w:sz w:val="16"/>
          <w:szCs w:val="16"/>
          <w:color w:val="auto"/>
        </w:rPr>
        <w:t>“The corporation shall have authority to issue 100,000,000 shares of common stock, $1.00 par value (the “Common Stock”), 26,000,000 shares of non-voting common stock, $1.00 par value (the “Non-Voting Common Stock”), having the powers, rights and preferences, and the qualifications, limitations and restrictions thereof, as set forth in Exhibit A attached hereto,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65"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The amendment to Article V of the Restated Articles of Incorporation, as amended, will result in each 1 share of the corporation’s common stock and each 1 share of the corporation’s non-voting common stock to be reclassified into one-fifth (1/5) of a share of common stock or non-voting common stock, respectively (so that, conversely, each 5 shares of such common stock or non-voting common stock is to be reclassified into 1 share of common stock or non-voting common stock, respectively). The $1.00 par value of the common stock and non-voting common stock will not change as a result of such reclassification.</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440" w:right="37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ind w:right="60" w:firstLine="445"/>
        <w:spacing w:after="0" w:line="308" w:lineRule="auto"/>
        <w:rPr>
          <w:sz w:val="20"/>
          <w:szCs w:val="20"/>
          <w:color w:val="auto"/>
        </w:rPr>
      </w:pPr>
      <w:r>
        <w:rPr>
          <w:rFonts w:ascii="Arial" w:cs="Arial" w:eastAsia="Arial" w:hAnsi="Arial"/>
          <w:sz w:val="17"/>
          <w:szCs w:val="17"/>
          <w:color w:val="auto"/>
        </w:rPr>
        <w:t>The amendment set for in Section 2 hereof was adopted by the board of directors of the corporation at a meeting duly convened and held on June 16, 2011, and shareholder approval was not required for such amendment pursuant to the Georgia Business Corporation Code.</w:t>
      </w:r>
    </w:p>
    <w:p>
      <w:pPr>
        <w:spacing w:after="0" w:line="119"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amendment set for in Section 3 hereof was adopted by the board of directors of the corporation at a meeting duly convened and held on April 15, 2011 and duly approved by the shareholders of the corporation on June 16, 2011 in accordance with the provisions of Section 14-2-1003 of the Georgia Business Corporation Code.</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time of these Articles of Amendment is at 5:01 p.m. on the date of the filing of these Articles of Amendment.</w:t>
      </w:r>
    </w:p>
    <w:p>
      <w:pPr>
        <w:spacing w:after="0" w:line="194" w:lineRule="exact"/>
        <w:rPr>
          <w:sz w:val="20"/>
          <w:szCs w:val="20"/>
          <w:color w:val="auto"/>
        </w:rPr>
      </w:pPr>
    </w:p>
    <w:p>
      <w:pPr>
        <w:ind w:right="240" w:firstLine="44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17th day of June, 2011.</w:t>
      </w:r>
    </w:p>
    <w:p>
      <w:pPr>
        <w:spacing w:after="0" w:line="39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UNITED COMMUNITY BANKS, INC.</w:t>
      </w:r>
    </w:p>
    <w:p>
      <w:pPr>
        <w:spacing w:after="0" w:line="216" w:lineRule="exact"/>
        <w:rPr>
          <w:sz w:val="20"/>
          <w:szCs w:val="20"/>
          <w:color w:val="auto"/>
        </w:rPr>
      </w:pPr>
    </w:p>
    <w:tbl>
      <w:tblPr>
        <w:tblLayout w:type="fixed"/>
        <w:tblInd w:w="4540" w:type="dxa"/>
        <w:tblCellMar>
          <w:top w:w="0" w:type="dxa"/>
          <w:left w:w="0" w:type="dxa"/>
          <w:bottom w:w="0" w:type="dxa"/>
          <w:right w:w="0" w:type="dxa"/>
        </w:tblCellMar>
      </w:tblP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Rex S. Schuette</w:t>
            </w:r>
          </w:p>
        </w:tc>
      </w:tr>
      <w:tr>
        <w:trPr>
          <w:trHeight w:val="237"/>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ind w:left="20"/>
              <w:spacing w:after="0"/>
              <w:rPr>
                <w:sz w:val="20"/>
                <w:szCs w:val="20"/>
                <w:color w:val="auto"/>
              </w:rPr>
            </w:pPr>
            <w:r>
              <w:rPr>
                <w:rFonts w:ascii="Arial" w:cs="Arial" w:eastAsia="Arial" w:hAnsi="Arial"/>
                <w:sz w:val="18"/>
                <w:szCs w:val="18"/>
                <w:color w:val="auto"/>
              </w:rPr>
              <w:t>Rex S. Schuette</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
              <w:spacing w:after="0"/>
              <w:rPr>
                <w:sz w:val="20"/>
                <w:szCs w:val="20"/>
                <w:color w:val="auto"/>
              </w:rPr>
            </w:pPr>
            <w:r>
              <w:rPr>
                <w:rFonts w:ascii="Arial" w:cs="Arial" w:eastAsia="Arial" w:hAnsi="Arial"/>
                <w:sz w:val="18"/>
                <w:szCs w:val="18"/>
                <w:color w:val="auto"/>
              </w:rPr>
              <w:t>EVP &amp; CFO</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1435" w:right="3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CERTIFICATE OF RIGHTS AND PREFERENCES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CONVERTIBLE PREFERRED STOCK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both"/>
        <w:ind w:right="120" w:firstLine="445"/>
        <w:spacing w:after="0" w:line="286" w:lineRule="auto"/>
        <w:rPr>
          <w:sz w:val="20"/>
          <w:szCs w:val="20"/>
          <w:color w:val="auto"/>
        </w:rPr>
      </w:pPr>
      <w:r>
        <w:rPr>
          <w:rFonts w:ascii="Arial" w:cs="Arial" w:eastAsia="Arial" w:hAnsi="Arial"/>
          <w:sz w:val="17"/>
          <w:szCs w:val="17"/>
          <w:color w:val="auto"/>
        </w:rPr>
        <w:t>Pursuant to the authority vested in the Board of Directors (the “Board”) by the Restated Articles of Incorporation of United Community Banks, Inc. (the “Corporation”), as amended (the “Articles of Incorporation”), the Board does hereby supplement the Certificate of Rights and Preferences of Series C Convertible Preferred Stock of United Community Banks, Inc. (the “Certificate”) by adding the following thereto:</w:t>
      </w:r>
    </w:p>
    <w:p>
      <w:pPr>
        <w:spacing w:after="0" w:line="125" w:lineRule="exact"/>
        <w:rPr>
          <w:sz w:val="20"/>
          <w:szCs w:val="20"/>
          <w:color w:val="auto"/>
        </w:rPr>
      </w:pPr>
    </w:p>
    <w:p>
      <w:pPr>
        <w:ind w:right="80" w:firstLine="891"/>
        <w:spacing w:after="0" w:line="255" w:lineRule="auto"/>
        <w:rPr>
          <w:sz w:val="20"/>
          <w:szCs w:val="20"/>
          <w:color w:val="auto"/>
        </w:rPr>
      </w:pPr>
      <w:r>
        <w:rPr>
          <w:rFonts w:ascii="Arial" w:cs="Arial" w:eastAsia="Arial" w:hAnsi="Arial"/>
          <w:sz w:val="18"/>
          <w:szCs w:val="18"/>
          <w:color w:val="auto"/>
        </w:rPr>
        <w:t>For purposes of clarification, if the Company at any time subdivides or combines (by, as applicable, any stock split, reverse stock split, stock dividend, other reclassification, recapitalization, reorganization or otherwise) the shares of Common Stock and/or Common Stock Equivalent Junior Preferred Stock into a greater or lesser number of shares, as the case may be, then, after the date of record for effecting each such transaction, all measurements and references herein related to Conversion Price and Redemption Price will be proportionately decreased or increased, respectively, and all references to share numbers for such securities herein will be proportionately increased or decreased, respectively, to reflect the effect of any such transaction.</w:t>
      </w:r>
    </w:p>
    <w:p>
      <w:pPr>
        <w:spacing w:after="0" w:line="165" w:lineRule="exact"/>
        <w:rPr>
          <w:sz w:val="20"/>
          <w:szCs w:val="20"/>
          <w:color w:val="auto"/>
        </w:rPr>
      </w:pPr>
    </w:p>
    <w:p>
      <w:pPr>
        <w:ind w:right="80" w:firstLine="891"/>
        <w:spacing w:after="0" w:line="301" w:lineRule="auto"/>
        <w:rPr>
          <w:sz w:val="20"/>
          <w:szCs w:val="20"/>
          <w:color w:val="auto"/>
        </w:rPr>
      </w:pPr>
      <w:r>
        <w:rPr>
          <w:rFonts w:ascii="Arial" w:cs="Arial" w:eastAsia="Arial" w:hAnsi="Arial"/>
          <w:sz w:val="16"/>
          <w:szCs w:val="16"/>
          <w:color w:val="auto"/>
        </w:rPr>
        <w:t>In addition, notwithstanding anything in the Certificate to the contrary, if the Company at any time combines (by any reverse stock split, recapitalization, reorganization, reclassification or otherwise) the shares of Common Stock and/or Common Stock Equivalent Junior Preferred Stock into a smaller number of shares, then, after the date of record for effecting each such transaction, all measurements and references herein related to share prices for such securities will be proportionately increased and all references to share numbers for such securities herein will be proportionately decreased.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82" w:right="33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ARTICLES OF AMENDMENT</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 xml:space="preserve">The Restated Articles of Incorporation, as amended, of the corporation are amended by adding the powers, rights, and preferences, and the qualifications, limitations, and restrictions thereof, of the Mandatorily Convertible Cumulative Non-Voting Perpetual Preferred Stock, Series F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Mandatorily Convertible Cumulative Non-Voting Perpetual Preferred Non-Voting Stock, Series G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jc w:val="both"/>
        <w:ind w:right="480" w:firstLine="445"/>
        <w:spacing w:after="0" w:line="342" w:lineRule="auto"/>
        <w:rPr>
          <w:sz w:val="20"/>
          <w:szCs w:val="20"/>
          <w:color w:val="auto"/>
        </w:rPr>
      </w:pPr>
      <w:r>
        <w:rPr>
          <w:rFonts w:ascii="Arial" w:cs="Arial" w:eastAsia="Arial" w:hAnsi="Arial"/>
          <w:sz w:val="16"/>
          <w:szCs w:val="16"/>
          <w:color w:val="auto"/>
        </w:rPr>
        <w:t>The amendment was adopted by the board of directors of the corporation at a meeting duly convened and held on March 14, 2011. Pursuant to O.C.G.A. § 14-2-602 and Article V of the Restated Articles of Incorporation, as amended, of the corporation, shareholder consent was not required.</w:t>
      </w:r>
    </w:p>
    <w:p>
      <w:pPr>
        <w:spacing w:after="0" w:line="93" w:lineRule="exact"/>
        <w:rPr>
          <w:sz w:val="20"/>
          <w:szCs w:val="20"/>
          <w:color w:val="auto"/>
        </w:rPr>
      </w:pPr>
    </w:p>
    <w:p>
      <w:pPr>
        <w:ind w:right="200" w:firstLine="44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29th day of March, 2011.</w:t>
      </w:r>
    </w:p>
    <w:p>
      <w:pPr>
        <w:spacing w:after="0" w:line="39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UNITED COMMUNITY BANKS, INC.</w:t>
      </w:r>
    </w:p>
    <w:p>
      <w:pPr>
        <w:spacing w:after="0" w:line="216"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20"/>
              <w:spacing w:after="0"/>
              <w:rPr>
                <w:sz w:val="20"/>
                <w:szCs w:val="20"/>
                <w:color w:val="auto"/>
              </w:rPr>
            </w:pPr>
            <w:r>
              <w:rPr>
                <w:rFonts w:ascii="Arial" w:cs="Arial" w:eastAsia="Arial" w:hAnsi="Arial"/>
                <w:sz w:val="18"/>
                <w:szCs w:val="18"/>
                <w:color w:val="auto"/>
              </w:rPr>
              <w:t>/s/ Rex S. Schuette</w:t>
            </w:r>
          </w:p>
        </w:tc>
        <w:tc>
          <w:tcPr>
            <w:tcW w:w="0" w:type="dxa"/>
            <w:vAlign w:val="bottom"/>
          </w:tcPr>
          <w:p>
            <w:pPr>
              <w:spacing w:after="0"/>
              <w:rPr>
                <w:sz w:val="1"/>
                <w:szCs w:val="1"/>
                <w:color w:val="auto"/>
              </w:rPr>
            </w:pPr>
          </w:p>
        </w:tc>
      </w:tr>
      <w:tr>
        <w:trPr>
          <w:trHeight w:val="27"/>
        </w:trPr>
        <w:tc>
          <w:tcPr>
            <w:tcW w:w="14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40" w:type="dxa"/>
            <w:vAlign w:val="bottom"/>
            <w:vMerge w:val="continue"/>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Rex S. Schuette</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180"/>
          </w:cols>
          <w:pgMar w:left="320" w:top="1282" w:right="399" w:bottom="1440" w:gutter="0" w:footer="0" w:header="0"/>
        </w:sectPr>
      </w:pPr>
    </w:p>
    <w:bookmarkStart w:id="99" w:name="page100"/>
    <w:bookmarkEnd w:id="99"/>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DESIGNATIONS, POWERS, PREFERENCES,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MANDATORILY CONVERTIBLE CUMULATIVE NON-VOTING PERPETUAL PREFERRED STOCK, SERIES 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185" w:lineRule="exact"/>
        <w:rPr>
          <w:sz w:val="20"/>
          <w:szCs w:val="20"/>
          <w:color w:val="auto"/>
        </w:rPr>
      </w:pPr>
    </w:p>
    <w:p>
      <w:pPr>
        <w:ind w:right="300" w:firstLine="891"/>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United Community Banks, Inc.</w:t>
      </w:r>
      <w:r>
        <w:rPr>
          <w:rFonts w:ascii="Arial" w:cs="Arial" w:eastAsia="Arial" w:hAnsi="Arial"/>
          <w:sz w:val="18"/>
          <w:szCs w:val="18"/>
          <w:color w:val="auto"/>
        </w:rPr>
        <w:t>, a corporation organized and existing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Georgia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Restated Articles of Incorporation of the Corporation, as amended, authorize the issuance of 10,000,000 shares of preferred stock,</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par value $1.00 per share, of the Corporation (“</w:t>
      </w:r>
      <w:r>
        <w:rPr>
          <w:rFonts w:ascii="Arial" w:cs="Arial" w:eastAsia="Arial" w:hAnsi="Arial"/>
          <w:sz w:val="17"/>
          <w:szCs w:val="17"/>
          <w:u w:val="single" w:color="auto"/>
          <w:color w:val="auto"/>
        </w:rPr>
        <w:t>Preferred Stock</w:t>
      </w:r>
      <w:r>
        <w:rPr>
          <w:rFonts w:ascii="Arial" w:cs="Arial" w:eastAsia="Arial" w:hAnsi="Arial"/>
          <w:sz w:val="17"/>
          <w:szCs w:val="17"/>
          <w:color w:val="auto"/>
        </w:rPr>
        <w:t>”) in one or more series, and authorizes the Board of Directors of the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to fix by resolution or resolutions the designation and number of shares of such series, and the voting and other powers, preferences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relative, participating, optional or other special rights, and the qualifications, limitations and restrictions thereof, of the shares of such series.</w:t>
      </w:r>
    </w:p>
    <w:p>
      <w:pPr>
        <w:spacing w:after="0" w:line="178" w:lineRule="exact"/>
        <w:rPr>
          <w:sz w:val="20"/>
          <w:szCs w:val="20"/>
          <w:color w:val="auto"/>
        </w:rPr>
      </w:pPr>
    </w:p>
    <w:p>
      <w:pPr>
        <w:ind w:right="380" w:firstLine="891"/>
        <w:spacing w:after="0" w:line="347" w:lineRule="auto"/>
        <w:rPr>
          <w:sz w:val="20"/>
          <w:szCs w:val="20"/>
          <w:color w:val="auto"/>
        </w:rPr>
      </w:pPr>
      <w:r>
        <w:rPr>
          <w:rFonts w:ascii="Arial" w:cs="Arial" w:eastAsia="Arial" w:hAnsi="Arial"/>
          <w:sz w:val="16"/>
          <w:szCs w:val="16"/>
          <w:b w:val="1"/>
          <w:bCs w:val="1"/>
          <w:color w:val="auto"/>
        </w:rPr>
        <w:t xml:space="preserve">Third: </w:t>
      </w:r>
      <w:r>
        <w:rPr>
          <w:rFonts w:ascii="Arial" w:cs="Arial" w:eastAsia="Arial" w:hAnsi="Arial"/>
          <w:sz w:val="16"/>
          <w:szCs w:val="16"/>
          <w:color w:val="auto"/>
        </w:rPr>
        <w:t>That the following resolution was duly adopted by the Board of Directors as required by O.C.G.A. § 14-2-602 and Article V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Articles of Incorporation at a meeting duly convened and held on March 14, 2011, at which a quorum was present and acting throughout.</w:t>
      </w:r>
    </w:p>
    <w:p>
      <w:pPr>
        <w:spacing w:after="0" w:line="75" w:lineRule="exact"/>
        <w:rPr>
          <w:sz w:val="20"/>
          <w:szCs w:val="20"/>
          <w:color w:val="auto"/>
        </w:rPr>
      </w:pPr>
    </w:p>
    <w:p>
      <w:pPr>
        <w:ind w:right="40" w:firstLine="891"/>
        <w:spacing w:after="0" w:line="26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the provisions of the Restated Articles of Incorporation of the Corporation, as amended, and applicable law, a series</w:t>
      </w:r>
      <w:r>
        <w:rPr>
          <w:rFonts w:ascii="Arial" w:cs="Arial" w:eastAsia="Arial" w:hAnsi="Arial"/>
          <w:sz w:val="18"/>
          <w:szCs w:val="18"/>
          <w:b w:val="1"/>
          <w:bCs w:val="1"/>
          <w:color w:val="auto"/>
        </w:rPr>
        <w:t xml:space="preserve"> </w:t>
      </w:r>
      <w:r>
        <w:rPr>
          <w:rFonts w:ascii="Arial" w:cs="Arial" w:eastAsia="Arial" w:hAnsi="Arial"/>
          <w:sz w:val="18"/>
          <w:szCs w:val="18"/>
          <w:color w:val="auto"/>
        </w:rPr>
        <w:t>of 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PREFERENCES</w:t>
      </w:r>
    </w:p>
    <w:p>
      <w:pPr>
        <w:spacing w:after="0" w:line="189" w:lineRule="exact"/>
        <w:rPr>
          <w:sz w:val="20"/>
          <w:szCs w:val="20"/>
          <w:color w:val="auto"/>
        </w:rPr>
      </w:pPr>
    </w:p>
    <w:p>
      <w:pPr>
        <w:ind w:right="160" w:firstLine="891"/>
        <w:spacing w:after="0" w:line="259" w:lineRule="auto"/>
        <w:rPr>
          <w:sz w:val="20"/>
          <w:szCs w:val="20"/>
          <w:color w:val="auto"/>
        </w:rPr>
      </w:pPr>
      <w:r>
        <w:rPr>
          <w:rFonts w:ascii="Arial" w:cs="Arial" w:eastAsia="Arial" w:hAnsi="Arial"/>
          <w:sz w:val="18"/>
          <w:szCs w:val="18"/>
          <w:i w:val="1"/>
          <w:iCs w:val="1"/>
          <w:color w:val="auto"/>
        </w:rPr>
        <w:t xml:space="preserve">Section 1. Designation. </w:t>
      </w:r>
      <w:r>
        <w:rPr>
          <w:rFonts w:ascii="Arial" w:cs="Arial" w:eastAsia="Arial" w:hAnsi="Arial"/>
          <w:sz w:val="18"/>
          <w:szCs w:val="18"/>
          <w:color w:val="auto"/>
        </w:rPr>
        <w:t>There is hereby created out of the authorized and unissued shares of preferred stock of the Corporation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designated as the “Mandatorily Convertible Cumulative Non-Voting Perpetual Preferred Stock, Series F” (the “</w:t>
      </w:r>
      <w:r>
        <w:rPr>
          <w:rFonts w:ascii="Arial" w:cs="Arial" w:eastAsia="Arial" w:hAnsi="Arial"/>
          <w:sz w:val="18"/>
          <w:szCs w:val="18"/>
          <w:u w:val="single" w:color="auto"/>
          <w:color w:val="auto"/>
        </w:rPr>
        <w:t>Series F Preferred Stock</w:t>
      </w:r>
      <w:r>
        <w:rPr>
          <w:rFonts w:ascii="Arial" w:cs="Arial" w:eastAsia="Arial" w:hAnsi="Arial"/>
          <w:sz w:val="18"/>
          <w:szCs w:val="18"/>
          <w:color w:val="auto"/>
        </w:rPr>
        <w:t>”). The number of shares constituting such series shall be 195,872. The par value of the Series F Preferred Stock shall be $1.00 per share, and the liquidation preference shall be $1,000 per share.</w:t>
      </w:r>
    </w:p>
    <w:p>
      <w:pPr>
        <w:spacing w:after="0" w:line="146" w:lineRule="exact"/>
        <w:rPr>
          <w:sz w:val="20"/>
          <w:szCs w:val="20"/>
          <w:color w:val="auto"/>
        </w:rPr>
      </w:pPr>
    </w:p>
    <w:p>
      <w:pPr>
        <w:ind w:right="40" w:firstLine="891"/>
        <w:spacing w:after="0" w:line="269" w:lineRule="auto"/>
        <w:rPr>
          <w:sz w:val="20"/>
          <w:szCs w:val="20"/>
          <w:color w:val="auto"/>
        </w:rPr>
      </w:pPr>
      <w:r>
        <w:rPr>
          <w:rFonts w:ascii="Arial" w:cs="Arial" w:eastAsia="Arial" w:hAnsi="Arial"/>
          <w:sz w:val="17"/>
          <w:szCs w:val="17"/>
          <w:i w:val="1"/>
          <w:iCs w:val="1"/>
          <w:color w:val="auto"/>
        </w:rPr>
        <w:t>Section 2. Ranking</w:t>
      </w:r>
      <w:r>
        <w:rPr>
          <w:rFonts w:ascii="Arial" w:cs="Arial" w:eastAsia="Arial" w:hAnsi="Arial"/>
          <w:sz w:val="17"/>
          <w:szCs w:val="17"/>
          <w:color w:val="auto"/>
        </w:rPr>
        <w:t>. The Series F Preferred Stock will, with respect to dividend rights and rights on liquidation, winding up and dissolution,</w:t>
      </w:r>
      <w:r>
        <w:rPr>
          <w:rFonts w:ascii="Arial" w:cs="Arial" w:eastAsia="Arial" w:hAnsi="Arial"/>
          <w:sz w:val="17"/>
          <w:szCs w:val="17"/>
          <w:i w:val="1"/>
          <w:iCs w:val="1"/>
          <w:color w:val="auto"/>
        </w:rPr>
        <w:t xml:space="preserve"> </w:t>
      </w:r>
      <w:r>
        <w:rPr>
          <w:rFonts w:ascii="Arial" w:cs="Arial" w:eastAsia="Arial" w:hAnsi="Arial"/>
          <w:sz w:val="17"/>
          <w:szCs w:val="17"/>
          <w:color w:val="auto"/>
        </w:rPr>
        <w:t>rank (i) on a parity with the Corporation’s Series A Non-Cumulative Preferred Stock, the Fixed Rate Cumulative Perpetual Preferred Stock, Series B, the Series C Fixed Rate Cumulative Perpetual Preferred Stock, the Cumulative Perpetual Preferred Stock, Series D, the Junior Participating Preferred Stock, Series E, the Series G Mandatorily Convertible Perpetual Preferred Stock (the “</w:t>
      </w:r>
      <w:r>
        <w:rPr>
          <w:rFonts w:ascii="Arial" w:cs="Arial" w:eastAsia="Arial" w:hAnsi="Arial"/>
          <w:sz w:val="17"/>
          <w:szCs w:val="17"/>
          <w:u w:val="single" w:color="auto"/>
          <w:color w:val="auto"/>
        </w:rPr>
        <w:t>Series G Preferred Stock</w:t>
      </w:r>
      <w:r>
        <w:rPr>
          <w:rFonts w:ascii="Arial" w:cs="Arial" w:eastAsia="Arial" w:hAnsi="Arial"/>
          <w:sz w:val="17"/>
          <w:szCs w:val="17"/>
          <w:color w:val="auto"/>
        </w:rPr>
        <w:t>”) and with each other class or series of equity securities of the Corporation the terms of which do not expressly provide that such class or series will rank senior or junior to the Series F Preferred Stock as to dividend rights and rights on liquidation, winding-up and dissolution of the Corporation (collectively referred to as “</w:t>
      </w:r>
      <w:r>
        <w:rPr>
          <w:rFonts w:ascii="Arial" w:cs="Arial" w:eastAsia="Arial" w:hAnsi="Arial"/>
          <w:sz w:val="17"/>
          <w:szCs w:val="17"/>
          <w:u w:val="single" w:color="auto"/>
          <w:color w:val="auto"/>
        </w:rPr>
        <w:t>Parity Securities</w:t>
      </w:r>
      <w:r>
        <w:rPr>
          <w:rFonts w:ascii="Arial" w:cs="Arial" w:eastAsia="Arial" w:hAnsi="Arial"/>
          <w:sz w:val="17"/>
          <w:szCs w:val="17"/>
          <w:color w:val="auto"/>
        </w:rPr>
        <w:t>”), and (ii) senior to the Corporation’s common stock, par value $1.00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the Corporation’s non-voting common stock, par value $1.00 per share (the “</w:t>
      </w:r>
      <w:r>
        <w:rPr>
          <w:rFonts w:ascii="Arial" w:cs="Arial" w:eastAsia="Arial" w:hAnsi="Arial"/>
          <w:sz w:val="17"/>
          <w:szCs w:val="17"/>
          <w:u w:val="single" w:color="auto"/>
          <w:color w:val="auto"/>
        </w:rPr>
        <w:t>Non-Voting Common Stock</w:t>
      </w:r>
      <w:r>
        <w:rPr>
          <w:rFonts w:ascii="Arial" w:cs="Arial" w:eastAsia="Arial" w:hAnsi="Arial"/>
          <w:sz w:val="17"/>
          <w:szCs w:val="17"/>
          <w:color w:val="auto"/>
        </w:rPr>
        <w:t>” and, together with the Common Stock,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and each other class or series of capital stock of the Corporation outstanding or established after the Effective Date by the Corporation the terms of which do not expressly provide that it ranks on a parity with or senior to the Series F Preferred Stock as to dividend rights and rights on liquidation, winding-up and dissolution of the Corporation (collectively referred to as “</w:t>
      </w:r>
      <w:r>
        <w:rPr>
          <w:rFonts w:ascii="Arial" w:cs="Arial" w:eastAsia="Arial" w:hAnsi="Arial"/>
          <w:sz w:val="17"/>
          <w:szCs w:val="17"/>
          <w:u w:val="single" w:color="auto"/>
          <w:color w:val="auto"/>
        </w:rPr>
        <w:t>Junior Securities</w:t>
      </w:r>
      <w:r>
        <w:rPr>
          <w:rFonts w:ascii="Arial" w:cs="Arial" w:eastAsia="Arial" w:hAnsi="Arial"/>
          <w:sz w:val="17"/>
          <w:szCs w:val="17"/>
          <w:color w:val="auto"/>
        </w:rPr>
        <w:t>”). The Corporation has the power to authorize and/or issue additional shares or classes or series of Junior Securities without the consent of the Holders.</w:t>
      </w:r>
    </w:p>
    <w:p>
      <w:pPr>
        <w:spacing w:after="0" w:line="15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Section 3. Definitions</w:t>
      </w:r>
      <w:r>
        <w:rPr>
          <w:rFonts w:ascii="Arial" w:cs="Arial" w:eastAsia="Arial" w:hAnsi="Arial"/>
          <w:sz w:val="16"/>
          <w:szCs w:val="16"/>
          <w:color w:val="auto"/>
        </w:rPr>
        <w:t>. The following initially capitalized terms shall have the following meanings, whether used in the singular or the plural:</w:t>
      </w:r>
    </w:p>
    <w:p>
      <w:pPr>
        <w:spacing w:after="0" w:line="208" w:lineRule="exact"/>
        <w:rPr>
          <w:sz w:val="20"/>
          <w:szCs w:val="20"/>
          <w:color w:val="auto"/>
        </w:rPr>
      </w:pPr>
    </w:p>
    <w:p>
      <w:pPr>
        <w:ind w:right="40" w:firstLine="899"/>
        <w:spacing w:after="0" w:line="277" w:lineRule="auto"/>
        <w:tabs>
          <w:tab w:leader="none" w:pos="11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common control with such specified Person. For the purposes of this definition, “control” when used with respect to any</w:t>
      </w:r>
    </w:p>
    <w:p>
      <w:pPr>
        <w:sectPr>
          <w:pgSz w:w="11900" w:h="16838" w:orient="portrait"/>
          <w:cols w:equalWidth="0" w:num="1">
            <w:col w:w="11240"/>
          </w:cols>
          <w:pgMar w:left="320" w:top="1440" w:right="339" w:bottom="1440" w:gutter="0" w:footer="0" w:header="0"/>
        </w:sectPr>
      </w:pPr>
    </w:p>
    <w:bookmarkStart w:id="100" w:name="page101"/>
    <w:bookmarkEnd w:id="100"/>
    <w:p>
      <w:pPr>
        <w:ind w:right="300"/>
        <w:spacing w:after="0" w:line="308" w:lineRule="auto"/>
        <w:rPr>
          <w:sz w:val="20"/>
          <w:szCs w:val="20"/>
          <w:color w:val="auto"/>
        </w:rPr>
      </w:pPr>
      <w:r>
        <w:rPr>
          <w:rFonts w:ascii="Arial" w:cs="Arial" w:eastAsia="Arial" w:hAnsi="Arial"/>
          <w:sz w:val="17"/>
          <w:szCs w:val="17"/>
          <w:color w:val="auto"/>
        </w:rPr>
        <w:t>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19" w:lineRule="exact"/>
        <w:rPr>
          <w:sz w:val="20"/>
          <w:szCs w:val="20"/>
          <w:color w:val="auto"/>
        </w:rPr>
      </w:pPr>
    </w:p>
    <w:p>
      <w:pPr>
        <w:ind w:left="1160" w:hanging="261"/>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Price</w:t>
      </w:r>
      <w:r>
        <w:rPr>
          <w:rFonts w:ascii="Arial" w:cs="Arial" w:eastAsia="Arial" w:hAnsi="Arial"/>
          <w:sz w:val="18"/>
          <w:szCs w:val="18"/>
          <w:color w:val="auto"/>
        </w:rPr>
        <w:t>” means the Conversion Price in effect at any given time.</w:t>
      </w:r>
    </w:p>
    <w:p>
      <w:pPr>
        <w:spacing w:after="0" w:line="184" w:lineRule="exact"/>
        <w:rPr>
          <w:rFonts w:ascii="Arial" w:cs="Arial" w:eastAsia="Arial" w:hAnsi="Arial"/>
          <w:sz w:val="18"/>
          <w:szCs w:val="18"/>
          <w:color w:val="auto"/>
        </w:rPr>
      </w:pPr>
    </w:p>
    <w:p>
      <w:pPr>
        <w:ind w:left="1140" w:hanging="241"/>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Corporation, as amended.</w:t>
      </w:r>
    </w:p>
    <w:p>
      <w:pPr>
        <w:spacing w:after="0" w:line="184" w:lineRule="exact"/>
        <w:rPr>
          <w:rFonts w:ascii="Arial" w:cs="Arial" w:eastAsia="Arial" w:hAnsi="Arial"/>
          <w:sz w:val="18"/>
          <w:szCs w:val="18"/>
          <w:color w:val="auto"/>
        </w:rPr>
      </w:pPr>
    </w:p>
    <w:p>
      <w:pPr>
        <w:ind w:right="40" w:firstLine="899"/>
        <w:spacing w:after="0" w:line="257" w:lineRule="auto"/>
        <w:tabs>
          <w:tab w:leader="none" w:pos="11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As-Converted Dividend</w:t>
      </w:r>
      <w:r>
        <w:rPr>
          <w:rFonts w:ascii="Arial" w:cs="Arial" w:eastAsia="Arial" w:hAnsi="Arial"/>
          <w:sz w:val="18"/>
          <w:szCs w:val="18"/>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Common Stock into which a share of Series F Preferred Stock would then be convertible (assuming receipt of the Stockholder Approval);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any Dividend Period with respect to which no dividend on the Common Stock has been declared, the As-Converted Dividend shall be $0.00.</w:t>
      </w:r>
    </w:p>
    <w:p>
      <w:pPr>
        <w:spacing w:after="0" w:line="160" w:lineRule="exact"/>
        <w:rPr>
          <w:rFonts w:ascii="Arial" w:cs="Arial" w:eastAsia="Arial" w:hAnsi="Arial"/>
          <w:sz w:val="18"/>
          <w:szCs w:val="18"/>
          <w:color w:val="auto"/>
        </w:rPr>
      </w:pPr>
    </w:p>
    <w:p>
      <w:pPr>
        <w:ind w:left="1140" w:hanging="241"/>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w:t>
      </w:r>
    </w:p>
    <w:p>
      <w:pPr>
        <w:spacing w:after="0" w:line="184" w:lineRule="exact"/>
        <w:rPr>
          <w:rFonts w:ascii="Arial" w:cs="Arial" w:eastAsia="Arial" w:hAnsi="Arial"/>
          <w:sz w:val="18"/>
          <w:szCs w:val="18"/>
          <w:color w:val="auto"/>
        </w:rPr>
      </w:pPr>
    </w:p>
    <w:p>
      <w:pPr>
        <w:ind w:right="320" w:firstLine="899"/>
        <w:spacing w:after="0" w:line="277" w:lineRule="auto"/>
        <w:tabs>
          <w:tab w:leader="none" w:pos="111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Affiliated Person</w:t>
      </w:r>
      <w:r>
        <w:rPr>
          <w:rFonts w:ascii="Arial" w:cs="Arial" w:eastAsia="Arial" w:hAnsi="Arial"/>
          <w:sz w:val="18"/>
          <w:szCs w:val="18"/>
          <w:color w:val="auto"/>
        </w:rPr>
        <w:t>” means, with respect to any Person, its Affiliates which for purposes of this definition include all “affiliates” as defined in the BHC Act or Regulation Y of the Board of Governors of the Federal Reserve.</w:t>
      </w:r>
    </w:p>
    <w:p>
      <w:pPr>
        <w:spacing w:after="0" w:line="129" w:lineRule="exact"/>
        <w:rPr>
          <w:rFonts w:ascii="Arial" w:cs="Arial" w:eastAsia="Arial" w:hAnsi="Arial"/>
          <w:sz w:val="18"/>
          <w:szCs w:val="18"/>
          <w:color w:val="auto"/>
        </w:rPr>
      </w:pPr>
    </w:p>
    <w:p>
      <w:pPr>
        <w:ind w:right="520" w:firstLine="899"/>
        <w:spacing w:after="0" w:line="277" w:lineRule="auto"/>
        <w:tabs>
          <w:tab w:leader="none" w:pos="11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Saturday or Sunday and that, in New York City, is not a day on which banking institutions generally are authorized or obligated by law or executive order to be closed.</w:t>
      </w:r>
    </w:p>
    <w:p>
      <w:pPr>
        <w:spacing w:after="0" w:line="143" w:lineRule="exact"/>
        <w:rPr>
          <w:rFonts w:ascii="Arial" w:cs="Arial" w:eastAsia="Arial" w:hAnsi="Arial"/>
          <w:sz w:val="18"/>
          <w:szCs w:val="18"/>
          <w:color w:val="auto"/>
        </w:rPr>
      </w:pPr>
    </w:p>
    <w:p>
      <w:pPr>
        <w:ind w:left="1160" w:hanging="261"/>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the Articles of Amendment to the Articles of Incorporation, dated March 29, 2011.</w:t>
      </w:r>
    </w:p>
    <w:p>
      <w:pPr>
        <w:spacing w:after="0" w:line="184" w:lineRule="exact"/>
        <w:rPr>
          <w:rFonts w:ascii="Arial" w:cs="Arial" w:eastAsia="Arial" w:hAnsi="Arial"/>
          <w:sz w:val="18"/>
          <w:szCs w:val="18"/>
          <w:color w:val="auto"/>
        </w:rPr>
      </w:pPr>
    </w:p>
    <w:p>
      <w:pPr>
        <w:ind w:left="1120" w:hanging="221"/>
        <w:spacing w:after="0"/>
        <w:tabs>
          <w:tab w:leader="none" w:pos="11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 Act</w:t>
      </w:r>
      <w:r>
        <w:rPr>
          <w:rFonts w:ascii="Arial" w:cs="Arial" w:eastAsia="Arial" w:hAnsi="Arial"/>
          <w:sz w:val="18"/>
          <w:szCs w:val="18"/>
          <w:color w:val="auto"/>
        </w:rPr>
        <w:t>” means the Change in Bank Control Act of 1978, as amended.</w:t>
      </w:r>
    </w:p>
    <w:p>
      <w:pPr>
        <w:spacing w:after="0" w:line="184" w:lineRule="exact"/>
        <w:rPr>
          <w:rFonts w:ascii="Arial" w:cs="Arial" w:eastAsia="Arial" w:hAnsi="Arial"/>
          <w:sz w:val="18"/>
          <w:szCs w:val="18"/>
          <w:color w:val="auto"/>
        </w:rPr>
      </w:pPr>
    </w:p>
    <w:p>
      <w:pPr>
        <w:ind w:firstLine="899"/>
        <w:spacing w:after="0" w:line="269" w:lineRule="auto"/>
        <w:tabs>
          <w:tab w:leader="none" w:pos="1106" w:val="left"/>
        </w:tabs>
        <w:numPr>
          <w:ilvl w:val="0"/>
          <w:numId w:val="8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Price</w:t>
      </w:r>
      <w:r>
        <w:rPr>
          <w:rFonts w:ascii="Arial" w:cs="Arial" w:eastAsia="Arial" w:hAnsi="Arial"/>
          <w:sz w:val="17"/>
          <w:szCs w:val="17"/>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purposes of this Certificate of Designation, all references herein to the “</w:t>
      </w:r>
      <w:r>
        <w:rPr>
          <w:rFonts w:ascii="Arial" w:cs="Arial" w:eastAsia="Arial" w:hAnsi="Arial"/>
          <w:sz w:val="18"/>
          <w:szCs w:val="18"/>
          <w:u w:val="single" w:color="auto"/>
          <w:color w:val="auto"/>
        </w:rPr>
        <w:t>Closing Price</w:t>
      </w:r>
      <w:r>
        <w:rPr>
          <w:rFonts w:ascii="Arial" w:cs="Arial" w:eastAsia="Arial" w:hAnsi="Arial"/>
          <w:sz w:val="18"/>
          <w:szCs w:val="18"/>
          <w:color w:val="auto"/>
        </w:rPr>
        <w:t>” and “</w:t>
      </w:r>
      <w:r>
        <w:rPr>
          <w:rFonts w:ascii="Arial" w:cs="Arial" w:eastAsia="Arial" w:hAnsi="Arial"/>
          <w:sz w:val="18"/>
          <w:szCs w:val="18"/>
          <w:u w:val="single" w:color="auto"/>
          <w:color w:val="auto"/>
        </w:rPr>
        <w:t>last reported sale price</w:t>
      </w:r>
      <w:r>
        <w:rPr>
          <w:rFonts w:ascii="Arial" w:cs="Arial" w:eastAsia="Arial" w:hAnsi="Arial"/>
          <w:sz w:val="18"/>
          <w:szCs w:val="18"/>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152" w:lineRule="exact"/>
        <w:rPr>
          <w:sz w:val="20"/>
          <w:szCs w:val="20"/>
          <w:color w:val="auto"/>
        </w:rPr>
      </w:pPr>
    </w:p>
    <w:p>
      <w:pPr>
        <w:ind w:left="1160" w:hanging="261"/>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1120" w:hanging="221"/>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Section 2.</w:t>
      </w:r>
    </w:p>
    <w:p>
      <w:pPr>
        <w:spacing w:after="0" w:line="198" w:lineRule="exact"/>
        <w:rPr>
          <w:rFonts w:ascii="Arial" w:cs="Arial" w:eastAsia="Arial" w:hAnsi="Arial"/>
          <w:sz w:val="18"/>
          <w:szCs w:val="18"/>
          <w:color w:val="auto"/>
        </w:rPr>
      </w:pPr>
    </w:p>
    <w:p>
      <w:pPr>
        <w:ind w:left="1200" w:hanging="301"/>
        <w:spacing w:after="0"/>
        <w:tabs>
          <w:tab w:leader="none" w:pos="12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$1.90, subject to adjustment as set forth herein.</w:t>
      </w:r>
    </w:p>
    <w:p>
      <w:pPr>
        <w:spacing w:after="0" w:line="184" w:lineRule="exact"/>
        <w:rPr>
          <w:rFonts w:ascii="Arial" w:cs="Arial" w:eastAsia="Arial" w:hAnsi="Arial"/>
          <w:sz w:val="18"/>
          <w:szCs w:val="18"/>
          <w:color w:val="auto"/>
        </w:rPr>
      </w:pPr>
    </w:p>
    <w:p>
      <w:pPr>
        <w:jc w:val="both"/>
        <w:ind w:right="260" w:firstLine="899"/>
        <w:spacing w:after="0" w:line="263" w:lineRule="auto"/>
        <w:tabs>
          <w:tab w:leader="none" w:pos="11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means, on any date, the average of the daily Closing Price per share of the Common Stock or other securities on each of the five consecutive Trading Days preceding the earlier of the day before the date in question and the day before the Ex-Date with respect to the issuance or distribution giving rise to an adjustment to the Conversion Price pursuant to Section 10.</w:t>
      </w:r>
    </w:p>
    <w:p>
      <w:pPr>
        <w:sectPr>
          <w:pgSz w:w="11900" w:h="16838" w:orient="portrait"/>
          <w:cols w:equalWidth="0" w:num="1">
            <w:col w:w="11220"/>
          </w:cols>
          <w:pgMar w:left="320" w:top="1070" w:right="359" w:bottom="1440" w:gutter="0" w:footer="0" w:header="0"/>
        </w:sectPr>
      </w:pPr>
    </w:p>
    <w:bookmarkStart w:id="101" w:name="page102"/>
    <w:bookmarkEnd w:id="101"/>
    <w:p>
      <w:pPr>
        <w:ind w:left="261" w:hanging="261"/>
        <w:spacing w:after="0"/>
        <w:tabs>
          <w:tab w:leader="none" w:pos="2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has the meaning set forth in Section 10(a)(iv).</w:t>
      </w:r>
    </w:p>
    <w:p>
      <w:pPr>
        <w:spacing w:after="0" w:line="198" w:lineRule="exact"/>
        <w:rPr>
          <w:rFonts w:ascii="Arial" w:cs="Arial" w:eastAsia="Arial" w:hAnsi="Arial"/>
          <w:sz w:val="18"/>
          <w:szCs w:val="18"/>
          <w:color w:val="auto"/>
        </w:rPr>
      </w:pPr>
    </w:p>
    <w:p>
      <w:pPr>
        <w:ind w:left="261" w:hanging="261"/>
        <w:spacing w:after="0"/>
        <w:tabs>
          <w:tab w:leader="none" w:pos="2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has the meaning set forth in Section 4(b).</w:t>
      </w:r>
    </w:p>
    <w:p>
      <w:pPr>
        <w:spacing w:after="0" w:line="184" w:lineRule="exact"/>
        <w:rPr>
          <w:rFonts w:ascii="Arial" w:cs="Arial" w:eastAsia="Arial" w:hAnsi="Arial"/>
          <w:sz w:val="18"/>
          <w:szCs w:val="18"/>
          <w:color w:val="auto"/>
        </w:rPr>
      </w:pPr>
    </w:p>
    <w:p>
      <w:pPr>
        <w:ind w:left="261" w:hanging="261"/>
        <w:spacing w:after="0"/>
        <w:tabs>
          <w:tab w:leader="none" w:pos="2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has the meaning set forth in Section 4(b).</w:t>
      </w:r>
    </w:p>
    <w:p>
      <w:pPr>
        <w:spacing w:after="0" w:line="184" w:lineRule="exact"/>
        <w:rPr>
          <w:rFonts w:ascii="Arial" w:cs="Arial" w:eastAsia="Arial" w:hAnsi="Arial"/>
          <w:sz w:val="18"/>
          <w:szCs w:val="18"/>
          <w:color w:val="auto"/>
        </w:rPr>
      </w:pPr>
    </w:p>
    <w:p>
      <w:pPr>
        <w:ind w:left="221" w:hanging="221"/>
        <w:spacing w:after="0"/>
        <w:tabs>
          <w:tab w:leader="none" w:pos="221"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4(c).</w:t>
      </w:r>
    </w:p>
    <w:p>
      <w:pPr>
        <w:spacing w:after="0" w:line="198" w:lineRule="exact"/>
        <w:rPr>
          <w:rFonts w:ascii="Arial" w:cs="Arial" w:eastAsia="Arial" w:hAnsi="Arial"/>
          <w:sz w:val="18"/>
          <w:szCs w:val="18"/>
          <w:color w:val="auto"/>
        </w:rPr>
      </w:pPr>
    </w:p>
    <w:p>
      <w:pPr>
        <w:ind w:left="-899" w:right="620" w:firstLine="899"/>
        <w:spacing w:after="0" w:line="277" w:lineRule="auto"/>
        <w:tabs>
          <w:tab w:leader="none" w:pos="227"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xml:space="preserve">” means, with respect to any Dividend Period, the sum of (a) the greater of (i) LIBOR and (ii) 2.0% plus (b) 15.0%;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if such amount is greater than 18.0%, the Dividend Rate shall be 18.0%.</w:t>
      </w:r>
    </w:p>
    <w:p>
      <w:pPr>
        <w:spacing w:after="0" w:line="129" w:lineRule="exact"/>
        <w:rPr>
          <w:rFonts w:ascii="Arial" w:cs="Arial" w:eastAsia="Arial" w:hAnsi="Arial"/>
          <w:sz w:val="18"/>
          <w:szCs w:val="18"/>
          <w:color w:val="auto"/>
        </w:rPr>
      </w:pPr>
    </w:p>
    <w:p>
      <w:pPr>
        <w:ind w:left="221" w:hanging="221"/>
        <w:spacing w:after="0"/>
        <w:tabs>
          <w:tab w:leader="none" w:pos="221"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shares of the Series F Preferred Stock are first issued.</w:t>
      </w:r>
    </w:p>
    <w:p>
      <w:pPr>
        <w:spacing w:after="0" w:line="184" w:lineRule="exact"/>
        <w:rPr>
          <w:rFonts w:ascii="Arial" w:cs="Arial" w:eastAsia="Arial" w:hAnsi="Arial"/>
          <w:sz w:val="18"/>
          <w:szCs w:val="18"/>
          <w:color w:val="auto"/>
        </w:rPr>
      </w:pPr>
    </w:p>
    <w:p>
      <w:pPr>
        <w:ind w:left="261" w:hanging="261"/>
        <w:spacing w:after="0"/>
        <w:tabs>
          <w:tab w:leader="none" w:pos="2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set forth in Section 11(a).</w:t>
      </w:r>
    </w:p>
    <w:p>
      <w:pPr>
        <w:spacing w:after="0" w:line="198" w:lineRule="exact"/>
        <w:rPr>
          <w:rFonts w:ascii="Arial" w:cs="Arial" w:eastAsia="Arial" w:hAnsi="Arial"/>
          <w:sz w:val="18"/>
          <w:szCs w:val="18"/>
          <w:color w:val="auto"/>
        </w:rPr>
      </w:pPr>
    </w:p>
    <w:p>
      <w:pPr>
        <w:ind w:left="-899" w:right="320" w:firstLine="899"/>
        <w:spacing w:after="0" w:line="342" w:lineRule="auto"/>
        <w:tabs>
          <w:tab w:leader="none" w:pos="2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Ex-Date</w:t>
      </w:r>
      <w:r>
        <w:rPr>
          <w:rFonts w:ascii="Arial" w:cs="Arial" w:eastAsia="Arial" w:hAnsi="Arial"/>
          <w:sz w:val="16"/>
          <w:szCs w:val="16"/>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83" w:lineRule="exact"/>
        <w:rPr>
          <w:rFonts w:ascii="Arial" w:cs="Arial" w:eastAsia="Arial" w:hAnsi="Arial"/>
          <w:sz w:val="16"/>
          <w:szCs w:val="16"/>
          <w:color w:val="auto"/>
        </w:rPr>
      </w:pPr>
    </w:p>
    <w:p>
      <w:pPr>
        <w:ind w:left="-899" w:right="60" w:firstLine="899"/>
        <w:spacing w:after="0" w:line="263" w:lineRule="auto"/>
        <w:tabs>
          <w:tab w:leader="none" w:pos="2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the shares of the Series F Preferred Stock are registered, which may be treated by the Corporation as the absolute owner of the shares of Series F Preferred Stock for the purpose of making payment and settling the related conversions and for all other purposes.</w:t>
      </w:r>
    </w:p>
    <w:p>
      <w:pPr>
        <w:spacing w:after="0" w:line="143" w:lineRule="exact"/>
        <w:rPr>
          <w:rFonts w:ascii="Arial" w:cs="Arial" w:eastAsia="Arial" w:hAnsi="Arial"/>
          <w:sz w:val="18"/>
          <w:szCs w:val="18"/>
          <w:color w:val="auto"/>
        </w:rPr>
      </w:pPr>
    </w:p>
    <w:p>
      <w:pPr>
        <w:ind w:left="261" w:hanging="261"/>
        <w:spacing w:after="0"/>
        <w:tabs>
          <w:tab w:leader="none" w:pos="261"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has the meaning set forth in Section 2.</w:t>
      </w:r>
    </w:p>
    <w:p>
      <w:pPr>
        <w:spacing w:after="0" w:line="198" w:lineRule="exact"/>
        <w:rPr>
          <w:rFonts w:ascii="Arial" w:cs="Arial" w:eastAsia="Arial" w:hAnsi="Arial"/>
          <w:sz w:val="18"/>
          <w:szCs w:val="18"/>
          <w:color w:val="auto"/>
        </w:rPr>
      </w:pPr>
    </w:p>
    <w:p>
      <w:pPr>
        <w:ind w:left="-899" w:firstLine="899"/>
        <w:spacing w:after="0" w:line="268" w:lineRule="auto"/>
        <w:tabs>
          <w:tab w:leader="none" w:pos="247" w:val="left"/>
        </w:tabs>
        <w:numPr>
          <w:ilvl w:val="0"/>
          <w:numId w:val="8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F Preferred Stock been outstanding. The establishment of LIBOR will be final and binding in the absence of manifest error.</w:t>
      </w:r>
    </w:p>
    <w:p>
      <w:pPr>
        <w:spacing w:after="0" w:line="141" w:lineRule="exact"/>
        <w:rPr>
          <w:rFonts w:ascii="Arial" w:cs="Arial" w:eastAsia="Arial" w:hAnsi="Arial"/>
          <w:sz w:val="17"/>
          <w:szCs w:val="17"/>
          <w:color w:val="auto"/>
        </w:rPr>
      </w:pPr>
    </w:p>
    <w:p>
      <w:pPr>
        <w:ind w:left="-899" w:right="200" w:firstLine="899"/>
        <w:spacing w:after="0" w:line="277" w:lineRule="auto"/>
        <w:tabs>
          <w:tab w:leader="none" w:pos="2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as to the Series F Preferred Stock, $1,000 per share (as adjusted for any split, subdivision, combination, consolidation, recapitalization or similar event with respect to the Series F Preferred Stock).</w:t>
      </w:r>
    </w:p>
    <w:p>
      <w:pPr>
        <w:spacing w:after="0" w:line="130" w:lineRule="exact"/>
        <w:rPr>
          <w:sz w:val="20"/>
          <w:szCs w:val="20"/>
          <w:color w:val="auto"/>
        </w:rPr>
      </w:pPr>
    </w:p>
    <w:p>
      <w:pPr>
        <w:ind w:left="-899" w:right="140" w:firstLine="899"/>
        <w:spacing w:after="0" w:line="308" w:lineRule="auto"/>
        <w:tabs>
          <w:tab w:leader="none" w:pos="317"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London Banking Day</w:t>
      </w:r>
      <w:r>
        <w:rPr>
          <w:rFonts w:ascii="Arial" w:cs="Arial" w:eastAsia="Arial" w:hAnsi="Arial"/>
          <w:sz w:val="17"/>
          <w:szCs w:val="17"/>
          <w:color w:val="auto"/>
        </w:rPr>
        <w:t>” means any day on which commercial banks are open for general business (including dealings in deposits in U.S. dollars) in London.</w:t>
      </w:r>
    </w:p>
    <w:p>
      <w:pPr>
        <w:spacing w:after="0" w:line="119" w:lineRule="exact"/>
        <w:rPr>
          <w:rFonts w:ascii="Arial" w:cs="Arial" w:eastAsia="Arial" w:hAnsi="Arial"/>
          <w:sz w:val="17"/>
          <w:szCs w:val="17"/>
          <w:color w:val="auto"/>
        </w:rPr>
      </w:pPr>
    </w:p>
    <w:p>
      <w:pPr>
        <w:ind w:left="-899" w:right="20" w:firstLine="899"/>
        <w:spacing w:after="0" w:line="270" w:lineRule="auto"/>
        <w:tabs>
          <w:tab w:leader="none" w:pos="337" w:val="left"/>
        </w:tabs>
        <w:numPr>
          <w:ilvl w:val="0"/>
          <w:numId w:val="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Mandatory Conversion Date</w:t>
      </w:r>
      <w:r>
        <w:rPr>
          <w:rFonts w:ascii="Arial" w:cs="Arial" w:eastAsia="Arial" w:hAnsi="Arial"/>
          <w:sz w:val="17"/>
          <w:szCs w:val="17"/>
          <w:color w:val="auto"/>
        </w:rPr>
        <w:t xml:space="preserve">” means, with respect to the shares of Series F Preferred Stock of any Holder, the second Business Day after which the Corporation has received the Stockholder Approvals (or if a Reorganization Event has theretofore been consummated, the date of consummation of such Reorganization Event) necessary to permit such Holder to convert such shares of Series F Preferred Stock into authorized Common Stock without such conversion resulting in a Violation,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Mandatory Conversion Date would otherwise occur on or after an Ex-Date for an issuance or distribution that results in an 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further</w:t>
      </w:r>
      <w:r>
        <w:rPr>
          <w:rFonts w:ascii="Arial" w:cs="Arial" w:eastAsia="Arial" w:hAnsi="Arial"/>
          <w:sz w:val="17"/>
          <w:szCs w:val="17"/>
          <w:color w:val="auto"/>
        </w:rPr>
        <w:t>, that if a Mandatory Conversion Date would otherwise occur but such Holder has not received all accrued and unpaid dividends,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or not declared with respect to any Dividend Period completed prior to such Mandatory Conversion Date, such Mandatory Conversion Date shall instead occur on the first calendar day after such Holder has received all such accrued and unpaid dividends.</w:t>
      </w:r>
    </w:p>
    <w:p>
      <w:pPr>
        <w:sectPr>
          <w:pgSz w:w="11900" w:h="16838" w:orient="portrait"/>
          <w:cols w:equalWidth="0" w:num="1">
            <w:col w:w="10301"/>
          </w:cols>
          <w:pgMar w:left="1219" w:top="1070" w:right="379" w:bottom="1440" w:gutter="0" w:footer="0" w:header="0"/>
        </w:sectPr>
      </w:pPr>
    </w:p>
    <w:bookmarkStart w:id="102" w:name="page103"/>
    <w:bookmarkEnd w:id="102"/>
    <w:p>
      <w:pPr>
        <w:ind w:left="1220" w:hanging="321"/>
        <w:spacing w:after="0"/>
        <w:tabs>
          <w:tab w:leader="none" w:pos="12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has the meaning set forth in Section 2.</w:t>
      </w:r>
    </w:p>
    <w:p>
      <w:pPr>
        <w:spacing w:after="0" w:line="198" w:lineRule="exact"/>
        <w:rPr>
          <w:rFonts w:ascii="Arial" w:cs="Arial" w:eastAsia="Arial" w:hAnsi="Arial"/>
          <w:sz w:val="18"/>
          <w:szCs w:val="18"/>
          <w:color w:val="auto"/>
        </w:rPr>
      </w:pPr>
    </w:p>
    <w:p>
      <w:pPr>
        <w:ind w:left="1240" w:hanging="341"/>
        <w:spacing w:after="0"/>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has the meaning set forth in Section 9(a).</w:t>
      </w:r>
    </w:p>
    <w:p>
      <w:pPr>
        <w:spacing w:after="0" w:line="184" w:lineRule="exact"/>
        <w:rPr>
          <w:rFonts w:ascii="Arial" w:cs="Arial" w:eastAsia="Arial" w:hAnsi="Arial"/>
          <w:sz w:val="18"/>
          <w:szCs w:val="18"/>
          <w:color w:val="auto"/>
        </w:rPr>
      </w:pPr>
    </w:p>
    <w:p>
      <w:pPr>
        <w:ind w:left="1220" w:hanging="321"/>
        <w:spacing w:after="0"/>
        <w:tabs>
          <w:tab w:leader="none" w:pos="12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right="140" w:firstLine="899"/>
        <w:spacing w:after="0" w:line="277" w:lineRule="auto"/>
        <w:tabs>
          <w:tab w:leader="none" w:pos="1172"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43" w:lineRule="exact"/>
        <w:rPr>
          <w:rFonts w:ascii="Arial" w:cs="Arial" w:eastAsia="Arial" w:hAnsi="Arial"/>
          <w:sz w:val="18"/>
          <w:szCs w:val="18"/>
          <w:color w:val="auto"/>
        </w:rPr>
      </w:pPr>
    </w:p>
    <w:p>
      <w:pPr>
        <w:ind w:left="1240" w:hanging="341"/>
        <w:spacing w:after="0"/>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4(d).</w:t>
      </w:r>
    </w:p>
    <w:p>
      <w:pPr>
        <w:spacing w:after="0" w:line="184" w:lineRule="exact"/>
        <w:rPr>
          <w:rFonts w:ascii="Arial" w:cs="Arial" w:eastAsia="Arial" w:hAnsi="Arial"/>
          <w:sz w:val="18"/>
          <w:szCs w:val="18"/>
          <w:color w:val="auto"/>
        </w:rPr>
      </w:pPr>
    </w:p>
    <w:p>
      <w:pPr>
        <w:ind w:left="1240" w:hanging="341"/>
        <w:spacing w:after="0"/>
        <w:tabs>
          <w:tab w:leader="none" w:pos="12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has the meaning set forth in Section 11(a).</w:t>
      </w:r>
    </w:p>
    <w:p>
      <w:pPr>
        <w:spacing w:after="0" w:line="184" w:lineRule="exact"/>
        <w:rPr>
          <w:rFonts w:ascii="Arial" w:cs="Arial" w:eastAsia="Arial" w:hAnsi="Arial"/>
          <w:sz w:val="18"/>
          <w:szCs w:val="18"/>
          <w:color w:val="auto"/>
        </w:rPr>
      </w:pPr>
    </w:p>
    <w:p>
      <w:pPr>
        <w:ind w:left="1160" w:hanging="261"/>
        <w:spacing w:after="0"/>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F Preferred Stock</w:t>
      </w:r>
      <w:r>
        <w:rPr>
          <w:rFonts w:ascii="Arial" w:cs="Arial" w:eastAsia="Arial" w:hAnsi="Arial"/>
          <w:sz w:val="18"/>
          <w:szCs w:val="18"/>
          <w:color w:val="auto"/>
        </w:rPr>
        <w:t>” has the meaning set forth in Section 1.</w:t>
      </w:r>
    </w:p>
    <w:p>
      <w:pPr>
        <w:spacing w:after="0" w:line="198" w:lineRule="exact"/>
        <w:rPr>
          <w:rFonts w:ascii="Arial" w:cs="Arial" w:eastAsia="Arial" w:hAnsi="Arial"/>
          <w:sz w:val="18"/>
          <w:szCs w:val="18"/>
          <w:color w:val="auto"/>
        </w:rPr>
      </w:pPr>
    </w:p>
    <w:p>
      <w:pPr>
        <w:ind w:left="1160" w:hanging="261"/>
        <w:spacing w:after="0"/>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right="260" w:firstLine="899"/>
        <w:spacing w:after="0" w:line="296" w:lineRule="auto"/>
        <w:tabs>
          <w:tab w:leader="none" w:pos="1236" w:val="left"/>
        </w:tabs>
        <w:numPr>
          <w:ilvl w:val="1"/>
          <w:numId w:val="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 Approvals</w:t>
      </w:r>
      <w:r>
        <w:rPr>
          <w:rFonts w:ascii="Arial" w:cs="Arial" w:eastAsia="Arial" w:hAnsi="Arial"/>
          <w:sz w:val="16"/>
          <w:szCs w:val="16"/>
          <w:color w:val="auto"/>
        </w:rPr>
        <w:t>” means all stockholder approvals necessary to (i) approve the conversion of the Series F Preferred Stock into Common Stock for purposes of Rule 5635 of the Nasdaq Stock Market Rules and (ii) amend the Articles of Incorporation to (A) authorize a number of shares of Non-Voting Common Stock sufficient to permit the full conversion of the Series G Preferred Stock into Non-Voting Common Stock and the issuance of certain additional shares of Non-Voting Common Stock and (B) increase the number of authorized shares of Common Stock to at least such number as shall be sufficient to permit the full conversion of the Series F Preferred Stock and the Non-Voting Common Stock.</w:t>
      </w:r>
    </w:p>
    <w:p>
      <w:pPr>
        <w:spacing w:after="0" w:line="120" w:lineRule="exact"/>
        <w:rPr>
          <w:rFonts w:ascii="Arial" w:cs="Arial" w:eastAsia="Arial" w:hAnsi="Arial"/>
          <w:sz w:val="16"/>
          <w:szCs w:val="16"/>
          <w:color w:val="auto"/>
        </w:rPr>
      </w:pPr>
    </w:p>
    <w:p>
      <w:pPr>
        <w:ind w:left="1160" w:hanging="261"/>
        <w:spacing w:after="0"/>
        <w:tabs>
          <w:tab w:leader="none" w:pos="11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w:t>
      </w:r>
    </w:p>
    <w:p>
      <w:pPr>
        <w:spacing w:after="0" w:line="198" w:lineRule="exact"/>
        <w:rPr>
          <w:rFonts w:ascii="Arial" w:cs="Arial" w:eastAsia="Arial" w:hAnsi="Arial"/>
          <w:sz w:val="18"/>
          <w:szCs w:val="18"/>
          <w:color w:val="auto"/>
        </w:rPr>
      </w:pPr>
    </w:p>
    <w:p>
      <w:pPr>
        <w:ind w:left="660" w:hanging="207"/>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are not suspended from trading on any national or regional securities exchange or association or over-the-counter market at the close of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70" w:lineRule="exact"/>
        <w:rPr>
          <w:rFonts w:ascii="Arial" w:cs="Arial" w:eastAsia="Arial" w:hAnsi="Arial"/>
          <w:sz w:val="16"/>
          <w:szCs w:val="16"/>
          <w:color w:val="auto"/>
        </w:rPr>
      </w:pPr>
    </w:p>
    <w:p>
      <w:pPr>
        <w:ind w:right="120" w:firstLine="453"/>
        <w:spacing w:after="0" w:line="277" w:lineRule="auto"/>
        <w:tabs>
          <w:tab w:leader="none" w:pos="7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have traded at least once on the national or regional securities exchange or association or over-the-counter market that is the primary market for the trading of the Common Stock.</w:t>
      </w:r>
    </w:p>
    <w:p>
      <w:pPr>
        <w:spacing w:after="0" w:line="129" w:lineRule="exact"/>
        <w:rPr>
          <w:rFonts w:ascii="Arial" w:cs="Arial" w:eastAsia="Arial" w:hAnsi="Arial"/>
          <w:sz w:val="18"/>
          <w:szCs w:val="18"/>
          <w:color w:val="auto"/>
        </w:rPr>
      </w:pPr>
    </w:p>
    <w:p>
      <w:pPr>
        <w:ind w:left="1340" w:hanging="441"/>
        <w:spacing w:after="0"/>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Violation</w:t>
      </w:r>
      <w:r>
        <w:rPr>
          <w:rFonts w:ascii="Arial" w:cs="Arial" w:eastAsia="Arial" w:hAnsi="Arial"/>
          <w:sz w:val="18"/>
          <w:szCs w:val="18"/>
          <w:color w:val="auto"/>
        </w:rPr>
        <w:t>” means a violation of the stockholder approval requirements of Rule 5635 of the Nasdaq Stock Market Rules.</w:t>
      </w:r>
    </w:p>
    <w:p>
      <w:pPr>
        <w:spacing w:after="0" w:line="198" w:lineRule="exact"/>
        <w:rPr>
          <w:rFonts w:ascii="Arial" w:cs="Arial" w:eastAsia="Arial" w:hAnsi="Arial"/>
          <w:sz w:val="18"/>
          <w:szCs w:val="18"/>
          <w:color w:val="auto"/>
        </w:rPr>
      </w:pPr>
    </w:p>
    <w:p>
      <w:pPr>
        <w:ind w:left="1240" w:hanging="341"/>
        <w:spacing w:after="0"/>
        <w:tabs>
          <w:tab w:leader="none" w:pos="12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has the meaning set forth in the BHC Act and any rules or regulations promulgated thereunder.</w:t>
      </w:r>
    </w:p>
    <w:p>
      <w:pPr>
        <w:spacing w:after="0" w:line="185" w:lineRule="exact"/>
        <w:rPr>
          <w:sz w:val="20"/>
          <w:szCs w:val="20"/>
          <w:color w:val="auto"/>
        </w:rPr>
      </w:pPr>
    </w:p>
    <w:p>
      <w:pPr>
        <w:ind w:right="180" w:firstLine="891"/>
        <w:spacing w:after="0" w:line="263" w:lineRule="auto"/>
        <w:rPr>
          <w:sz w:val="20"/>
          <w:szCs w:val="20"/>
          <w:color w:val="auto"/>
        </w:rPr>
      </w:pPr>
      <w:r>
        <w:rPr>
          <w:rFonts w:ascii="Arial" w:cs="Arial" w:eastAsia="Arial" w:hAnsi="Arial"/>
          <w:sz w:val="18"/>
          <w:szCs w:val="18"/>
          <w:i w:val="1"/>
          <w:iCs w:val="1"/>
          <w:color w:val="auto"/>
        </w:rPr>
        <w:t xml:space="preserve">Section 4. Dividends. </w:t>
      </w:r>
      <w:r>
        <w:rPr>
          <w:rFonts w:ascii="Arial" w:cs="Arial" w:eastAsia="Arial" w:hAnsi="Arial"/>
          <w:sz w:val="18"/>
          <w:szCs w:val="18"/>
          <w:color w:val="auto"/>
        </w:rPr>
        <w:t>(a) From and after the Effective Date, the Holders shall be entitled to receive, when, as and if declared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a duly authorized committee of the Board of Directors, out of funds legally available therefor, cumulative dividends of the type and in the amounts determined as set forth in this Section 4, and no more.</w:t>
      </w:r>
    </w:p>
    <w:p>
      <w:pPr>
        <w:spacing w:after="0" w:line="143" w:lineRule="exact"/>
        <w:rPr>
          <w:sz w:val="20"/>
          <w:szCs w:val="20"/>
          <w:color w:val="auto"/>
        </w:rPr>
      </w:pPr>
    </w:p>
    <w:p>
      <w:pPr>
        <w:ind w:firstLine="899"/>
        <w:spacing w:after="0" w:line="254" w:lineRule="auto"/>
        <w:tabs>
          <w:tab w:leader="none" w:pos="11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Commencing on the Effective Date, dividends shall accrue and shall be payable semi-annually in arrears on March 30th and September 30th of each year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F Preferred Stock, payable in cash at an annual rate equal to the Dividend Rate multiplied by the sum of (i) the Liquidation Preference plus (ii) all accrued and unpaid dividends for any prior Dividend Period that are payable on such share of Series F Preferred Stock, payable in cash (such dividend, the “</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As-Converted Dividend for such Dividend Period is greater than the Dividend, each outstanding share of Series F Preferred Stock shall be entitled to receive, when and as declared by the Board of Directors, the As-Converted Dividend rather than the Dividend.</w:t>
      </w:r>
    </w:p>
    <w:p>
      <w:pPr>
        <w:spacing w:after="0" w:line="164" w:lineRule="exact"/>
        <w:rPr>
          <w:rFonts w:ascii="Arial" w:cs="Arial" w:eastAsia="Arial" w:hAnsi="Arial"/>
          <w:sz w:val="18"/>
          <w:szCs w:val="18"/>
          <w:color w:val="auto"/>
        </w:rPr>
      </w:pPr>
    </w:p>
    <w:p>
      <w:pPr>
        <w:ind w:right="160" w:firstLine="899"/>
        <w:spacing w:after="0" w:line="259" w:lineRule="auto"/>
        <w:tabs>
          <w:tab w:leader="none" w:pos="1136"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 360. 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8"/>
          <w:szCs w:val="18"/>
          <w:u w:val="single" w:color="auto"/>
          <w:color w:val="auto"/>
        </w:rPr>
        <w:t>Dividend Period</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right="140" w:firstLine="899"/>
        <w:spacing w:after="0" w:line="263" w:lineRule="auto"/>
        <w:tabs>
          <w:tab w:leader="none" w:pos="114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dividend will be payable to Holders of record as they appear in the records of the Corporation on the applicable record date (each, a “</w:t>
      </w:r>
      <w:r>
        <w:rPr>
          <w:rFonts w:ascii="Arial" w:cs="Arial" w:eastAsia="Arial" w:hAnsi="Arial"/>
          <w:sz w:val="18"/>
          <w:szCs w:val="18"/>
          <w:u w:val="single" w:color="auto"/>
          <w:color w:val="auto"/>
        </w:rPr>
        <w:t>Record Date</w:t>
      </w:r>
      <w:r>
        <w:rPr>
          <w:rFonts w:ascii="Arial" w:cs="Arial" w:eastAsia="Arial" w:hAnsi="Arial"/>
          <w:sz w:val="18"/>
          <w:szCs w:val="18"/>
          <w:color w:val="auto"/>
        </w:rPr>
        <w:t>”), which with respect to dividends payable pursuant to this Section 4, shall be on the fifteenth day of the month immediately prior to the month in which the relevant Dividend Payment Date occurs.</w:t>
      </w:r>
    </w:p>
    <w:p>
      <w:pPr>
        <w:sectPr>
          <w:pgSz w:w="11900" w:h="16838" w:orient="portrait"/>
          <w:cols w:equalWidth="0" w:num="1">
            <w:col w:w="11180"/>
          </w:cols>
          <w:pgMar w:left="320" w:top="1070" w:right="399" w:bottom="1440" w:gutter="0" w:footer="0" w:header="0"/>
        </w:sectPr>
      </w:pPr>
    </w:p>
    <w:bookmarkStart w:id="103" w:name="page104"/>
    <w:bookmarkEnd w:id="103"/>
    <w:p>
      <w:pPr>
        <w:ind w:right="100" w:firstLine="899"/>
        <w:spacing w:after="0" w:line="257" w:lineRule="auto"/>
        <w:tabs>
          <w:tab w:leader="none" w:pos="1136"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Dividends on the Series F Preferred Stock are cumulative. Such dividends shall begin to accrue and be cumulative from the Effective Date (in the case of the shares of Series F Preferred Stock issued on the Effective Date), shall compound at the relevant rate on each subsequent Dividend Payment Date (</w:t>
      </w:r>
      <w:r>
        <w:rPr>
          <w:rFonts w:ascii="Arial" w:cs="Arial" w:eastAsia="Arial" w:hAnsi="Arial"/>
          <w:sz w:val="18"/>
          <w:szCs w:val="18"/>
          <w:i w:val="1"/>
          <w:iCs w:val="1"/>
          <w:color w:val="auto"/>
        </w:rPr>
        <w:t>i.e.</w:t>
      </w:r>
      <w:r>
        <w:rPr>
          <w:rFonts w:ascii="Arial" w:cs="Arial" w:eastAsia="Arial" w:hAnsi="Arial"/>
          <w:sz w:val="18"/>
          <w:szCs w:val="18"/>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60" w:lineRule="exact"/>
        <w:rPr>
          <w:rFonts w:ascii="Arial" w:cs="Arial" w:eastAsia="Arial" w:hAnsi="Arial"/>
          <w:sz w:val="18"/>
          <w:szCs w:val="18"/>
          <w:color w:val="auto"/>
        </w:rPr>
      </w:pPr>
    </w:p>
    <w:p>
      <w:pPr>
        <w:ind w:right="220" w:firstLine="899"/>
        <w:spacing w:after="0" w:line="286" w:lineRule="auto"/>
        <w:tabs>
          <w:tab w:leader="none" w:pos="1116" w:val="left"/>
        </w:tabs>
        <w:numPr>
          <w:ilvl w:val="1"/>
          <w:numId w:val="89"/>
        </w:numPr>
        <w:rPr>
          <w:rFonts w:ascii="Arial" w:cs="Arial" w:eastAsia="Arial" w:hAnsi="Arial"/>
          <w:sz w:val="16"/>
          <w:szCs w:val="16"/>
          <w:color w:val="auto"/>
        </w:rPr>
      </w:pPr>
      <w:r>
        <w:rPr>
          <w:rFonts w:ascii="Arial" w:cs="Arial" w:eastAsia="Arial" w:hAnsi="Arial"/>
          <w:sz w:val="16"/>
          <w:szCs w:val="16"/>
          <w:color w:val="auto"/>
        </w:rPr>
        <w:t>So long as any shares of Series F Preferred Stock remain outstanding, if all dividends payable pursuant to Section 4 on all outstanding shares of the Series F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w:t>
      </w:r>
    </w:p>
    <w:p>
      <w:pPr>
        <w:spacing w:after="0" w:line="1" w:lineRule="exact"/>
        <w:rPr>
          <w:rFonts w:ascii="Arial" w:cs="Arial" w:eastAsia="Arial" w:hAnsi="Arial"/>
          <w:sz w:val="16"/>
          <w:szCs w:val="16"/>
          <w:color w:val="auto"/>
        </w:rPr>
      </w:pPr>
    </w:p>
    <w:p>
      <w:pPr>
        <w:ind w:firstLine="8"/>
        <w:spacing w:after="0" w:line="284" w:lineRule="auto"/>
        <w:tabs>
          <w:tab w:leader="none" w:pos="215"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F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F Preferred Stock and such Parity Securities on such date or dates, as the case may be, shall be declared pro rata so that the respective amounts of such dividends shall bear the same ratio to each other as full semi-annual dividends per share payable on the shares of the Series F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131" w:lineRule="exact"/>
        <w:rPr>
          <w:rFonts w:ascii="Arial" w:cs="Arial" w:eastAsia="Arial" w:hAnsi="Arial"/>
          <w:sz w:val="16"/>
          <w:szCs w:val="16"/>
          <w:color w:val="auto"/>
        </w:rPr>
      </w:pPr>
    </w:p>
    <w:p>
      <w:pPr>
        <w:ind w:firstLine="899"/>
        <w:spacing w:after="0" w:line="279" w:lineRule="auto"/>
        <w:tabs>
          <w:tab w:leader="none" w:pos="1146" w:val="left"/>
        </w:tabs>
        <w:numPr>
          <w:ilvl w:val="1"/>
          <w:numId w:val="90"/>
        </w:numPr>
        <w:rPr>
          <w:rFonts w:ascii="Arial" w:cs="Arial" w:eastAsia="Arial" w:hAnsi="Arial"/>
          <w:sz w:val="17"/>
          <w:szCs w:val="17"/>
          <w:color w:val="auto"/>
        </w:rPr>
      </w:pPr>
      <w:r>
        <w:rPr>
          <w:rFonts w:ascii="Arial" w:cs="Arial" w:eastAsia="Arial" w:hAnsi="Arial"/>
          <w:sz w:val="17"/>
          <w:szCs w:val="17"/>
          <w:color w:val="auto"/>
        </w:rPr>
        <w:t>If the Mandatory Conversion Date with respect to any share of Series F Preferred Stock is prior to the Dividend Payment Date applicable to any Dividend Period, the Holder of such share of Series F Preferred Stock will not have the right to receive any dividends on the Series F Preferred Stock with respect to such Dividend Period, provided that this provision shall not affect any rights to receive any accrued but unpaid dividends on the Series F Preferred Stock attributable to any Dividend Period completed prior to the Mandatory Conversion Date.</w:t>
      </w:r>
    </w:p>
    <w:p>
      <w:pPr>
        <w:spacing w:after="0" w:line="130" w:lineRule="exact"/>
        <w:rPr>
          <w:rFonts w:ascii="Arial" w:cs="Arial" w:eastAsia="Arial" w:hAnsi="Arial"/>
          <w:sz w:val="17"/>
          <w:szCs w:val="17"/>
          <w:color w:val="auto"/>
        </w:rPr>
      </w:pPr>
    </w:p>
    <w:p>
      <w:pPr>
        <w:ind w:right="280" w:firstLine="899"/>
        <w:spacing w:after="0" w:line="259" w:lineRule="auto"/>
        <w:tabs>
          <w:tab w:leader="none" w:pos="1143"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pacing w:after="0" w:line="160" w:lineRule="exact"/>
        <w:rPr>
          <w:sz w:val="20"/>
          <w:szCs w:val="20"/>
          <w:color w:val="auto"/>
        </w:rPr>
      </w:pPr>
    </w:p>
    <w:p>
      <w:pPr>
        <w:ind w:right="80" w:firstLine="891"/>
        <w:spacing w:after="0" w:line="254" w:lineRule="auto"/>
        <w:rPr>
          <w:sz w:val="20"/>
          <w:szCs w:val="20"/>
          <w:color w:val="auto"/>
        </w:rPr>
      </w:pPr>
      <w:r>
        <w:rPr>
          <w:rFonts w:ascii="Arial" w:cs="Arial" w:eastAsia="Arial" w:hAnsi="Arial"/>
          <w:sz w:val="18"/>
          <w:szCs w:val="18"/>
          <w:i w:val="1"/>
          <w:iCs w:val="1"/>
          <w:color w:val="auto"/>
        </w:rPr>
        <w:t xml:space="preserve">Section 5. Liquidation. </w:t>
      </w:r>
      <w:r>
        <w:rPr>
          <w:rFonts w:ascii="Arial" w:cs="Arial" w:eastAsia="Arial" w:hAnsi="Arial"/>
          <w:sz w:val="18"/>
          <w:szCs w:val="18"/>
          <w:color w:val="auto"/>
        </w:rPr>
        <w:t>(a) In the event the Corporation voluntarily or involuntarily liquidates, dissolves or winds up, the Holders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entitled to receive liquidating distributions in an amount equal to the greater of (i) the Liquidation Preference per share of Series F Preferred Stock plus an amount equal to any accrued but unpaid dividends, whether or not declared, thereon to and including the date of such liquidation and (ii) the payment or distribution to which such Holders would have been entitled if the Series F Preferred Stock were converted into Common Stock (assuming receipt of the Stockholder Approvals)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51" w:lineRule="exact"/>
        <w:rPr>
          <w:sz w:val="20"/>
          <w:szCs w:val="20"/>
          <w:color w:val="auto"/>
        </w:rPr>
      </w:pPr>
    </w:p>
    <w:p>
      <w:pPr>
        <w:ind w:right="20" w:firstLine="899"/>
        <w:spacing w:after="0" w:line="259" w:lineRule="auto"/>
        <w:tabs>
          <w:tab w:leader="none" w:pos="11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F Preferred Stock and the corresponding amounts payable on any Parity Securities, Holders and the holders of such Parity Securities shall share ratably in any distribution of</w:t>
      </w:r>
    </w:p>
    <w:p>
      <w:pPr>
        <w:sectPr>
          <w:pgSz w:w="11900" w:h="16838" w:orient="portrait"/>
          <w:cols w:equalWidth="0" w:num="1">
            <w:col w:w="11220"/>
          </w:cols>
          <w:pgMar w:left="320" w:top="1070"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assets of the Corporation in proportion to the full respective liquidating distributions to which they would otherwise be respectively entitled.</w:t>
      </w:r>
    </w:p>
    <w:p>
      <w:pPr>
        <w:spacing w:after="0" w:line="198" w:lineRule="exact"/>
        <w:rPr>
          <w:sz w:val="20"/>
          <w:szCs w:val="20"/>
          <w:color w:val="auto"/>
        </w:rPr>
      </w:pPr>
    </w:p>
    <w:p>
      <w:pPr>
        <w:jc w:val="both"/>
        <w:ind w:right="380" w:firstLine="899"/>
        <w:spacing w:after="0" w:line="342" w:lineRule="auto"/>
        <w:tabs>
          <w:tab w:leader="none" w:pos="113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Section 6. Maturity</w:t>
      </w:r>
      <w:r>
        <w:rPr>
          <w:rFonts w:ascii="Arial" w:cs="Arial" w:eastAsia="Arial" w:hAnsi="Arial"/>
          <w:sz w:val="17"/>
          <w:szCs w:val="17"/>
          <w:color w:val="auto"/>
        </w:rPr>
        <w:t>. The Series F Preferred Stock shall be perpetual unless converted in accordance with this Certificate of Designations.</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7. Redemptions</w:t>
      </w:r>
      <w:r>
        <w:rPr>
          <w:rFonts w:ascii="Arial" w:cs="Arial" w:eastAsia="Arial" w:hAnsi="Arial"/>
          <w:sz w:val="18"/>
          <w:szCs w:val="18"/>
          <w:color w:val="auto"/>
        </w:rPr>
        <w:t>.</w:t>
      </w:r>
    </w:p>
    <w:p>
      <w:pPr>
        <w:spacing w:after="0" w:line="198" w:lineRule="exact"/>
        <w:rPr>
          <w:sz w:val="20"/>
          <w:szCs w:val="20"/>
          <w:color w:val="auto"/>
        </w:rPr>
      </w:pPr>
    </w:p>
    <w:p>
      <w:pPr>
        <w:ind w:right="280" w:firstLine="899"/>
        <w:spacing w:after="0" w:line="286" w:lineRule="auto"/>
        <w:tabs>
          <w:tab w:leader="none" w:pos="1135" w:val="left"/>
        </w:tabs>
        <w:numPr>
          <w:ilvl w:val="1"/>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Optional Redemption</w:t>
      </w:r>
      <w:r>
        <w:rPr>
          <w:rFonts w:ascii="Arial" w:cs="Arial" w:eastAsia="Arial" w:hAnsi="Arial"/>
          <w:sz w:val="16"/>
          <w:szCs w:val="16"/>
          <w:color w:val="auto"/>
        </w:rPr>
        <w:t>. The Series F Preferred Stock may not be redeemed by the Corporation prior to December 31, 2015.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Corporation, at its option, may redeem in whole at any time the shares of Series F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w:t>
      </w:r>
    </w:p>
    <w:p>
      <w:pPr>
        <w:spacing w:after="0" w:line="1" w:lineRule="exact"/>
        <w:rPr>
          <w:rFonts w:ascii="Arial" w:cs="Arial" w:eastAsia="Arial" w:hAnsi="Arial"/>
          <w:sz w:val="16"/>
          <w:szCs w:val="16"/>
          <w:color w:val="auto"/>
        </w:rPr>
      </w:pPr>
    </w:p>
    <w:p>
      <w:pPr>
        <w:ind w:right="160" w:firstLine="8"/>
        <w:spacing w:after="0" w:line="270" w:lineRule="auto"/>
        <w:tabs>
          <w:tab w:leader="none" w:pos="265" w:val="left"/>
        </w:tabs>
        <w:numPr>
          <w:ilvl w:val="0"/>
          <w:numId w:val="94"/>
        </w:numPr>
        <w:rPr>
          <w:rFonts w:ascii="Arial" w:cs="Arial" w:eastAsia="Arial" w:hAnsi="Arial"/>
          <w:sz w:val="17"/>
          <w:szCs w:val="17"/>
          <w:color w:val="auto"/>
        </w:rPr>
      </w:pPr>
      <w:r>
        <w:rPr>
          <w:rFonts w:ascii="Arial" w:cs="Arial" w:eastAsia="Arial" w:hAnsi="Arial"/>
          <w:sz w:val="17"/>
          <w:szCs w:val="17"/>
          <w:color w:val="auto"/>
        </w:rPr>
        <w:t>125.0% of (A) the number of shares of Common Stock into which a share of Series F Preferred Stock would be convertible on the Trading Day immediately prior to the date fixed for redemption (assuming receipt of Stockholder Approvals) multiplied by (B) the Closing Price of Common Stock on such Trading Day. The redemption price for any shares of Series F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37" w:lineRule="exact"/>
        <w:rPr>
          <w:rFonts w:ascii="Arial" w:cs="Arial" w:eastAsia="Arial" w:hAnsi="Arial"/>
          <w:sz w:val="17"/>
          <w:szCs w:val="17"/>
          <w:color w:val="auto"/>
        </w:rPr>
      </w:pPr>
    </w:p>
    <w:p>
      <w:pPr>
        <w:ind w:right="100" w:firstLine="899"/>
        <w:spacing w:after="0" w:line="277" w:lineRule="auto"/>
        <w:tabs>
          <w:tab w:leader="none" w:pos="1146" w:val="left"/>
        </w:tabs>
        <w:numPr>
          <w:ilvl w:val="1"/>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No Sinking Fund</w:t>
      </w:r>
      <w:r>
        <w:rPr>
          <w:rFonts w:ascii="Arial" w:cs="Arial" w:eastAsia="Arial" w:hAnsi="Arial"/>
          <w:sz w:val="18"/>
          <w:szCs w:val="18"/>
          <w:color w:val="auto"/>
        </w:rPr>
        <w:t>. The Series F Preferred Stock will not be subject to any mandatory redemption, sinking fund or other similar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Series F Preferred Stock will have no right to require redemption of any shares of Series F Preferred Stock.</w:t>
      </w:r>
    </w:p>
    <w:p>
      <w:pPr>
        <w:spacing w:after="0" w:line="129" w:lineRule="exact"/>
        <w:rPr>
          <w:rFonts w:ascii="Arial" w:cs="Arial" w:eastAsia="Arial" w:hAnsi="Arial"/>
          <w:sz w:val="18"/>
          <w:szCs w:val="18"/>
          <w:color w:val="auto"/>
        </w:rPr>
      </w:pPr>
    </w:p>
    <w:p>
      <w:pPr>
        <w:ind w:right="100" w:firstLine="899"/>
        <w:spacing w:after="0" w:line="269" w:lineRule="auto"/>
        <w:tabs>
          <w:tab w:leader="none" w:pos="1135" w:val="left"/>
        </w:tabs>
        <w:numPr>
          <w:ilvl w:val="1"/>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Notice of every redemption of shares of Series F Preferred Stock shall be given by first class mail, postage prepaid,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addressed 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failure to give such notice by mail, or any defect in such notice or in the mailing thereof, to any Holder of shares of Series F Preferred Stock designated for redemption shall not affect the validity of the proceedings for the redemption of any other shares of Series F Preferred Stock to be so redeemed except as to the Holder to whom the Corporation has failed to give such notice or except as to the Holder to whom notice was defective. Notwithstanding the foregoing, if the Series F Preferred Stock or any depositary shares representing interests in the Series F Preferred Stock are issued in book-entry form through The Depository Trust Company or any other similar facility, notice of redemption may be given to the Holders of Series F Preferred Stock at such time and in any manner permitted by such facility. Each such notice given to a Holder shall state: (1) the redemption date; (2) the number of shares of Series F Preferred Stock to be redeemed; (3) the redemption price (or manner of determination of the redemption price); and (4) the place or places where certificates for such shares are to be surrendered for payment of the redemption price.</w:t>
      </w:r>
    </w:p>
    <w:p>
      <w:pPr>
        <w:spacing w:after="0" w:line="154" w:lineRule="exact"/>
        <w:rPr>
          <w:rFonts w:ascii="Arial" w:cs="Arial" w:eastAsia="Arial" w:hAnsi="Arial"/>
          <w:sz w:val="17"/>
          <w:szCs w:val="17"/>
          <w:color w:val="auto"/>
        </w:rPr>
      </w:pPr>
    </w:p>
    <w:p>
      <w:pPr>
        <w:ind w:firstLine="899"/>
        <w:spacing w:after="0" w:line="287" w:lineRule="auto"/>
        <w:tabs>
          <w:tab w:leader="none" w:pos="1146" w:val="left"/>
        </w:tabs>
        <w:numPr>
          <w:ilvl w:val="1"/>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 before the redemption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date 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 shares. Shares of outstanding Series F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31" w:lineRule="exact"/>
        <w:rPr>
          <w:sz w:val="20"/>
          <w:szCs w:val="20"/>
          <w:color w:val="auto"/>
        </w:rPr>
      </w:pPr>
    </w:p>
    <w:p>
      <w:pPr>
        <w:ind w:right="600" w:firstLine="891"/>
        <w:spacing w:after="0" w:line="277" w:lineRule="auto"/>
        <w:rPr>
          <w:sz w:val="20"/>
          <w:szCs w:val="20"/>
          <w:color w:val="auto"/>
        </w:rPr>
      </w:pPr>
      <w:r>
        <w:rPr>
          <w:rFonts w:ascii="Arial" w:cs="Arial" w:eastAsia="Arial" w:hAnsi="Arial"/>
          <w:sz w:val="18"/>
          <w:szCs w:val="18"/>
          <w:i w:val="1"/>
          <w:iCs w:val="1"/>
          <w:color w:val="auto"/>
        </w:rPr>
        <w:t>Section 8. Mandatory Conversion</w:t>
      </w:r>
      <w:r>
        <w:rPr>
          <w:rFonts w:ascii="Arial" w:cs="Arial" w:eastAsia="Arial" w:hAnsi="Arial"/>
          <w:sz w:val="18"/>
          <w:szCs w:val="18"/>
          <w:color w:val="auto"/>
        </w:rPr>
        <w:t>. Effective as of the close of business on the Mandatory Conversion Date with respect to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Series F Preferred Stock of a Holder, all such Holder’s shares of Series F Preferred Stock shall</w:t>
      </w:r>
    </w:p>
    <w:p>
      <w:pPr>
        <w:sectPr>
          <w:pgSz w:w="11900" w:h="16838" w:orient="portrait"/>
          <w:cols w:equalWidth="0" w:num="1">
            <w:col w:w="11240"/>
          </w:cols>
          <w:pgMar w:left="320" w:top="1070" w:right="339" w:bottom="1440" w:gutter="0" w:footer="0" w:header="0"/>
        </w:sectPr>
      </w:pPr>
    </w:p>
    <w:bookmarkStart w:id="105" w:name="page106"/>
    <w:bookmarkEnd w:id="105"/>
    <w:p>
      <w:pPr>
        <w:ind w:right="40"/>
        <w:spacing w:after="0" w:line="255" w:lineRule="auto"/>
        <w:rPr>
          <w:sz w:val="20"/>
          <w:szCs w:val="20"/>
          <w:color w:val="auto"/>
        </w:rPr>
      </w:pPr>
      <w:r>
        <w:rPr>
          <w:rFonts w:ascii="Arial" w:cs="Arial" w:eastAsia="Arial" w:hAnsi="Arial"/>
          <w:sz w:val="18"/>
          <w:szCs w:val="18"/>
          <w:color w:val="auto"/>
        </w:rPr>
        <w:t xml:space="preserve">automatically convert into shares of Common Stock as set forth below. The number of shares of Common Stock into which a share of Series F Preferred Stock shall be convertible shall be determined by dividing (i) the Liquidation Preference by (ii) the Applicable Conversion Price (subject to the conversion procedures of Section 9 hereof); </w:t>
      </w:r>
      <w:r>
        <w:rPr>
          <w:rFonts w:ascii="Arial" w:cs="Arial" w:eastAsia="Arial" w:hAnsi="Arial"/>
          <w:sz w:val="18"/>
          <w:szCs w:val="18"/>
          <w:u w:val="single" w:color="auto"/>
          <w:color w:val="auto"/>
        </w:rPr>
        <w:t>provided</w:t>
      </w:r>
      <w:r>
        <w:rPr>
          <w:rFonts w:ascii="Arial" w:cs="Arial" w:eastAsia="Arial" w:hAnsi="Arial"/>
          <w:sz w:val="18"/>
          <w:szCs w:val="18"/>
          <w:color w:val="auto"/>
        </w:rPr>
        <w:t>, that the Series F Preferred Stock shall not convert into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9. Conversion Procedures</w:t>
      </w:r>
      <w:r>
        <w:rPr>
          <w:rFonts w:ascii="Arial" w:cs="Arial" w:eastAsia="Arial" w:hAnsi="Arial"/>
          <w:sz w:val="18"/>
          <w:szCs w:val="18"/>
          <w:color w:val="auto"/>
        </w:rPr>
        <w:t>.</w:t>
      </w:r>
    </w:p>
    <w:p>
      <w:pPr>
        <w:spacing w:after="0" w:line="185" w:lineRule="exact"/>
        <w:rPr>
          <w:sz w:val="20"/>
          <w:szCs w:val="20"/>
          <w:color w:val="auto"/>
        </w:rPr>
      </w:pPr>
    </w:p>
    <w:p>
      <w:pPr>
        <w:ind w:right="140" w:firstLine="899"/>
        <w:spacing w:after="0" w:line="263" w:lineRule="auto"/>
        <w:tabs>
          <w:tab w:leader="none" w:pos="1126"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least one Business Day prior to the Mandatory Conversion Date with respect to shares of any Holder, the Corporation shall provide notice of such conversion to such Holder (such notice a “</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In addition to any information required by applicable law or regulation, the Notice of Mandatory Conversion with respect to such Holder shall state, as appropriate:</w:t>
      </w:r>
    </w:p>
    <w:p>
      <w:pPr>
        <w:spacing w:after="0" w:line="143" w:lineRule="exact"/>
        <w:rPr>
          <w:rFonts w:ascii="Arial" w:cs="Arial" w:eastAsia="Arial" w:hAnsi="Arial"/>
          <w:sz w:val="18"/>
          <w:szCs w:val="18"/>
          <w:color w:val="auto"/>
        </w:rPr>
      </w:pPr>
    </w:p>
    <w:p>
      <w:pPr>
        <w:ind w:left="660" w:hanging="207"/>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198" w:lineRule="exact"/>
        <w:rPr>
          <w:rFonts w:ascii="Arial" w:cs="Arial" w:eastAsia="Arial" w:hAnsi="Arial"/>
          <w:sz w:val="18"/>
          <w:szCs w:val="18"/>
          <w:color w:val="auto"/>
        </w:rPr>
      </w:pPr>
    </w:p>
    <w:p>
      <w:pPr>
        <w:ind w:left="720" w:hanging="267"/>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Applicable Conversion Price;</w:t>
      </w:r>
    </w:p>
    <w:p>
      <w:pPr>
        <w:spacing w:after="0" w:line="184" w:lineRule="exact"/>
        <w:rPr>
          <w:rFonts w:ascii="Arial" w:cs="Arial" w:eastAsia="Arial" w:hAnsi="Arial"/>
          <w:sz w:val="18"/>
          <w:szCs w:val="18"/>
          <w:color w:val="auto"/>
        </w:rPr>
      </w:pPr>
    </w:p>
    <w:p>
      <w:pPr>
        <w:ind w:right="240" w:firstLine="453"/>
        <w:spacing w:after="0" w:line="277" w:lineRule="auto"/>
        <w:tabs>
          <w:tab w:leader="none" w:pos="7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number of shares of Common Stock to be issued upon conversion of each share of Series F Preferred Stock held of record by such Holder and subject to such mandatory conversion;</w:t>
      </w:r>
    </w:p>
    <w:p>
      <w:pPr>
        <w:spacing w:after="0" w:line="129" w:lineRule="exact"/>
        <w:rPr>
          <w:rFonts w:ascii="Arial" w:cs="Arial" w:eastAsia="Arial" w:hAnsi="Arial"/>
          <w:sz w:val="18"/>
          <w:szCs w:val="18"/>
          <w:color w:val="auto"/>
        </w:rPr>
      </w:pPr>
    </w:p>
    <w:p>
      <w:pPr>
        <w:ind w:firstLine="453"/>
        <w:spacing w:after="0" w:line="277" w:lineRule="auto"/>
        <w:tabs>
          <w:tab w:leader="none" w:pos="75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certificates are to be issued, the place or places where certificates for shares of Series F Preferred Stock held of record by such Holder are to be surrendered for issuance of certificates representing shares of Common Stock; and</w:t>
      </w:r>
    </w:p>
    <w:p>
      <w:pPr>
        <w:spacing w:after="0" w:line="143" w:lineRule="exact"/>
        <w:rPr>
          <w:rFonts w:ascii="Arial" w:cs="Arial" w:eastAsia="Arial" w:hAnsi="Arial"/>
          <w:sz w:val="18"/>
          <w:szCs w:val="18"/>
          <w:color w:val="auto"/>
        </w:rPr>
      </w:pPr>
    </w:p>
    <w:p>
      <w:pPr>
        <w:ind w:right="200" w:firstLine="453"/>
        <w:spacing w:after="0" w:line="277" w:lineRule="auto"/>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amount of accrued and unpaid dividends to be paid in cash on each share of Series F Preferred Stock held of record by such Holder prior to such mandatory conversion.</w:t>
      </w:r>
    </w:p>
    <w:p>
      <w:pPr>
        <w:spacing w:after="0" w:line="129" w:lineRule="exact"/>
        <w:rPr>
          <w:rFonts w:ascii="Arial" w:cs="Arial" w:eastAsia="Arial" w:hAnsi="Arial"/>
          <w:sz w:val="18"/>
          <w:szCs w:val="18"/>
          <w:color w:val="auto"/>
        </w:rPr>
      </w:pPr>
    </w:p>
    <w:p>
      <w:pPr>
        <w:ind w:right="80" w:firstLine="899"/>
        <w:spacing w:after="0" w:line="275" w:lineRule="auto"/>
        <w:tabs>
          <w:tab w:leader="none" w:pos="1146" w:val="left"/>
        </w:tabs>
        <w:numPr>
          <w:ilvl w:val="1"/>
          <w:numId w:val="96"/>
        </w:numPr>
        <w:rPr>
          <w:rFonts w:ascii="Arial" w:cs="Arial" w:eastAsia="Arial" w:hAnsi="Arial"/>
          <w:sz w:val="17"/>
          <w:szCs w:val="17"/>
          <w:color w:val="auto"/>
        </w:rPr>
      </w:pPr>
      <w:r>
        <w:rPr>
          <w:rFonts w:ascii="Arial" w:cs="Arial" w:eastAsia="Arial" w:hAnsi="Arial"/>
          <w:sz w:val="17"/>
          <w:szCs w:val="17"/>
          <w:color w:val="auto"/>
        </w:rPr>
        <w:t>Effective immediately prior to the close of business on the Mandatory Conversion Date with respect to any shares of Series F Preferred Stock dividends shall no longer be declared on any such shares of Series F Preferred Stock and such shares of Series F Preferred Stock shall cease to be outstanding, in each case, subject to the right of the Holder to receive (i) shares of Common Stock issuable upon such mandatory conversion, (ii) 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35" w:lineRule="exact"/>
        <w:rPr>
          <w:rFonts w:ascii="Arial" w:cs="Arial" w:eastAsia="Arial" w:hAnsi="Arial"/>
          <w:sz w:val="17"/>
          <w:szCs w:val="17"/>
          <w:color w:val="auto"/>
        </w:rPr>
      </w:pPr>
    </w:p>
    <w:p>
      <w:pPr>
        <w:ind w:right="180" w:firstLine="899"/>
        <w:spacing w:after="0" w:line="291" w:lineRule="auto"/>
        <w:tabs>
          <w:tab w:leader="none" w:pos="1136" w:val="left"/>
        </w:tabs>
        <w:numPr>
          <w:ilvl w:val="1"/>
          <w:numId w:val="96"/>
        </w:numPr>
        <w:rPr>
          <w:rFonts w:ascii="Arial" w:cs="Arial" w:eastAsia="Arial" w:hAnsi="Arial"/>
          <w:sz w:val="16"/>
          <w:szCs w:val="16"/>
          <w:color w:val="auto"/>
        </w:rPr>
      </w:pPr>
      <w:r>
        <w:rPr>
          <w:rFonts w:ascii="Arial" w:cs="Arial" w:eastAsia="Arial" w:hAnsi="Arial"/>
          <w:sz w:val="16"/>
          <w:szCs w:val="16"/>
          <w:color w:val="auto"/>
        </w:rPr>
        <w:t>No allowance or adjustment, except pursuant to Section 4 or Section 10, shall be made in respect of dividends payable to holders of the Common Stock of record as of any date prior to the close of business on the Mandatory Conversion Date with respect to any share of Series F Preferred Stock. Prior to the close of business on the Mandatory Conversion Date with respect to any share of Series F Preferred Stock, shares of Common Stock issuable upon conversion thereof, or other securities issuable upon conversion of, such share of Series F Preferred Stock shall not be deemed outstanding for any purpose, and the Holder thereof shall have no rights with respect to the Common Stock or other securities issuable upon conversion (including voting rights, rights to respond to tender offers for the Common Stock or other securities issuable upon conversion and rights to receive any dividends or other distributions on the Common Stock or other securities issuable upon conversion) by virtue of holding such share of Series F Preferred Stock.</w:t>
      </w:r>
    </w:p>
    <w:p>
      <w:pPr>
        <w:spacing w:after="0" w:line="139" w:lineRule="exact"/>
        <w:rPr>
          <w:rFonts w:ascii="Arial" w:cs="Arial" w:eastAsia="Arial" w:hAnsi="Arial"/>
          <w:sz w:val="16"/>
          <w:szCs w:val="16"/>
          <w:color w:val="auto"/>
        </w:rPr>
      </w:pPr>
    </w:p>
    <w:p>
      <w:pPr>
        <w:ind w:firstLine="899"/>
        <w:spacing w:after="0" w:line="257" w:lineRule="auto"/>
        <w:tabs>
          <w:tab w:leader="none" w:pos="1146"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Shares of Series F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Corporation shall not take any such action if such action would reduce the authorized number of shares of Series F Preferred Stock below</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of Series F Preferred Stock then outstanding.</w:t>
      </w:r>
    </w:p>
    <w:p>
      <w:pPr>
        <w:spacing w:after="0" w:line="147" w:lineRule="exact"/>
        <w:rPr>
          <w:rFonts w:ascii="Arial" w:cs="Arial" w:eastAsia="Arial" w:hAnsi="Arial"/>
          <w:sz w:val="18"/>
          <w:szCs w:val="18"/>
          <w:color w:val="auto"/>
        </w:rPr>
      </w:pPr>
    </w:p>
    <w:p>
      <w:pPr>
        <w:ind w:right="40" w:firstLine="899"/>
        <w:spacing w:after="0" w:line="293" w:lineRule="auto"/>
        <w:tabs>
          <w:tab w:leader="none" w:pos="1132"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Stock and/or cash, securities or other property issuable upon conversion of Series F Preferred Stock shall be treated for all purposes as the record holder(s) of such shares of Common Stock and/or securities as of the close of business on the Mandatory Conversion Date with respect thereto. In the event that a Holder shall not by written notice designate the name in which shares of Common Stock and/or cash, securities or other property (including payments of cash in lieu of fractional shares) to be issued or paid upon conversion of shares of Series F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ectPr>
          <w:pgSz w:w="11900" w:h="16838" w:orient="portrait"/>
          <w:cols w:equalWidth="0" w:num="1">
            <w:col w:w="11200"/>
          </w:cols>
          <w:pgMar w:left="320" w:top="1070" w:right="379" w:bottom="1440" w:gutter="0" w:footer="0" w:header="0"/>
        </w:sectPr>
      </w:pPr>
    </w:p>
    <w:bookmarkStart w:id="106" w:name="page107"/>
    <w:bookmarkEnd w:id="106"/>
    <w:p>
      <w:pPr>
        <w:ind w:right="40" w:firstLine="899"/>
        <w:spacing w:after="0" w:line="279" w:lineRule="auto"/>
        <w:tabs>
          <w:tab w:leader="none" w:pos="1116"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 the Mandatory Conversion Date with respect to any share of Series F Preferred Stock, certificates representing shares of Common Stock shall be issued and delivered to the Holder thereof or such Holder’s designee (or, at the Corporation’s option such shares shall be registered in book-entry form) upon presentation and surrender of the certificate evidencing the Series F Preferred Stock to the Corporation and, if required, the furnishing of appropriate endorsements and transfer documents and the payment of all transfer and similar taxes.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10. Anti-Dilution Adjustments</w:t>
      </w:r>
      <w:r>
        <w:rPr>
          <w:rFonts w:ascii="Arial" w:cs="Arial" w:eastAsia="Arial" w:hAnsi="Arial"/>
          <w:sz w:val="18"/>
          <w:szCs w:val="18"/>
          <w:color w:val="auto"/>
        </w:rPr>
        <w:t>.</w:t>
      </w:r>
    </w:p>
    <w:p>
      <w:pPr>
        <w:spacing w:after="0" w:line="185" w:lineRule="exact"/>
        <w:rPr>
          <w:sz w:val="20"/>
          <w:szCs w:val="20"/>
          <w:color w:val="auto"/>
        </w:rPr>
      </w:pPr>
    </w:p>
    <w:p>
      <w:pPr>
        <w:ind w:left="1140" w:hanging="241"/>
        <w:spacing w:after="0"/>
        <w:tabs>
          <w:tab w:leader="none" w:pos="11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Conversion Price shall be subject to the following adjustments:</w:t>
      </w:r>
    </w:p>
    <w:p>
      <w:pPr>
        <w:spacing w:after="0" w:line="184" w:lineRule="exact"/>
        <w:rPr>
          <w:rFonts w:ascii="Arial" w:cs="Arial" w:eastAsia="Arial" w:hAnsi="Arial"/>
          <w:sz w:val="18"/>
          <w:szCs w:val="18"/>
          <w:color w:val="auto"/>
        </w:rPr>
      </w:pPr>
    </w:p>
    <w:p>
      <w:pPr>
        <w:ind w:firstLine="453"/>
        <w:spacing w:after="0" w:line="263"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57"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OS0</w:t>
      </w:r>
    </w:p>
    <w:p>
      <w:pPr>
        <w:spacing w:after="0" w:line="18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OS1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OS0 = the number of shares of Company Common Stock outstanding immediately prior to Ex-Date for such dividend or distribution.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OS1 = the sum of the number of shares of Company Common Stock outstanding immediately prior to the Ex-Date for such dividend or distribution plus the total number of shares of Company Common Stock constituting such dividend or distribution.</w:t>
      </w:r>
    </w:p>
    <w:p>
      <w:pPr>
        <w:spacing w:after="0" w:line="13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F Preferred Stock).</w:t>
      </w:r>
    </w:p>
    <w:p>
      <w:pPr>
        <w:spacing w:after="0" w:line="161" w:lineRule="exact"/>
        <w:rPr>
          <w:sz w:val="20"/>
          <w:szCs w:val="20"/>
          <w:color w:val="auto"/>
        </w:rPr>
      </w:pPr>
    </w:p>
    <w:p>
      <w:pPr>
        <w:ind w:right="120" w:firstLine="453"/>
        <w:spacing w:after="0" w:line="263" w:lineRule="auto"/>
        <w:tabs>
          <w:tab w:leader="none" w:pos="71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Company Common Stock</w:t>
      </w:r>
      <w:r>
        <w:rPr>
          <w:rFonts w:ascii="Arial" w:cs="Arial" w:eastAsia="Arial" w:hAnsi="Arial"/>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OS0</w:t>
      </w:r>
    </w:p>
    <w:p>
      <w:pPr>
        <w:spacing w:after="0" w:line="18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OS1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OS0 = the number of shares of Company Common Stock outstanding immediately prior to the effective date of such share subdivision, split or combination.</w:t>
      </w:r>
    </w:p>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OS1 = the number of shares of Company Common Stock outstanding immediately after the opening of business on the effective date of such share subdivision, split or combination.</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F Preferred Stock).</w:t>
      </w:r>
    </w:p>
    <w:p>
      <w:pPr>
        <w:spacing w:after="0" w:line="152" w:lineRule="exact"/>
        <w:rPr>
          <w:sz w:val="20"/>
          <w:szCs w:val="20"/>
          <w:color w:val="auto"/>
        </w:rPr>
      </w:pPr>
    </w:p>
    <w:p>
      <w:pPr>
        <w:ind w:right="60" w:firstLine="453"/>
        <w:spacing w:after="0" w:line="259" w:lineRule="auto"/>
        <w:tabs>
          <w:tab w:leader="none" w:pos="7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Issuance of Stock Purchase Rights</w:t>
      </w:r>
      <w:r>
        <w:rPr>
          <w:rFonts w:ascii="Arial" w:cs="Arial" w:eastAsia="Arial" w:hAnsi="Arial"/>
          <w:sz w:val="18"/>
          <w:szCs w:val="18"/>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as amended, between the Corporation and Illinois Stock Transfer Company) entitling them to</w:t>
      </w:r>
    </w:p>
    <w:p>
      <w:pPr>
        <w:sectPr>
          <w:pgSz w:w="11900" w:h="16838" w:orient="portrait"/>
          <w:cols w:equalWidth="0" w:num="1">
            <w:col w:w="11240"/>
          </w:cols>
          <w:pgMar w:left="320" w:top="1070" w:right="339" w:bottom="1440" w:gutter="0" w:footer="0" w:header="0"/>
        </w:sectPr>
      </w:pPr>
    </w:p>
    <w:bookmarkStart w:id="107" w:name="page108"/>
    <w:bookmarkEnd w:id="107"/>
    <w:p>
      <w:pPr>
        <w:ind w:right="240"/>
        <w:spacing w:after="0" w:line="263" w:lineRule="auto"/>
        <w:rPr>
          <w:sz w:val="20"/>
          <w:szCs w:val="20"/>
          <w:color w:val="auto"/>
        </w:rPr>
      </w:pPr>
      <w:r>
        <w:rPr>
          <w:rFonts w:ascii="Arial" w:cs="Arial" w:eastAsia="Arial" w:hAnsi="Arial"/>
          <w:sz w:val="18"/>
          <w:szCs w:val="18"/>
          <w:color w:val="auto"/>
        </w:rPr>
        <w:t>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57"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OS0+Y</w:t>
      </w:r>
    </w:p>
    <w:p>
      <w:pPr>
        <w:spacing w:after="0" w:line="14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OS0+X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OS0 = the number of shares of Company Common Stock outstanding immediately prior to the Ex-Date for such distribution.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 = the total number of shares of Company Common Stock issuable pursuant to such rights or warrants.</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Y = 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F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38" w:lineRule="exact"/>
        <w:rPr>
          <w:sz w:val="20"/>
          <w:szCs w:val="20"/>
          <w:color w:val="auto"/>
        </w:rPr>
      </w:pPr>
    </w:p>
    <w:p>
      <w:pPr>
        <w:ind w:right="200" w:firstLine="453"/>
        <w:spacing w:after="0" w:line="272" w:lineRule="auto"/>
        <w:tabs>
          <w:tab w:leader="none" w:pos="75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Debt or Asset Distributions</w:t>
      </w:r>
      <w:r>
        <w:rPr>
          <w:rFonts w:ascii="Arial" w:cs="Arial" w:eastAsia="Arial" w:hAnsi="Arial"/>
          <w:sz w:val="17"/>
          <w:szCs w:val="17"/>
          <w:color w:val="auto"/>
        </w:rPr>
        <w:t>. If the Corporation distributes to all or substantially all holders of shares of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then the Conversion Price in effect immediately prior to the Ex-Date for such distribution will be multiplied by the following fraction: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SP0 – FMV</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SP0 = the Current Market Price per share of Common Stock on such date.</w:t>
      </w:r>
    </w:p>
    <w:p>
      <w:pPr>
        <w:spacing w:after="0" w:line="185"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FMV = the fair market value of the portion of the distribution applicable to one share of Common Stock on such date as determined in good faith by the Board of Directors.</w:t>
      </w:r>
    </w:p>
    <w:p>
      <w:pPr>
        <w:sectPr>
          <w:pgSz w:w="11900" w:h="16838" w:orient="portrait"/>
          <w:cols w:equalWidth="0" w:num="1">
            <w:col w:w="11240"/>
          </w:cols>
          <w:pgMar w:left="320" w:top="1070" w:right="339" w:bottom="1440" w:gutter="0" w:footer="0" w:header="0"/>
        </w:sectPr>
      </w:pPr>
    </w:p>
    <w:bookmarkStart w:id="108" w:name="page109"/>
    <w:bookmarkEnd w:id="108"/>
    <w:p>
      <w:pPr>
        <w:ind w:right="100"/>
        <w:spacing w:after="0" w:line="311" w:lineRule="auto"/>
        <w:rPr>
          <w:sz w:val="20"/>
          <w:szCs w:val="20"/>
          <w:color w:val="auto"/>
        </w:rPr>
      </w:pPr>
      <w:r>
        <w:rPr>
          <w:rFonts w:ascii="Arial" w:cs="Arial" w:eastAsia="Arial" w:hAnsi="Arial"/>
          <w:sz w:val="16"/>
          <w:szCs w:val="16"/>
          <w:color w:val="auto"/>
        </w:rPr>
        <w:t>In a “spin-off”, where the Corporation makes a distribution to all holders of shares of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MP0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MP0+ MPs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MP0 = the average of the Closing Prices of the Common Stock over the first ten Trading Days commencing on and including the fifth Trading Day following the effective date of such distribution.</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MPs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4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giving effect to any intervening adjustments that may have been made with respect to the Series F Preferred Stock).</w:t>
      </w:r>
    </w:p>
    <w:p>
      <w:pPr>
        <w:spacing w:after="0" w:line="146" w:lineRule="exact"/>
        <w:rPr>
          <w:sz w:val="20"/>
          <w:szCs w:val="20"/>
          <w:color w:val="auto"/>
        </w:rPr>
      </w:pPr>
    </w:p>
    <w:p>
      <w:pPr>
        <w:ind w:firstLine="453"/>
        <w:spacing w:after="0" w:line="255"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Cash Distributions</w:t>
      </w:r>
      <w:r>
        <w:rPr>
          <w:rFonts w:ascii="Arial" w:cs="Arial" w:eastAsia="Arial" w:hAnsi="Arial"/>
          <w:sz w:val="18"/>
          <w:szCs w:val="18"/>
          <w:color w:val="auto"/>
        </w:rPr>
        <w:t>. If the Corporation makes a distribution consisting exclusively of cash to all holders of the Common Stock, excluding (a) any cash dividend on the Common Stock to the extent a corresponding cash dividend pursuant to Section 4 is paid on the Series F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SP0 – DIV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SP0 = the Closing Price per share of Common Stock on the Trading Day immediately preceding the Ex-Date.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DIV = the amount per share of Common Stock of the cash distribution, as determined pursuant to the introduction to this paragraph (v).</w:t>
      </w:r>
    </w:p>
    <w:p>
      <w:pPr>
        <w:spacing w:after="0" w:line="18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F Preferred Stock).</w:t>
      </w:r>
    </w:p>
    <w:p>
      <w:pPr>
        <w:spacing w:after="0" w:line="122" w:lineRule="exact"/>
        <w:rPr>
          <w:sz w:val="20"/>
          <w:szCs w:val="20"/>
          <w:color w:val="auto"/>
        </w:rPr>
      </w:pPr>
    </w:p>
    <w:p>
      <w:pPr>
        <w:ind w:right="40" w:firstLine="453"/>
        <w:spacing w:after="0" w:line="279" w:lineRule="auto"/>
        <w:tabs>
          <w:tab w:leader="none" w:pos="750"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Self Tender Offers and Exchange Offers</w:t>
      </w:r>
      <w:r>
        <w:rPr>
          <w:rFonts w:ascii="Arial" w:cs="Arial" w:eastAsia="Arial" w:hAnsi="Arial"/>
          <w:sz w:val="17"/>
          <w:szCs w:val="17"/>
          <w:color w:val="auto"/>
        </w:rPr>
        <w:t>. If the Corporation or any of its subsidiaries successfully completes a tender or exchange offer for the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OS0 x SP0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 + (SP0 x OS1)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220"/>
          </w:cols>
          <w:pgMar w:left="320" w:top="1070" w:right="35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SP0 = the Closing Price per share of Common Stock on the Trading Day immediately succeeding the expiration of the tender or exchange offer.</w:t>
      </w:r>
    </w:p>
    <w:p>
      <w:pPr>
        <w:spacing w:after="0" w:line="2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OS0 = the number of shares of Common Stock outstanding immediately prior to the expiration of the tender or exchange offer, including any shares validly tendered and not withdrawn.</w:t>
      </w:r>
    </w:p>
    <w:p>
      <w:pPr>
        <w:spacing w:after="0" w:line="13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OS1= 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AC = the aggregate cash and fair market value of the other consideration payable in the tender or exchange offer, as determined by the Board of Directors.</w:t>
      </w:r>
    </w:p>
    <w:p>
      <w:pPr>
        <w:spacing w:after="0" w:line="2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event that the Corporation, or one of its subsidiaries, is obligated to purchase shares of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F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137" w:lineRule="exact"/>
        <w:rPr>
          <w:sz w:val="20"/>
          <w:szCs w:val="20"/>
          <w:color w:val="auto"/>
        </w:rPr>
      </w:pPr>
    </w:p>
    <w:p>
      <w:pPr>
        <w:ind w:right="140" w:firstLine="453"/>
        <w:spacing w:after="0" w:line="286" w:lineRule="auto"/>
        <w:tabs>
          <w:tab w:leader="none" w:pos="80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Rights Plans</w:t>
      </w:r>
      <w:r>
        <w:rPr>
          <w:rFonts w:ascii="Arial" w:cs="Arial" w:eastAsia="Arial" w:hAnsi="Arial"/>
          <w:sz w:val="16"/>
          <w:szCs w:val="16"/>
          <w:color w:val="auto"/>
        </w:rPr>
        <w:t>. To the extent that the Corporation has a rights plan in effect with respect to the Common Stock on the Mandatory Conversion Date, upon conversion of any shares of the Series F Preferred Stock, Holders will receive, in addition to the shares of Common Stock, the rights under the rights plan, unless, prior to the Mandatory Conversion Date, the rights have separated from the shares of Common Stock, in which case the Conversion Price will be adjusted at the time of separation as if the Corporation had made a distribution to all holders of the Common Stock as described in clause</w:t>
      </w:r>
    </w:p>
    <w:p>
      <w:pPr>
        <w:spacing w:after="0" w:line="1" w:lineRule="exact"/>
        <w:rPr>
          <w:rFonts w:ascii="Arial" w:cs="Arial" w:eastAsia="Arial" w:hAnsi="Arial"/>
          <w:sz w:val="16"/>
          <w:szCs w:val="16"/>
          <w:color w:val="auto"/>
        </w:rPr>
      </w:pPr>
    </w:p>
    <w:p>
      <w:pPr>
        <w:ind w:right="60" w:firstLine="8"/>
        <w:spacing w:after="0" w:line="260" w:lineRule="auto"/>
        <w:tabs>
          <w:tab w:leader="none" w:pos="3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above, subject to readjustment in the event of the expiration, termination or redemption of such rights (but giving effect to any intervening adjustments that may have been made with respect to the Series F Preferred Stock).</w:t>
      </w:r>
    </w:p>
    <w:p>
      <w:pPr>
        <w:spacing w:after="0" w:line="144" w:lineRule="exact"/>
        <w:rPr>
          <w:rFonts w:ascii="Arial" w:cs="Arial" w:eastAsia="Arial" w:hAnsi="Arial"/>
          <w:sz w:val="18"/>
          <w:szCs w:val="18"/>
          <w:color w:val="auto"/>
        </w:rPr>
      </w:pPr>
    </w:p>
    <w:p>
      <w:pPr>
        <w:ind w:right="300" w:firstLine="899"/>
        <w:spacing w:after="0" w:line="259" w:lineRule="auto"/>
        <w:tabs>
          <w:tab w:leader="none" w:pos="1143"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59" w:lineRule="exact"/>
        <w:rPr>
          <w:rFonts w:ascii="Arial" w:cs="Arial" w:eastAsia="Arial" w:hAnsi="Arial"/>
          <w:sz w:val="18"/>
          <w:szCs w:val="18"/>
          <w:color w:val="auto"/>
        </w:rPr>
      </w:pPr>
    </w:p>
    <w:p>
      <w:pPr>
        <w:ind w:firstLine="899"/>
        <w:spacing w:after="0" w:line="301" w:lineRule="auto"/>
        <w:tabs>
          <w:tab w:leader="none" w:pos="1136" w:val="left"/>
        </w:tabs>
        <w:numPr>
          <w:ilvl w:val="2"/>
          <w:numId w:val="106"/>
        </w:numPr>
        <w:rPr>
          <w:rFonts w:ascii="Arial" w:cs="Arial" w:eastAsia="Arial" w:hAnsi="Arial"/>
          <w:sz w:val="16"/>
          <w:szCs w:val="16"/>
          <w:color w:val="auto"/>
        </w:rPr>
      </w:pPr>
      <w:r>
        <w:rPr>
          <w:rFonts w:ascii="Arial" w:cs="Arial" w:eastAsia="Arial" w:hAnsi="Arial"/>
          <w:sz w:val="16"/>
          <w:szCs w:val="16"/>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on the Mandatory Conversion Date adjustments to the Conversion Price will be made with respect to any such adjustment carried forward and which has not been taken into account before such date.</w:t>
      </w:r>
    </w:p>
    <w:p>
      <w:pPr>
        <w:spacing w:after="0" w:line="116" w:lineRule="exact"/>
        <w:rPr>
          <w:rFonts w:ascii="Arial" w:cs="Arial" w:eastAsia="Arial" w:hAnsi="Arial"/>
          <w:sz w:val="16"/>
          <w:szCs w:val="16"/>
          <w:color w:val="auto"/>
        </w:rPr>
      </w:pPr>
    </w:p>
    <w:p>
      <w:pPr>
        <w:ind w:right="320" w:firstLine="453"/>
        <w:spacing w:after="0" w:line="259" w:lineRule="auto"/>
        <w:tabs>
          <w:tab w:leader="none" w:pos="71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No adjustment to the Conversion Price shall be made if Holders may participate in the transaction that would otherwise give rise to an adjustment, as a result of holding the Series F Preferred Stock (including without limitation pursuant to Section 4 hereof), without having to convert the Series F Preferred Stock, as if they held the full number of shares of Common Stock into which a share of the Series F Preferred Stock may then be converted.</w:t>
      </w:r>
    </w:p>
    <w:p>
      <w:pPr>
        <w:spacing w:after="0" w:line="146" w:lineRule="exact"/>
        <w:rPr>
          <w:rFonts w:ascii="Arial" w:cs="Arial" w:eastAsia="Arial" w:hAnsi="Arial"/>
          <w:sz w:val="18"/>
          <w:szCs w:val="18"/>
          <w:color w:val="auto"/>
        </w:rPr>
      </w:pPr>
    </w:p>
    <w:p>
      <w:pPr>
        <w:ind w:left="760" w:hanging="307"/>
        <w:spacing w:after="0"/>
        <w:tabs>
          <w:tab w:leader="none" w:pos="7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Applicable Conversion Price shall not be adjusted:</w:t>
      </w:r>
    </w:p>
    <w:p>
      <w:pPr>
        <w:spacing w:after="0" w:line="198" w:lineRule="exact"/>
        <w:rPr>
          <w:sz w:val="20"/>
          <w:szCs w:val="20"/>
          <w:color w:val="auto"/>
        </w:rPr>
      </w:pPr>
    </w:p>
    <w:p>
      <w:pPr>
        <w:ind w:right="80" w:firstLine="453"/>
        <w:spacing w:after="0" w:line="263" w:lineRule="auto"/>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143" w:lineRule="exact"/>
        <w:rPr>
          <w:rFonts w:ascii="Arial" w:cs="Arial" w:eastAsia="Arial" w:hAnsi="Arial"/>
          <w:sz w:val="18"/>
          <w:szCs w:val="18"/>
          <w:color w:val="auto"/>
        </w:rPr>
      </w:pPr>
    </w:p>
    <w:p>
      <w:pPr>
        <w:ind w:right="440" w:firstLine="453"/>
        <w:spacing w:after="0" w:line="277" w:lineRule="auto"/>
        <w:tabs>
          <w:tab w:leader="none" w:pos="7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129" w:lineRule="exact"/>
        <w:rPr>
          <w:rFonts w:ascii="Arial" w:cs="Arial" w:eastAsia="Arial" w:hAnsi="Arial"/>
          <w:sz w:val="18"/>
          <w:szCs w:val="18"/>
          <w:color w:val="auto"/>
        </w:rPr>
      </w:pPr>
    </w:p>
    <w:p>
      <w:pPr>
        <w:ind w:right="220" w:firstLine="453"/>
        <w:spacing w:after="0" w:line="308" w:lineRule="auto"/>
        <w:tabs>
          <w:tab w:leader="none" w:pos="73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upon the issuance of any shares of Company Common Stock pursuant to any option, warrant, right or exercisable, exchangeable or convertible security outstanding as of the date shares of the Series F Preferred Stock were first issued and not substantially amended thereafter;</w:t>
      </w:r>
    </w:p>
    <w:p>
      <w:pPr>
        <w:spacing w:after="0" w:line="119" w:lineRule="exact"/>
        <w:rPr>
          <w:rFonts w:ascii="Arial" w:cs="Arial" w:eastAsia="Arial" w:hAnsi="Arial"/>
          <w:sz w:val="17"/>
          <w:szCs w:val="17"/>
          <w:color w:val="auto"/>
        </w:rPr>
      </w:pPr>
    </w:p>
    <w:p>
      <w:pPr>
        <w:ind w:left="740" w:hanging="287"/>
        <w:spacing w:after="0"/>
        <w:tabs>
          <w:tab w:leader="none" w:pos="7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a change in the par value or no par value of Company Common Stock; or</w:t>
      </w:r>
    </w:p>
    <w:p>
      <w:pPr>
        <w:sectPr>
          <w:pgSz w:w="11900" w:h="16838" w:orient="portrait"/>
          <w:cols w:equalWidth="0" w:num="1">
            <w:col w:w="11240"/>
          </w:cols>
          <w:pgMar w:left="320" w:top="1070" w:right="339" w:bottom="1440" w:gutter="0" w:footer="0" w:header="0"/>
        </w:sectPr>
      </w:pPr>
    </w:p>
    <w:bookmarkStart w:id="110" w:name="page111"/>
    <w:bookmarkEnd w:id="110"/>
    <w:p>
      <w:pPr>
        <w:ind w:left="720" w:hanging="267"/>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for accrued and unpaid dividends on the Series F Preferred Stock.</w:t>
      </w:r>
    </w:p>
    <w:p>
      <w:pPr>
        <w:spacing w:after="0" w:line="198" w:lineRule="exact"/>
        <w:rPr>
          <w:rFonts w:ascii="Arial" w:cs="Arial" w:eastAsia="Arial" w:hAnsi="Arial"/>
          <w:sz w:val="18"/>
          <w:szCs w:val="18"/>
          <w:color w:val="auto"/>
        </w:rPr>
      </w:pPr>
    </w:p>
    <w:p>
      <w:pPr>
        <w:ind w:firstLine="899"/>
        <w:spacing w:after="0" w:line="254" w:lineRule="auto"/>
        <w:tabs>
          <w:tab w:leader="none" w:pos="114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Whenever the Conversion Price is to be adjusted in accordance with Section 10(a) or Section 10(b), the Corporation 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51" w:lineRule="exact"/>
        <w:rPr>
          <w:sz w:val="20"/>
          <w:szCs w:val="20"/>
          <w:color w:val="auto"/>
        </w:rPr>
      </w:pPr>
    </w:p>
    <w:p>
      <w:pPr>
        <w:ind w:right="420" w:firstLine="891"/>
        <w:spacing w:after="0" w:line="277" w:lineRule="auto"/>
        <w:rPr>
          <w:sz w:val="20"/>
          <w:szCs w:val="20"/>
          <w:color w:val="auto"/>
        </w:rPr>
      </w:pPr>
      <w:r>
        <w:rPr>
          <w:rFonts w:ascii="Arial" w:cs="Arial" w:eastAsia="Arial" w:hAnsi="Arial"/>
          <w:sz w:val="18"/>
          <w:szCs w:val="18"/>
          <w:i w:val="1"/>
          <w:iCs w:val="1"/>
          <w:color w:val="auto"/>
        </w:rPr>
        <w:t>Section 11. Reorganization Events</w:t>
      </w:r>
      <w:r>
        <w:rPr>
          <w:rFonts w:ascii="Arial" w:cs="Arial" w:eastAsia="Arial" w:hAnsi="Arial"/>
          <w:sz w:val="18"/>
          <w:szCs w:val="18"/>
          <w:color w:val="auto"/>
        </w:rPr>
        <w:t>. (a) In the event that, for so long as any shares of Series F Preferred Stock have not been converted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 outstanding, there occurs:</w:t>
      </w:r>
    </w:p>
    <w:p>
      <w:pPr>
        <w:spacing w:after="0" w:line="130" w:lineRule="exact"/>
        <w:rPr>
          <w:sz w:val="20"/>
          <w:szCs w:val="20"/>
          <w:color w:val="auto"/>
        </w:rPr>
      </w:pPr>
    </w:p>
    <w:p>
      <w:pPr>
        <w:ind w:right="20" w:firstLine="453"/>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consolidation, merger or other similar business combination of the Corporation with or into another Person, in each case pursuant to which the Common Stock will be converted into cash, securities or other property of the Corporation or another Person;</w:t>
      </w:r>
    </w:p>
    <w:p>
      <w:pPr>
        <w:spacing w:after="0" w:line="143" w:lineRule="exact"/>
        <w:rPr>
          <w:rFonts w:ascii="Arial" w:cs="Arial" w:eastAsia="Arial" w:hAnsi="Arial"/>
          <w:sz w:val="18"/>
          <w:szCs w:val="18"/>
          <w:color w:val="auto"/>
        </w:rPr>
      </w:pPr>
    </w:p>
    <w:p>
      <w:pPr>
        <w:ind w:right="460" w:firstLine="453"/>
        <w:spacing w:after="0" w:line="308" w:lineRule="auto"/>
        <w:tabs>
          <w:tab w:leader="none" w:pos="71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any sale, transfer, lease or conveyance to another Person of all or substantially all of the property and assets of the Corporation, in each case pursuant to which the Common Stock will be converted into cash, securities or other property of the Corporation or another Person;</w:t>
      </w:r>
    </w:p>
    <w:p>
      <w:pPr>
        <w:spacing w:after="0" w:line="105" w:lineRule="exact"/>
        <w:rPr>
          <w:rFonts w:ascii="Arial" w:cs="Arial" w:eastAsia="Arial" w:hAnsi="Arial"/>
          <w:sz w:val="17"/>
          <w:szCs w:val="17"/>
          <w:color w:val="auto"/>
        </w:rPr>
      </w:pPr>
    </w:p>
    <w:p>
      <w:pPr>
        <w:ind w:left="760" w:hanging="307"/>
        <w:spacing w:after="0"/>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reclassification of the Common Stock into securities including securities other than the Common Stock; or</w:t>
      </w:r>
    </w:p>
    <w:p>
      <w:pPr>
        <w:spacing w:after="0" w:line="184" w:lineRule="exact"/>
        <w:rPr>
          <w:rFonts w:ascii="Arial" w:cs="Arial" w:eastAsia="Arial" w:hAnsi="Arial"/>
          <w:sz w:val="18"/>
          <w:szCs w:val="18"/>
          <w:color w:val="auto"/>
        </w:rPr>
      </w:pPr>
    </w:p>
    <w:p>
      <w:pPr>
        <w:ind w:right="240" w:firstLine="453"/>
        <w:spacing w:after="0" w:line="277" w:lineRule="auto"/>
        <w:tabs>
          <w:tab w:leader="none" w:pos="7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statutory exchange of the outstanding shares of Common Stock for securities of another Person (other than in connection with a merger or acquisition);</w:t>
      </w:r>
    </w:p>
    <w:p>
      <w:pPr>
        <w:spacing w:after="0" w:line="143"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(any such event specified in this Section 11(a), a “</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then each share of such Holder’s Series F Preferred Stock outstanding immediately prior to such Reorganization Event shall remain outstanding but shall automatically convert, effective as of the close of business on the Mandatory Conversion Date with respect to the shares of Series F Preferred Stock of such Holder, into the type and amount of securities, cash and other property receivable in such Reorganization Event by the holder (excluding the counterparty to the Reorganization Event or an Affiliate of such counterparty) of the greater of (i) the number of shares of Common Stock into which one share of Series F Preferred Stock would then be convertible assuming the receipt of the Stockholder Approvals and (ii) the number of shares of Common Stock that, if one share of Series F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6"/>
          <w:szCs w:val="16"/>
          <w:u w:val="single" w:color="auto"/>
          <w:color w:val="auto"/>
        </w:rPr>
        <w:t>Exchange Property</w:t>
      </w:r>
      <w:r>
        <w:rPr>
          <w:rFonts w:ascii="Arial" w:cs="Arial" w:eastAsia="Arial" w:hAnsi="Arial"/>
          <w:sz w:val="16"/>
          <w:szCs w:val="16"/>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pacing w:after="0" w:line="127" w:lineRule="exact"/>
        <w:rPr>
          <w:sz w:val="20"/>
          <w:szCs w:val="20"/>
          <w:color w:val="auto"/>
        </w:rPr>
      </w:pPr>
    </w:p>
    <w:p>
      <w:pPr>
        <w:ind w:right="440" w:firstLine="899"/>
        <w:spacing w:after="0" w:line="277" w:lineRule="auto"/>
        <w:tabs>
          <w:tab w:leader="none" w:pos="114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the event that holders of the shares of Common Stock have the opportunity to elect the form of consideration to be received in such transaction, the Holders shall likewise be allowed to make such an election.</w:t>
      </w:r>
    </w:p>
    <w:p>
      <w:pPr>
        <w:spacing w:after="0" w:line="129" w:lineRule="exact"/>
        <w:rPr>
          <w:rFonts w:ascii="Arial" w:cs="Arial" w:eastAsia="Arial" w:hAnsi="Arial"/>
          <w:sz w:val="18"/>
          <w:szCs w:val="18"/>
          <w:color w:val="auto"/>
        </w:rPr>
      </w:pPr>
    </w:p>
    <w:p>
      <w:pPr>
        <w:ind w:right="320" w:firstLine="899"/>
        <w:spacing w:after="0" w:line="263" w:lineRule="auto"/>
        <w:tabs>
          <w:tab w:leader="none" w:pos="11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56" w:lineRule="exact"/>
        <w:rPr>
          <w:rFonts w:ascii="Arial" w:cs="Arial" w:eastAsia="Arial" w:hAnsi="Arial"/>
          <w:sz w:val="18"/>
          <w:szCs w:val="18"/>
          <w:color w:val="auto"/>
        </w:rPr>
      </w:pPr>
    </w:p>
    <w:p>
      <w:pPr>
        <w:ind w:right="240" w:firstLine="899"/>
        <w:spacing w:after="0" w:line="263" w:lineRule="auto"/>
        <w:tabs>
          <w:tab w:leader="none" w:pos="11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143" w:lineRule="exact"/>
        <w:rPr>
          <w:rFonts w:ascii="Arial" w:cs="Arial" w:eastAsia="Arial" w:hAnsi="Arial"/>
          <w:sz w:val="18"/>
          <w:szCs w:val="18"/>
          <w:color w:val="auto"/>
        </w:rPr>
      </w:pPr>
    </w:p>
    <w:p>
      <w:pPr>
        <w:ind w:right="40" w:firstLine="899"/>
        <w:spacing w:after="0" w:line="263" w:lineRule="auto"/>
        <w:tabs>
          <w:tab w:leader="none" w:pos="11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Corporation shall not enter into any agreement for a transaction constituting a Reorganization Event unless such agreement provides for or does not interfere with or prevent (as applicable) conversion of the Series F Preferred Stock into the Exchange Property in a manner that is consistent with and gives effect to this Section 11.</w:t>
      </w:r>
    </w:p>
    <w:p>
      <w:pPr>
        <w:spacing w:after="0" w:line="143" w:lineRule="exact"/>
        <w:rPr>
          <w:sz w:val="20"/>
          <w:szCs w:val="20"/>
          <w:color w:val="auto"/>
        </w:rPr>
      </w:pPr>
    </w:p>
    <w:p>
      <w:pPr>
        <w:ind w:right="140" w:firstLine="891"/>
        <w:spacing w:after="0" w:line="277" w:lineRule="auto"/>
        <w:rPr>
          <w:sz w:val="20"/>
          <w:szCs w:val="20"/>
          <w:color w:val="auto"/>
        </w:rPr>
      </w:pPr>
      <w:r>
        <w:rPr>
          <w:rFonts w:ascii="Arial" w:cs="Arial" w:eastAsia="Arial" w:hAnsi="Arial"/>
          <w:sz w:val="18"/>
          <w:szCs w:val="18"/>
          <w:i w:val="1"/>
          <w:iCs w:val="1"/>
          <w:color w:val="auto"/>
        </w:rPr>
        <w:t>Section 12. Voting Rights</w:t>
      </w:r>
      <w:r>
        <w:rPr>
          <w:rFonts w:ascii="Arial" w:cs="Arial" w:eastAsia="Arial" w:hAnsi="Arial"/>
          <w:sz w:val="18"/>
          <w:szCs w:val="18"/>
          <w:color w:val="auto"/>
        </w:rPr>
        <w:t>. (a) Holders will not have any voting rights, including the right to elect any directors, except (i) voting rights,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law, and (ii) voting rights, if any, described in this Section 12.</w:t>
      </w:r>
    </w:p>
    <w:p>
      <w:pPr>
        <w:sectPr>
          <w:pgSz w:w="11900" w:h="16838" w:orient="portrait"/>
          <w:cols w:equalWidth="0" w:num="1">
            <w:col w:w="11240"/>
          </w:cols>
          <w:pgMar w:left="320" w:top="1070" w:right="339" w:bottom="1440" w:gutter="0" w:footer="0" w:header="0"/>
        </w:sectPr>
      </w:pPr>
    </w:p>
    <w:bookmarkStart w:id="111" w:name="page112"/>
    <w:bookmarkEnd w:id="111"/>
    <w:p>
      <w:pPr>
        <w:jc w:val="both"/>
        <w:ind w:right="100" w:firstLine="899"/>
        <w:spacing w:after="0" w:line="311" w:lineRule="auto"/>
        <w:tabs>
          <w:tab w:leader="none" w:pos="1146" w:val="left"/>
        </w:tabs>
        <w:numPr>
          <w:ilvl w:val="1"/>
          <w:numId w:val="111"/>
        </w:numPr>
        <w:rPr>
          <w:rFonts w:ascii="Arial" w:cs="Arial" w:eastAsia="Arial" w:hAnsi="Arial"/>
          <w:sz w:val="16"/>
          <w:szCs w:val="16"/>
          <w:color w:val="auto"/>
        </w:rPr>
      </w:pPr>
      <w:r>
        <w:rPr>
          <w:rFonts w:ascii="Arial" w:cs="Arial" w:eastAsia="Arial" w:hAnsi="Arial"/>
          <w:sz w:val="16"/>
          <w:szCs w:val="16"/>
          <w:color w:val="auto"/>
        </w:rPr>
        <w:t>So long as any shares of Series F Preferred Stock are outstanding, the vote or consent of the Holders of a majority of the shares of Series F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121" w:lineRule="exact"/>
        <w:rPr>
          <w:rFonts w:ascii="Arial" w:cs="Arial" w:eastAsia="Arial" w:hAnsi="Arial"/>
          <w:sz w:val="16"/>
          <w:szCs w:val="16"/>
          <w:color w:val="auto"/>
        </w:rPr>
      </w:pPr>
    </w:p>
    <w:p>
      <w:pPr>
        <w:ind w:firstLine="453"/>
        <w:spacing w:after="0" w:line="263"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F Preferred Stock so as to affect them adversely; or</w:t>
      </w:r>
    </w:p>
    <w:p>
      <w:pPr>
        <w:spacing w:after="0" w:line="143" w:lineRule="exact"/>
        <w:rPr>
          <w:rFonts w:ascii="Arial" w:cs="Arial" w:eastAsia="Arial" w:hAnsi="Arial"/>
          <w:sz w:val="18"/>
          <w:szCs w:val="18"/>
          <w:color w:val="auto"/>
        </w:rPr>
      </w:pPr>
    </w:p>
    <w:p>
      <w:pPr>
        <w:ind w:right="40" w:firstLine="453"/>
        <w:spacing w:after="0" w:line="259" w:lineRule="auto"/>
        <w:tabs>
          <w:tab w:leader="none" w:pos="71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F Preferred Stock in the payment of dividends or in the distribution of assets on any liquidation, dissolution or winding up of the Corporation.</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creation and issuance, or an increase in the authorized or issued amount, of any series of preferred stock or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preferred stock ranking junior to the Series F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F Preferred Stock and, notwithstanding any provision of Georgia law, Holders will have no right to vote solely by reason of such an increase, creation or issuance.</w:t>
      </w:r>
    </w:p>
    <w:p>
      <w:pPr>
        <w:spacing w:after="0" w:line="161" w:lineRule="exact"/>
        <w:rPr>
          <w:sz w:val="20"/>
          <w:szCs w:val="20"/>
          <w:color w:val="auto"/>
        </w:rPr>
      </w:pPr>
    </w:p>
    <w:p>
      <w:pPr>
        <w:ind w:right="140" w:firstLine="899"/>
        <w:spacing w:after="0" w:line="342" w:lineRule="auto"/>
        <w:tabs>
          <w:tab w:leader="none" w:pos="113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Notwithstanding the foregoing, Holders shall not have any voting rights if, at or prior to the effective time of the act with respect to which such vote would otherwise be required, all outstanding shares of Series F Preferred Stock shall have been converted into shares of Common Stock.</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13. Fractional Shares</w:t>
      </w:r>
      <w:r>
        <w:rPr>
          <w:rFonts w:ascii="Arial" w:cs="Arial" w:eastAsia="Arial" w:hAnsi="Arial"/>
          <w:sz w:val="18"/>
          <w:szCs w:val="18"/>
          <w:color w:val="auto"/>
        </w:rPr>
        <w:t>.</w:t>
      </w:r>
    </w:p>
    <w:p>
      <w:pPr>
        <w:spacing w:after="0" w:line="185" w:lineRule="exact"/>
        <w:rPr>
          <w:sz w:val="20"/>
          <w:szCs w:val="20"/>
          <w:color w:val="auto"/>
        </w:rPr>
      </w:pPr>
    </w:p>
    <w:p>
      <w:pPr>
        <w:ind w:left="1140" w:hanging="241"/>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fractional shares of Common Stock will be issued as a result of any conversion of shares of Series F Preferred Stock.</w:t>
      </w:r>
    </w:p>
    <w:p>
      <w:pPr>
        <w:spacing w:after="0" w:line="198" w:lineRule="exact"/>
        <w:rPr>
          <w:rFonts w:ascii="Arial" w:cs="Arial" w:eastAsia="Arial" w:hAnsi="Arial"/>
          <w:sz w:val="18"/>
          <w:szCs w:val="18"/>
          <w:color w:val="auto"/>
        </w:rPr>
      </w:pPr>
    </w:p>
    <w:p>
      <w:pPr>
        <w:ind w:right="200" w:firstLine="899"/>
        <w:spacing w:after="0" w:line="263" w:lineRule="auto"/>
        <w:tabs>
          <w:tab w:leader="none" w:pos="114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lieu of any fractional share of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43" w:lineRule="exact"/>
        <w:rPr>
          <w:rFonts w:ascii="Arial" w:cs="Arial" w:eastAsia="Arial" w:hAnsi="Arial"/>
          <w:sz w:val="18"/>
          <w:szCs w:val="18"/>
          <w:color w:val="auto"/>
        </w:rPr>
      </w:pPr>
    </w:p>
    <w:p>
      <w:pPr>
        <w:ind w:right="140" w:firstLine="899"/>
        <w:spacing w:after="0" w:line="263" w:lineRule="auto"/>
        <w:tabs>
          <w:tab w:leader="none" w:pos="113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more than one share of the Series F Preferred Stock is surrendered for conversion at one time by or for the same Holder, the number of full shares of Common Stock issuable upon conversion thereof shall be computed on the basis of the aggregate number of shares of the Series F Preferred Stock so surrendered.</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14. Reservation of Common Stock.</w:t>
      </w:r>
    </w:p>
    <w:p>
      <w:pPr>
        <w:spacing w:after="0" w:line="198" w:lineRule="exact"/>
        <w:rPr>
          <w:sz w:val="20"/>
          <w:szCs w:val="20"/>
          <w:color w:val="auto"/>
        </w:rPr>
      </w:pPr>
    </w:p>
    <w:p>
      <w:pPr>
        <w:ind w:right="120" w:firstLine="899"/>
        <w:spacing w:after="0" w:line="273" w:lineRule="auto"/>
        <w:tabs>
          <w:tab w:leader="none" w:pos="113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Following the receipt of the Stockholder Approvals, the Corporation shall at all times reserve and keep available out of its authorized and unissued Common Stock or shares acquired by the Corporation, solely for issuance upon the conversion of shares of Series F Preferred Stock as provided in this Certificate of Designations free from any preemptive or other similar rights, such number of shares of Common Stock as shall from time to time be issuable upon the conversion of all the shares of Series F Preferred Stock then outstanding. For purposes of this Section 14(a), the number of shares of Common Stock that shall be deliverable upon the conversion of all outstanding shares of Series F Preferred Stock shall be computed as if at the time of computation all such outstanding shares were held by a single Holder.</w:t>
      </w:r>
    </w:p>
    <w:p>
      <w:pPr>
        <w:spacing w:after="0" w:line="137" w:lineRule="exact"/>
        <w:rPr>
          <w:rFonts w:ascii="Arial" w:cs="Arial" w:eastAsia="Arial" w:hAnsi="Arial"/>
          <w:sz w:val="17"/>
          <w:szCs w:val="17"/>
          <w:color w:val="auto"/>
        </w:rPr>
      </w:pPr>
    </w:p>
    <w:p>
      <w:pPr>
        <w:ind w:right="60" w:firstLine="899"/>
        <w:spacing w:after="0" w:line="263" w:lineRule="auto"/>
        <w:tabs>
          <w:tab w:leader="none" w:pos="11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be entitled to deliver upon conversion of shares of Series F Preferred Stock, as herein provided, shares of Common Stock acquired by the Corporation (in lieu of the issuance of authorized and unissued shares of Common Stock), so long as any such acquired shares are free and clear of all liens, charges, security interests or encumbrances.</w:t>
      </w:r>
    </w:p>
    <w:p>
      <w:pPr>
        <w:spacing w:after="0" w:line="143" w:lineRule="exact"/>
        <w:rPr>
          <w:rFonts w:ascii="Arial" w:cs="Arial" w:eastAsia="Arial" w:hAnsi="Arial"/>
          <w:sz w:val="18"/>
          <w:szCs w:val="18"/>
          <w:color w:val="auto"/>
        </w:rPr>
      </w:pPr>
    </w:p>
    <w:p>
      <w:pPr>
        <w:ind w:right="140" w:firstLine="899"/>
        <w:spacing w:after="0" w:line="277" w:lineRule="auto"/>
        <w:tabs>
          <w:tab w:leader="none" w:pos="112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shares of Common Stock delivered upon conversion of the Series F Preferred Stock shall be duly authorized, validly issued, fully paid and non-assessable, free and clear of all liens, claims, security interests and other encumbrances.</w:t>
      </w:r>
    </w:p>
    <w:p>
      <w:pPr>
        <w:spacing w:after="0" w:line="143" w:lineRule="exact"/>
        <w:rPr>
          <w:rFonts w:ascii="Arial" w:cs="Arial" w:eastAsia="Arial" w:hAnsi="Arial"/>
          <w:sz w:val="18"/>
          <w:szCs w:val="18"/>
          <w:color w:val="auto"/>
        </w:rPr>
      </w:pPr>
    </w:p>
    <w:p>
      <w:pPr>
        <w:ind w:right="60" w:firstLine="899"/>
        <w:spacing w:after="0" w:line="277" w:lineRule="auto"/>
        <w:tabs>
          <w:tab w:leader="none" w:pos="11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F Preferred Stock, the Corporation shall use its reasonable best efforts to comply with all federal and state laws and</w:t>
      </w:r>
    </w:p>
    <w:p>
      <w:pPr>
        <w:sectPr>
          <w:pgSz w:w="11900" w:h="16838" w:orient="portrait"/>
          <w:cols w:equalWidth="0" w:num="1">
            <w:col w:w="11220"/>
          </w:cols>
          <w:pgMar w:left="320" w:top="1070" w:right="359" w:bottom="1440" w:gutter="0" w:footer="0" w:header="0"/>
        </w:sectPr>
      </w:pPr>
    </w:p>
    <w:bookmarkStart w:id="112" w:name="page113"/>
    <w:bookmarkEnd w:id="112"/>
    <w:p>
      <w:pPr>
        <w:ind w:right="680"/>
        <w:spacing w:after="0" w:line="277" w:lineRule="auto"/>
        <w:rPr>
          <w:sz w:val="20"/>
          <w:szCs w:val="20"/>
          <w:color w:val="auto"/>
        </w:rPr>
      </w:pPr>
      <w:r>
        <w:rPr>
          <w:rFonts w:ascii="Arial" w:cs="Arial" w:eastAsia="Arial" w:hAnsi="Arial"/>
          <w:sz w:val="18"/>
          <w:szCs w:val="18"/>
          <w:color w:val="auto"/>
        </w:rPr>
        <w:t>regulations thereunder requiring the registration of such securities with, or any approval of or consent to the delivery thereof by, any governmental authority.</w:t>
      </w:r>
    </w:p>
    <w:p>
      <w:pPr>
        <w:spacing w:after="0" w:line="143" w:lineRule="exact"/>
        <w:rPr>
          <w:sz w:val="20"/>
          <w:szCs w:val="20"/>
          <w:color w:val="auto"/>
        </w:rPr>
      </w:pPr>
    </w:p>
    <w:p>
      <w:pPr>
        <w:ind w:right="40" w:firstLine="899"/>
        <w:spacing w:after="0" w:line="259" w:lineRule="auto"/>
        <w:tabs>
          <w:tab w:leader="none" w:pos="11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Corporation hereby covenants and agrees that, if at any time the Common Stock shall be listed on The NASDAQ Global Select Market or any other national securities exchange or automated quotation system, the Corporation will, if permitted by the rules of such exchange or automated quotation system, list and keep listed, so long as the Common Stock shall be so listed on such exchange or automated quotation system, all the Common Stock issuable upon conversion of the Series F Preferred Stock.</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15. Replacement Certificates</w:t>
      </w:r>
      <w:r>
        <w:rPr>
          <w:rFonts w:ascii="Arial" w:cs="Arial" w:eastAsia="Arial" w:hAnsi="Arial"/>
          <w:sz w:val="18"/>
          <w:szCs w:val="18"/>
          <w:color w:val="auto"/>
        </w:rPr>
        <w:t>.</w:t>
      </w:r>
    </w:p>
    <w:p>
      <w:pPr>
        <w:spacing w:after="0" w:line="185" w:lineRule="exact"/>
        <w:rPr>
          <w:sz w:val="20"/>
          <w:szCs w:val="20"/>
          <w:color w:val="auto"/>
        </w:rPr>
      </w:pPr>
    </w:p>
    <w:p>
      <w:pPr>
        <w:ind w:firstLine="899"/>
        <w:spacing w:after="0" w:line="286" w:lineRule="auto"/>
        <w:tabs>
          <w:tab w:leader="none" w:pos="1132"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38" w:lineRule="exact"/>
        <w:rPr>
          <w:rFonts w:ascii="Arial" w:cs="Arial" w:eastAsia="Arial" w:hAnsi="Arial"/>
          <w:sz w:val="17"/>
          <w:szCs w:val="17"/>
          <w:color w:val="auto"/>
        </w:rPr>
      </w:pPr>
    </w:p>
    <w:p>
      <w:pPr>
        <w:ind w:right="380" w:firstLine="899"/>
        <w:spacing w:after="0" w:line="259" w:lineRule="auto"/>
        <w:tabs>
          <w:tab w:leader="none" w:pos="114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Corporation shall not be required to issue any certificates representing the Series F Preferred Stock on or after the Mandatory Conversion Date. In place of the delivery of a replacement certificate following the Mandatory Conversion Date, the Corporation, upon delivery of the evidence and indemnity described in clause (a) above, shall deliver the shares of Common Stock pursuant to the terms of the Series F Preferred Stock formerly evidenced by the certificate.</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16. Miscellaneous</w:t>
      </w:r>
      <w:r>
        <w:rPr>
          <w:rFonts w:ascii="Arial" w:cs="Arial" w:eastAsia="Arial" w:hAnsi="Arial"/>
          <w:sz w:val="18"/>
          <w:szCs w:val="18"/>
          <w:color w:val="auto"/>
        </w:rPr>
        <w:t>.</w:t>
      </w:r>
    </w:p>
    <w:p>
      <w:pPr>
        <w:spacing w:after="0" w:line="185" w:lineRule="exact"/>
        <w:rPr>
          <w:sz w:val="20"/>
          <w:szCs w:val="20"/>
          <w:color w:val="auto"/>
        </w:rPr>
      </w:pPr>
    </w:p>
    <w:p>
      <w:pPr>
        <w:ind w:right="20" w:firstLine="899"/>
        <w:spacing w:after="0" w:line="255" w:lineRule="auto"/>
        <w:tabs>
          <w:tab w:leader="none" w:pos="112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65" w:lineRule="exact"/>
        <w:rPr>
          <w:rFonts w:ascii="Arial" w:cs="Arial" w:eastAsia="Arial" w:hAnsi="Arial"/>
          <w:sz w:val="18"/>
          <w:szCs w:val="18"/>
          <w:color w:val="auto"/>
        </w:rPr>
      </w:pPr>
    </w:p>
    <w:p>
      <w:pPr>
        <w:ind w:right="100" w:firstLine="899"/>
        <w:spacing w:after="0" w:line="290" w:lineRule="auto"/>
        <w:tabs>
          <w:tab w:leader="none" w:pos="114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Corporation shall pay any and all stock transfer and documentary stamp taxes that may be payable in respect of any issuance or delivery of shares of Series F Preferred Stock or shares of Common Stock or other securities issued on account of Series F Preferred Stock pursuant hereto or certificates representing such shares or securities. The Corporation shall not, however, be required to pay any such tax that may be payable in respect of any transfer involved in the issuance or delivery of shares of Series F Preferred Stock or Common Stock or other securities in a name other than that in which the shares of Series F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24" w:lineRule="exact"/>
        <w:rPr>
          <w:rFonts w:ascii="Arial" w:cs="Arial" w:eastAsia="Arial" w:hAnsi="Arial"/>
          <w:sz w:val="16"/>
          <w:szCs w:val="16"/>
          <w:color w:val="auto"/>
        </w:rPr>
      </w:pPr>
    </w:p>
    <w:p>
      <w:pPr>
        <w:ind w:right="80" w:firstLine="899"/>
        <w:spacing w:after="0" w:line="308" w:lineRule="auto"/>
        <w:tabs>
          <w:tab w:leader="none" w:pos="112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All payments on the shares of Series F Preferred Stock shall be subject to withholding and backup withholding of tax to the extent required by applicable law, subject to applicable exemptions, and amounts withheld, if any, shall be treated as received by the holders thereof.</w:t>
      </w:r>
    </w:p>
    <w:p>
      <w:pPr>
        <w:spacing w:after="0" w:line="105" w:lineRule="exact"/>
        <w:rPr>
          <w:rFonts w:ascii="Arial" w:cs="Arial" w:eastAsia="Arial" w:hAnsi="Arial"/>
          <w:sz w:val="17"/>
          <w:szCs w:val="17"/>
          <w:color w:val="auto"/>
        </w:rPr>
      </w:pPr>
    </w:p>
    <w:p>
      <w:pPr>
        <w:ind w:right="160" w:firstLine="899"/>
        <w:spacing w:after="0" w:line="263" w:lineRule="auto"/>
        <w:tabs>
          <w:tab w:leader="none" w:pos="11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share of Series F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56" w:lineRule="exact"/>
        <w:rPr>
          <w:rFonts w:ascii="Arial" w:cs="Arial" w:eastAsia="Arial" w:hAnsi="Arial"/>
          <w:sz w:val="18"/>
          <w:szCs w:val="18"/>
          <w:color w:val="auto"/>
        </w:rPr>
      </w:pPr>
    </w:p>
    <w:p>
      <w:pPr>
        <w:ind w:right="60" w:firstLine="899"/>
        <w:spacing w:after="0" w:line="342" w:lineRule="auto"/>
        <w:tabs>
          <w:tab w:leader="none" w:pos="113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shares of Series F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83" w:lineRule="exact"/>
        <w:rPr>
          <w:rFonts w:ascii="Arial" w:cs="Arial" w:eastAsia="Arial" w:hAnsi="Arial"/>
          <w:sz w:val="16"/>
          <w:szCs w:val="16"/>
          <w:color w:val="auto"/>
        </w:rPr>
      </w:pPr>
    </w:p>
    <w:p>
      <w:pPr>
        <w:ind w:right="600" w:firstLine="899"/>
        <w:spacing w:after="0" w:line="277" w:lineRule="auto"/>
        <w:tabs>
          <w:tab w:leader="none" w:pos="111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Corporation covenants (1) not to treat the Series F Preferred Stock as preferred stock for purposes of Section 305 of the Internal Revenue Code of 1986, as amended, except as otherwise required by applicable law.</w:t>
      </w:r>
    </w:p>
    <w:p>
      <w:pPr>
        <w:sectPr>
          <w:pgSz w:w="11900" w:h="16838" w:orient="portrait"/>
          <w:cols w:equalWidth="0" w:num="1">
            <w:col w:w="11240"/>
          </w:cols>
          <w:pgMar w:left="320" w:top="1070" w:right="339" w:bottom="1440" w:gutter="0" w:footer="0" w:header="0"/>
        </w:sectPr>
      </w:pPr>
    </w:p>
    <w:bookmarkStart w:id="113" w:name="page114"/>
    <w:bookmarkEnd w:id="113"/>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DESIGNATIONS, POWERS, PREFERENCES,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MANDATORILY CONVERTIBLE CUMULATIVE NON-VOTING PERPETUAL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 SERIES 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w:t>
      </w:r>
    </w:p>
    <w:p>
      <w:pPr>
        <w:spacing w:after="0" w:line="198" w:lineRule="exact"/>
        <w:rPr>
          <w:sz w:val="20"/>
          <w:szCs w:val="20"/>
          <w:color w:val="auto"/>
        </w:rPr>
      </w:pPr>
    </w:p>
    <w:p>
      <w:pPr>
        <w:ind w:right="300" w:firstLine="891"/>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United Community Banks, Inc.</w:t>
      </w:r>
      <w:r>
        <w:rPr>
          <w:rFonts w:ascii="Arial" w:cs="Arial" w:eastAsia="Arial" w:hAnsi="Arial"/>
          <w:sz w:val="18"/>
          <w:szCs w:val="18"/>
          <w:color w:val="auto"/>
        </w:rPr>
        <w:t>, a corporation organized and existing under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Georgia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Restated Articles of Incorporation of the Corporation, as amended, authorize the issuance of 10,000,000 shares of preferred stock,</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par value $1.00 per share, of the Corporation (“</w:t>
      </w:r>
      <w:r>
        <w:rPr>
          <w:rFonts w:ascii="Arial" w:cs="Arial" w:eastAsia="Arial" w:hAnsi="Arial"/>
          <w:sz w:val="17"/>
          <w:szCs w:val="17"/>
          <w:u w:val="single" w:color="auto"/>
          <w:color w:val="auto"/>
        </w:rPr>
        <w:t>Preferred Stock</w:t>
      </w:r>
      <w:r>
        <w:rPr>
          <w:rFonts w:ascii="Arial" w:cs="Arial" w:eastAsia="Arial" w:hAnsi="Arial"/>
          <w:sz w:val="17"/>
          <w:szCs w:val="17"/>
          <w:color w:val="auto"/>
        </w:rPr>
        <w:t>”) in one or more series, and authorizes the Board of Directors of the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to fix by resolution or resolutions the designation and number of shares of such series, and the voting and other powers, preferences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relative, participating, optional or other special rights, and the qualifications, limitations and restrictions thereof, of the shares of such series.</w:t>
      </w:r>
    </w:p>
    <w:p>
      <w:pPr>
        <w:spacing w:after="0" w:line="178" w:lineRule="exact"/>
        <w:rPr>
          <w:sz w:val="20"/>
          <w:szCs w:val="20"/>
          <w:color w:val="auto"/>
        </w:rPr>
      </w:pPr>
    </w:p>
    <w:p>
      <w:pPr>
        <w:ind w:right="380" w:firstLine="891"/>
        <w:spacing w:after="0" w:line="347" w:lineRule="auto"/>
        <w:rPr>
          <w:sz w:val="20"/>
          <w:szCs w:val="20"/>
          <w:color w:val="auto"/>
        </w:rPr>
      </w:pPr>
      <w:r>
        <w:rPr>
          <w:rFonts w:ascii="Arial" w:cs="Arial" w:eastAsia="Arial" w:hAnsi="Arial"/>
          <w:sz w:val="16"/>
          <w:szCs w:val="16"/>
          <w:b w:val="1"/>
          <w:bCs w:val="1"/>
          <w:color w:val="auto"/>
        </w:rPr>
        <w:t xml:space="preserve">Third: </w:t>
      </w:r>
      <w:r>
        <w:rPr>
          <w:rFonts w:ascii="Arial" w:cs="Arial" w:eastAsia="Arial" w:hAnsi="Arial"/>
          <w:sz w:val="16"/>
          <w:szCs w:val="16"/>
          <w:color w:val="auto"/>
        </w:rPr>
        <w:t>That the following resolution was duly adopted by the Board of Directors as required by O.C.G.A. § 14-2-602 and Article V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Restated Articles of Incorporation at a meeting duly convened and held on March 14, 2011, at which a quorum was present and acting throughout.</w:t>
      </w:r>
    </w:p>
    <w:p>
      <w:pPr>
        <w:spacing w:after="0" w:line="89" w:lineRule="exact"/>
        <w:rPr>
          <w:sz w:val="20"/>
          <w:szCs w:val="20"/>
          <w:color w:val="auto"/>
        </w:rPr>
      </w:pPr>
    </w:p>
    <w:p>
      <w:pPr>
        <w:ind w:right="40" w:firstLine="891"/>
        <w:spacing w:after="0" w:line="261"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the provisions of the Restated Articles of Incorporation of the Corporation, as amended, and applicable law, a series</w:t>
      </w:r>
      <w:r>
        <w:rPr>
          <w:rFonts w:ascii="Arial" w:cs="Arial" w:eastAsia="Arial" w:hAnsi="Arial"/>
          <w:sz w:val="18"/>
          <w:szCs w:val="18"/>
          <w:b w:val="1"/>
          <w:bCs w:val="1"/>
          <w:color w:val="auto"/>
        </w:rPr>
        <w:t xml:space="preserve"> </w:t>
      </w:r>
      <w:r>
        <w:rPr>
          <w:rFonts w:ascii="Arial" w:cs="Arial" w:eastAsia="Arial" w:hAnsi="Arial"/>
          <w:sz w:val="18"/>
          <w:szCs w:val="18"/>
          <w:color w:val="auto"/>
        </w:rPr>
        <w:t>of Preferred Stock, par value $1.00 per share, of the Corporation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PREFERENCES</w:t>
      </w:r>
    </w:p>
    <w:p>
      <w:pPr>
        <w:spacing w:after="0" w:line="189" w:lineRule="exact"/>
        <w:rPr>
          <w:sz w:val="20"/>
          <w:szCs w:val="20"/>
          <w:color w:val="auto"/>
        </w:rPr>
      </w:pPr>
    </w:p>
    <w:p>
      <w:pPr>
        <w:ind w:right="100" w:firstLine="891"/>
        <w:spacing w:after="0" w:line="259" w:lineRule="auto"/>
        <w:rPr>
          <w:sz w:val="20"/>
          <w:szCs w:val="20"/>
          <w:color w:val="auto"/>
        </w:rPr>
      </w:pPr>
      <w:r>
        <w:rPr>
          <w:rFonts w:ascii="Arial" w:cs="Arial" w:eastAsia="Arial" w:hAnsi="Arial"/>
          <w:sz w:val="18"/>
          <w:szCs w:val="18"/>
          <w:i w:val="1"/>
          <w:iCs w:val="1"/>
          <w:color w:val="auto"/>
        </w:rPr>
        <w:t xml:space="preserve">Section 1. Designation. </w:t>
      </w:r>
      <w:r>
        <w:rPr>
          <w:rFonts w:ascii="Arial" w:cs="Arial" w:eastAsia="Arial" w:hAnsi="Arial"/>
          <w:sz w:val="18"/>
          <w:szCs w:val="18"/>
          <w:color w:val="auto"/>
        </w:rPr>
        <w:t>There is hereby created out of the authorized and unissued shares of preferred stock of the Corporation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designated as the “Mandatorily Convertible Cumulative Non-Voting Perpetual Preferred Stock, Series G” (the “</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The number of shares constituting such series shall be 151,185. The par value of the Series G Preferred Stock shall be $1.00 per share, and the liquidation preference shall be $1,000 per share.</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Section 2. Ranking</w:t>
      </w:r>
      <w:r>
        <w:rPr>
          <w:rFonts w:ascii="Arial" w:cs="Arial" w:eastAsia="Arial" w:hAnsi="Arial"/>
          <w:sz w:val="16"/>
          <w:szCs w:val="16"/>
          <w:color w:val="auto"/>
        </w:rPr>
        <w:t>. The Series G Preferred Stock will, with respect to dividend rights and rights on liquidation, winding up and dissolution,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rank (i) on a parity with the Corporation’s Series A Non-Cumulative Preferred Stock, the Fixed Rate Cumulative Perpetual Preferred Stock, Series B,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C Fixed Rate Cumulative Perpetual Preferred Stock, the Cumulative Perpetual Preferred Stock, Series D, the Junior Participating Preferred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E, the Series F Mandatorily Convertible Perpetual Preferred Stock and with each other class or series of equity securities of the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of which do not expressly provide that such class or series will rank senior or junior to the Series G Preferred Stock as to dividend rights and rights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liquidation, winding-up and dissolution of the Corporation (collectively referred to as “</w:t>
      </w:r>
      <w:r>
        <w:rPr>
          <w:rFonts w:ascii="Arial" w:cs="Arial" w:eastAsia="Arial" w:hAnsi="Arial"/>
          <w:sz w:val="16"/>
          <w:szCs w:val="16"/>
          <w:u w:val="single" w:color="auto"/>
          <w:color w:val="auto"/>
        </w:rPr>
        <w:t>Parity Securities</w:t>
      </w:r>
      <w:r>
        <w:rPr>
          <w:rFonts w:ascii="Arial" w:cs="Arial" w:eastAsia="Arial" w:hAnsi="Arial"/>
          <w:sz w:val="16"/>
          <w:szCs w:val="16"/>
          <w:color w:val="auto"/>
        </w:rPr>
        <w:t>”), and (ii) senior to the Corporation’s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par value $1.00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Corporation’s non-voting common stock, par value $1.00 per share (the “</w:t>
      </w:r>
      <w:r>
        <w:rPr>
          <w:rFonts w:ascii="Arial" w:cs="Arial" w:eastAsia="Arial" w:hAnsi="Arial"/>
          <w:sz w:val="16"/>
          <w:szCs w:val="16"/>
          <w:u w:val="single" w:color="auto"/>
          <w:color w:val="auto"/>
        </w:rPr>
        <w:t>Non-Voting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w:t>
      </w:r>
      <w:r>
        <w:rPr>
          <w:rFonts w:ascii="Arial" w:cs="Arial" w:eastAsia="Arial" w:hAnsi="Arial"/>
          <w:sz w:val="17"/>
          <w:szCs w:val="17"/>
          <w:color w:val="auto"/>
        </w:rPr>
        <w:t>” and, together with the Common Stock,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and each other class or series of capital stock of the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or established after the Effective Date by the Corporation the terms of which do not expressly provide that it ranks on a parity with or senior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Series G Preferred Stock as to dividend rights and rights on liquidation, winding-up and dissolution of the Corporation (collectively referred to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Securities</w:t>
      </w:r>
      <w:r>
        <w:rPr>
          <w:rFonts w:ascii="Arial" w:cs="Arial" w:eastAsia="Arial" w:hAnsi="Arial"/>
          <w:sz w:val="16"/>
          <w:szCs w:val="16"/>
          <w:color w:val="auto"/>
        </w:rPr>
        <w:t>”). The Corporation has the power to authorize and/or issue additional shares or classes or series of Junior Securities without the consent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Holders.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Section 3. Definitions</w:t>
      </w:r>
      <w:r>
        <w:rPr>
          <w:rFonts w:ascii="Arial" w:cs="Arial" w:eastAsia="Arial" w:hAnsi="Arial"/>
          <w:sz w:val="16"/>
          <w:szCs w:val="16"/>
          <w:color w:val="auto"/>
        </w:rPr>
        <w:t>. The following initially capitalized terms shall have the following meanings, whether used in the singular or the plural:</w:t>
      </w:r>
    </w:p>
    <w:p>
      <w:pPr>
        <w:sectPr>
          <w:pgSz w:w="11900" w:h="16838" w:orient="portrait"/>
          <w:cols w:equalWidth="0" w:num="1">
            <w:col w:w="11240"/>
          </w:cols>
          <w:pgMar w:left="320" w:top="1440" w:right="339" w:bottom="1440" w:gutter="0" w:footer="0" w:header="0"/>
        </w:sectPr>
      </w:pPr>
    </w:p>
    <w:bookmarkStart w:id="114" w:name="page115"/>
    <w:bookmarkEnd w:id="114"/>
    <w:p>
      <w:pPr>
        <w:ind w:right="20" w:firstLine="899"/>
        <w:spacing w:after="0" w:line="259" w:lineRule="auto"/>
        <w:tabs>
          <w:tab w:leader="none" w:pos="113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59" w:lineRule="exact"/>
        <w:rPr>
          <w:rFonts w:ascii="Arial" w:cs="Arial" w:eastAsia="Arial" w:hAnsi="Arial"/>
          <w:sz w:val="18"/>
          <w:szCs w:val="18"/>
          <w:color w:val="auto"/>
        </w:rPr>
      </w:pPr>
    </w:p>
    <w:p>
      <w:pPr>
        <w:ind w:left="1160" w:hanging="261"/>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Price</w:t>
      </w:r>
      <w:r>
        <w:rPr>
          <w:rFonts w:ascii="Arial" w:cs="Arial" w:eastAsia="Arial" w:hAnsi="Arial"/>
          <w:sz w:val="18"/>
          <w:szCs w:val="18"/>
          <w:color w:val="auto"/>
        </w:rPr>
        <w:t>” means the Conversion Price in effect at any given time.</w:t>
      </w:r>
    </w:p>
    <w:p>
      <w:pPr>
        <w:spacing w:after="0" w:line="184" w:lineRule="exact"/>
        <w:rPr>
          <w:rFonts w:ascii="Arial" w:cs="Arial" w:eastAsia="Arial" w:hAnsi="Arial"/>
          <w:sz w:val="18"/>
          <w:szCs w:val="18"/>
          <w:color w:val="auto"/>
        </w:rPr>
      </w:pPr>
    </w:p>
    <w:p>
      <w:pPr>
        <w:ind w:left="1140" w:hanging="241"/>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Corporation, as amended.</w:t>
      </w:r>
    </w:p>
    <w:p>
      <w:pPr>
        <w:spacing w:after="0" w:line="184" w:lineRule="exact"/>
        <w:rPr>
          <w:rFonts w:ascii="Arial" w:cs="Arial" w:eastAsia="Arial" w:hAnsi="Arial"/>
          <w:sz w:val="18"/>
          <w:szCs w:val="18"/>
          <w:color w:val="auto"/>
        </w:rPr>
      </w:pPr>
    </w:p>
    <w:p>
      <w:pPr>
        <w:ind w:right="40" w:firstLine="899"/>
        <w:spacing w:after="0" w:line="275" w:lineRule="auto"/>
        <w:tabs>
          <w:tab w:leader="none" w:pos="114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As-Converted Dividend</w:t>
      </w:r>
      <w:r>
        <w:rPr>
          <w:rFonts w:ascii="Arial" w:cs="Arial" w:eastAsia="Arial" w:hAnsi="Arial"/>
          <w:sz w:val="17"/>
          <w:szCs w:val="17"/>
          <w:color w:val="auto"/>
        </w:rPr>
        <w:t xml:space="preserve">” means, with respect to any Dividend Period, the product of (i) the pro forma per share semi-annual Common Stock dividend derived by (A) annualizing the last dividend declared during such Dividend Period on the Common Stock and (B) dividing such annualized dividend by two and (ii) the number of shares of Non-Voting Common Stock into which a share of Series G Preferred Stock would then be convertible (assuming receipt of the Stockholder Approval and, if applicable, the Regulatory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any Dividend Period with respect to which no dividend on the Common Stock has been declared, the As-Converted Dividend shall be $0.00.</w:t>
      </w:r>
    </w:p>
    <w:p>
      <w:pPr>
        <w:spacing w:after="0" w:line="149" w:lineRule="exact"/>
        <w:rPr>
          <w:rFonts w:ascii="Arial" w:cs="Arial" w:eastAsia="Arial" w:hAnsi="Arial"/>
          <w:sz w:val="17"/>
          <w:szCs w:val="17"/>
          <w:color w:val="auto"/>
        </w:rPr>
      </w:pPr>
    </w:p>
    <w:p>
      <w:pPr>
        <w:ind w:left="1140" w:hanging="241"/>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w:t>
      </w:r>
      <w:r>
        <w:rPr>
          <w:rFonts w:ascii="Arial" w:cs="Arial" w:eastAsia="Arial" w:hAnsi="Arial"/>
          <w:sz w:val="18"/>
          <w:szCs w:val="18"/>
          <w:color w:val="auto"/>
        </w:rPr>
        <w:t>” means the Bank Holding Company Act of 1956, as amended.</w:t>
      </w:r>
    </w:p>
    <w:p>
      <w:pPr>
        <w:spacing w:after="0" w:line="184" w:lineRule="exact"/>
        <w:rPr>
          <w:rFonts w:ascii="Arial" w:cs="Arial" w:eastAsia="Arial" w:hAnsi="Arial"/>
          <w:sz w:val="18"/>
          <w:szCs w:val="18"/>
          <w:color w:val="auto"/>
        </w:rPr>
      </w:pPr>
    </w:p>
    <w:p>
      <w:pPr>
        <w:ind w:right="320" w:firstLine="899"/>
        <w:spacing w:after="0" w:line="277" w:lineRule="auto"/>
        <w:tabs>
          <w:tab w:leader="none" w:pos="111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Affiliated Person</w:t>
      </w:r>
      <w:r>
        <w:rPr>
          <w:rFonts w:ascii="Arial" w:cs="Arial" w:eastAsia="Arial" w:hAnsi="Arial"/>
          <w:sz w:val="18"/>
          <w:szCs w:val="18"/>
          <w:color w:val="auto"/>
        </w:rPr>
        <w:t>” means, with respect to any Person, its Affiliates which for purposes of this definition include all “affiliates” as defined in the BHC Act or Regulation Y of the Board of Governors of the Federal Reserve.</w:t>
      </w:r>
    </w:p>
    <w:p>
      <w:pPr>
        <w:spacing w:after="0" w:line="129" w:lineRule="exact"/>
        <w:rPr>
          <w:rFonts w:ascii="Arial" w:cs="Arial" w:eastAsia="Arial" w:hAnsi="Arial"/>
          <w:sz w:val="18"/>
          <w:szCs w:val="18"/>
          <w:color w:val="auto"/>
        </w:rPr>
      </w:pPr>
    </w:p>
    <w:p>
      <w:pPr>
        <w:ind w:right="520" w:firstLine="899"/>
        <w:spacing w:after="0" w:line="277" w:lineRule="auto"/>
        <w:tabs>
          <w:tab w:leader="none" w:pos="11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Saturday or Sunday and that, in New York City, is not a day on which banking institutions generally are authorized or obligated by law or executive order to be closed.</w:t>
      </w:r>
    </w:p>
    <w:p>
      <w:pPr>
        <w:spacing w:after="0" w:line="143" w:lineRule="exact"/>
        <w:rPr>
          <w:rFonts w:ascii="Arial" w:cs="Arial" w:eastAsia="Arial" w:hAnsi="Arial"/>
          <w:sz w:val="18"/>
          <w:szCs w:val="18"/>
          <w:color w:val="auto"/>
        </w:rPr>
      </w:pPr>
    </w:p>
    <w:p>
      <w:pPr>
        <w:ind w:left="1160" w:hanging="261"/>
        <w:spacing w:after="0"/>
        <w:tabs>
          <w:tab w:leader="none" w:pos="1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the Articles of Amendment to the Articles of Incorporation, dated March 29, 2011.</w:t>
      </w:r>
    </w:p>
    <w:p>
      <w:pPr>
        <w:spacing w:after="0" w:line="184" w:lineRule="exact"/>
        <w:rPr>
          <w:rFonts w:ascii="Arial" w:cs="Arial" w:eastAsia="Arial" w:hAnsi="Arial"/>
          <w:sz w:val="18"/>
          <w:szCs w:val="18"/>
          <w:color w:val="auto"/>
        </w:rPr>
      </w:pPr>
    </w:p>
    <w:p>
      <w:pPr>
        <w:ind w:left="1120" w:hanging="221"/>
        <w:spacing w:after="0"/>
        <w:tabs>
          <w:tab w:leader="none" w:pos="11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CIBC Act</w:t>
      </w:r>
      <w:r>
        <w:rPr>
          <w:rFonts w:ascii="Arial" w:cs="Arial" w:eastAsia="Arial" w:hAnsi="Arial"/>
          <w:sz w:val="18"/>
          <w:szCs w:val="18"/>
          <w:color w:val="auto"/>
        </w:rPr>
        <w:t>” means the Change in Bank Control Act of 1978, as amended.</w:t>
      </w:r>
    </w:p>
    <w:p>
      <w:pPr>
        <w:spacing w:after="0" w:line="184" w:lineRule="exact"/>
        <w:rPr>
          <w:rFonts w:ascii="Arial" w:cs="Arial" w:eastAsia="Arial" w:hAnsi="Arial"/>
          <w:sz w:val="18"/>
          <w:szCs w:val="18"/>
          <w:color w:val="auto"/>
        </w:rPr>
      </w:pPr>
    </w:p>
    <w:p>
      <w:pPr>
        <w:ind w:firstLine="899"/>
        <w:spacing w:after="0" w:line="269" w:lineRule="auto"/>
        <w:tabs>
          <w:tab w:leader="none" w:pos="110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Price</w:t>
      </w:r>
      <w:r>
        <w:rPr>
          <w:rFonts w:ascii="Arial" w:cs="Arial" w:eastAsia="Arial" w:hAnsi="Arial"/>
          <w:sz w:val="17"/>
          <w:szCs w:val="17"/>
          <w:color w:val="auto"/>
        </w:rPr>
        <w:t>” of the Common Stock (or other relevant capital stock or equity interest) on any date of determination means the closing sale price or, if no closing sale price is reported, the last reported sale price of the shares of the Common Stock (or other relevant capital stock or equity interest) on The NASDAQ Global Select Market on such date. If the Common Stock (or other relevant capital stock or equity interest) is not traded on The NASDAQ Global Select Market on any date of determination, the Closing Price of the Common Stock (or other relevant capital stock or equity interest) on such date of determination means the closing sale price as reported in the composite transactions for the principal U.S. national or regional securities exchange on which the Common Stock (or other relevant capital stock or equity interest) is so listed or quoted, or, if no closing sale price is reported, the last reported sale price on the principal U.S. national or regional securities exchange on which the Common Stock (or other relevant capital stock or equity interest) is so listed or quoted, or if the Common Stock (or other relevant capital stock or equity interest) is not so listed or quoted on a U.S. national or regional securities exchange, the last quoted bid price for the Common Stock (or other relevant capital stock or equity interest) in the over-the-counter market as reported by Pink OTC Markets Inc. or similar organization, or, if that bid price is not available, the market price of the Common Stock (or other relevant capital stock or equity interest) on that date as determined by a nationally recognized independent investment banking firm retained by the Corporation for this purpose.</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purposes of this Certificate of Designation, all references herein to the “</w:t>
      </w:r>
      <w:r>
        <w:rPr>
          <w:rFonts w:ascii="Arial" w:cs="Arial" w:eastAsia="Arial" w:hAnsi="Arial"/>
          <w:sz w:val="18"/>
          <w:szCs w:val="18"/>
          <w:u w:val="single" w:color="auto"/>
          <w:color w:val="auto"/>
        </w:rPr>
        <w:t>Closing Price</w:t>
      </w:r>
      <w:r>
        <w:rPr>
          <w:rFonts w:ascii="Arial" w:cs="Arial" w:eastAsia="Arial" w:hAnsi="Arial"/>
          <w:sz w:val="18"/>
          <w:szCs w:val="18"/>
          <w:color w:val="auto"/>
        </w:rPr>
        <w:t>” and “</w:t>
      </w:r>
      <w:r>
        <w:rPr>
          <w:rFonts w:ascii="Arial" w:cs="Arial" w:eastAsia="Arial" w:hAnsi="Arial"/>
          <w:sz w:val="18"/>
          <w:szCs w:val="18"/>
          <w:u w:val="single" w:color="auto"/>
          <w:color w:val="auto"/>
        </w:rPr>
        <w:t>last reported sale price</w:t>
      </w:r>
      <w:r>
        <w:rPr>
          <w:rFonts w:ascii="Arial" w:cs="Arial" w:eastAsia="Arial" w:hAnsi="Arial"/>
          <w:sz w:val="18"/>
          <w:szCs w:val="18"/>
          <w:color w:val="auto"/>
        </w:rPr>
        <w:t xml:space="preserve">” of the Common Stock (or other relevant capital stock or equity interest) on The NASDAQ Global Select Market shall be such closing sale price and last reported sale price as reflected on the website of The NASDAQ Global Select Market (http://www.nasdaq.com) and as reported by Bloomberg Professional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there is a discrepancy between the closing sale price or last reported sale price as reflected on the website of The NASDAQ Global Select Market and as reported by Bloomberg Professional Service, the closing sale price and last reported sale price on the website of The NASDAQ Global Select Market shall govern.</w:t>
      </w:r>
    </w:p>
    <w:p>
      <w:pPr>
        <w:spacing w:after="0" w:line="152" w:lineRule="exact"/>
        <w:rPr>
          <w:sz w:val="20"/>
          <w:szCs w:val="20"/>
          <w:color w:val="auto"/>
        </w:rPr>
      </w:pPr>
    </w:p>
    <w:p>
      <w:pPr>
        <w:ind w:left="1160" w:hanging="261"/>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1120" w:hanging="221"/>
        <w:spacing w:after="0"/>
        <w:tabs>
          <w:tab w:leader="none" w:pos="11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has the meaning set forth in Section 2.</w:t>
      </w:r>
    </w:p>
    <w:p>
      <w:pPr>
        <w:spacing w:after="0" w:line="198" w:lineRule="exact"/>
        <w:rPr>
          <w:rFonts w:ascii="Arial" w:cs="Arial" w:eastAsia="Arial" w:hAnsi="Arial"/>
          <w:sz w:val="18"/>
          <w:szCs w:val="18"/>
          <w:color w:val="auto"/>
        </w:rPr>
      </w:pPr>
    </w:p>
    <w:p>
      <w:pPr>
        <w:ind w:left="1200" w:hanging="301"/>
        <w:spacing w:after="0"/>
        <w:tabs>
          <w:tab w:leader="none" w:pos="12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$1.90, subject to adjustment as set forth herein.</w:t>
      </w:r>
    </w:p>
    <w:p>
      <w:pPr>
        <w:spacing w:after="0" w:line="184" w:lineRule="exact"/>
        <w:rPr>
          <w:rFonts w:ascii="Arial" w:cs="Arial" w:eastAsia="Arial" w:hAnsi="Arial"/>
          <w:sz w:val="18"/>
          <w:szCs w:val="18"/>
          <w:color w:val="auto"/>
        </w:rPr>
      </w:pPr>
    </w:p>
    <w:p>
      <w:pPr>
        <w:ind w:right="260" w:firstLine="899"/>
        <w:spacing w:after="0" w:line="277" w:lineRule="auto"/>
        <w:tabs>
          <w:tab w:leader="none" w:pos="11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means, on any date, the average of the daily Closing Price per share of the Common Stock or other securities on each of the five consecutive Trading Days preceding the earlier of the day before the date in</w:t>
      </w:r>
    </w:p>
    <w:p>
      <w:pPr>
        <w:sectPr>
          <w:pgSz w:w="11900" w:h="16838" w:orient="portrait"/>
          <w:cols w:equalWidth="0" w:num="1">
            <w:col w:w="11220"/>
          </w:cols>
          <w:pgMar w:left="320" w:top="1070" w:right="359" w:bottom="1440" w:gutter="0" w:footer="0" w:header="0"/>
        </w:sectPr>
      </w:pPr>
    </w:p>
    <w:bookmarkStart w:id="115" w:name="page116"/>
    <w:bookmarkEnd w:id="115"/>
    <w:p>
      <w:pPr>
        <w:ind w:right="600"/>
        <w:spacing w:after="0" w:line="277" w:lineRule="auto"/>
        <w:rPr>
          <w:sz w:val="20"/>
          <w:szCs w:val="20"/>
          <w:color w:val="auto"/>
        </w:rPr>
      </w:pPr>
      <w:r>
        <w:rPr>
          <w:rFonts w:ascii="Arial" w:cs="Arial" w:eastAsia="Arial" w:hAnsi="Arial"/>
          <w:sz w:val="18"/>
          <w:szCs w:val="18"/>
          <w:color w:val="auto"/>
        </w:rPr>
        <w:t>question and the day before the Ex-Date with respect to the issuance or distribution giving rise to an adjustment to the Conversion Price pursuant to Section 10.</w:t>
      </w:r>
    </w:p>
    <w:p>
      <w:pPr>
        <w:spacing w:after="0" w:line="143" w:lineRule="exact"/>
        <w:rPr>
          <w:sz w:val="20"/>
          <w:szCs w:val="20"/>
          <w:color w:val="auto"/>
        </w:rPr>
      </w:pPr>
    </w:p>
    <w:p>
      <w:pPr>
        <w:ind w:left="1160" w:hanging="261"/>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Distributed Property</w:t>
      </w:r>
      <w:r>
        <w:rPr>
          <w:rFonts w:ascii="Arial" w:cs="Arial" w:eastAsia="Arial" w:hAnsi="Arial"/>
          <w:sz w:val="18"/>
          <w:szCs w:val="18"/>
          <w:color w:val="auto"/>
        </w:rPr>
        <w:t>” has the meaning set forth in Section 10(a)(iv).</w:t>
      </w:r>
    </w:p>
    <w:p>
      <w:pPr>
        <w:spacing w:after="0" w:line="184" w:lineRule="exact"/>
        <w:rPr>
          <w:rFonts w:ascii="Arial" w:cs="Arial" w:eastAsia="Arial" w:hAnsi="Arial"/>
          <w:sz w:val="18"/>
          <w:szCs w:val="18"/>
          <w:color w:val="auto"/>
        </w:rPr>
      </w:pPr>
    </w:p>
    <w:p>
      <w:pPr>
        <w:ind w:left="1160" w:hanging="261"/>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has the meaning set forth in Section 4(b).</w:t>
      </w:r>
    </w:p>
    <w:p>
      <w:pPr>
        <w:spacing w:after="0" w:line="184" w:lineRule="exact"/>
        <w:rPr>
          <w:rFonts w:ascii="Arial" w:cs="Arial" w:eastAsia="Arial" w:hAnsi="Arial"/>
          <w:sz w:val="18"/>
          <w:szCs w:val="18"/>
          <w:color w:val="auto"/>
        </w:rPr>
      </w:pPr>
    </w:p>
    <w:p>
      <w:pPr>
        <w:ind w:left="1160" w:hanging="261"/>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has the meaning set forth in Section 4(b).</w:t>
      </w:r>
    </w:p>
    <w:p>
      <w:pPr>
        <w:spacing w:after="0" w:line="198" w:lineRule="exact"/>
        <w:rPr>
          <w:rFonts w:ascii="Arial" w:cs="Arial" w:eastAsia="Arial" w:hAnsi="Arial"/>
          <w:sz w:val="18"/>
          <w:szCs w:val="18"/>
          <w:color w:val="auto"/>
        </w:rPr>
      </w:pPr>
    </w:p>
    <w:p>
      <w:pPr>
        <w:ind w:left="1120" w:hanging="221"/>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4(c).</w:t>
      </w:r>
    </w:p>
    <w:p>
      <w:pPr>
        <w:spacing w:after="0" w:line="184" w:lineRule="exact"/>
        <w:rPr>
          <w:rFonts w:ascii="Arial" w:cs="Arial" w:eastAsia="Arial" w:hAnsi="Arial"/>
          <w:sz w:val="18"/>
          <w:szCs w:val="18"/>
          <w:color w:val="auto"/>
        </w:rPr>
      </w:pPr>
    </w:p>
    <w:p>
      <w:pPr>
        <w:ind w:right="660" w:firstLine="899"/>
        <w:spacing w:after="0" w:line="277" w:lineRule="auto"/>
        <w:tabs>
          <w:tab w:leader="none" w:pos="112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Rate</w:t>
      </w:r>
      <w:r>
        <w:rPr>
          <w:rFonts w:ascii="Arial" w:cs="Arial" w:eastAsia="Arial" w:hAnsi="Arial"/>
          <w:sz w:val="18"/>
          <w:szCs w:val="18"/>
          <w:color w:val="auto"/>
        </w:rPr>
        <w:t xml:space="preserve">” means, with respect to any Dividend Period, the sum of (a) the greater of (i) LIBOR and (ii) 2.0% plus (b) 15.0%;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if such amount is greater than 18.0%, the Dividend Rate shall be 18.0%.</w:t>
      </w:r>
    </w:p>
    <w:p>
      <w:pPr>
        <w:spacing w:after="0" w:line="129" w:lineRule="exact"/>
        <w:rPr>
          <w:rFonts w:ascii="Arial" w:cs="Arial" w:eastAsia="Arial" w:hAnsi="Arial"/>
          <w:sz w:val="18"/>
          <w:szCs w:val="18"/>
          <w:color w:val="auto"/>
        </w:rPr>
      </w:pPr>
    </w:p>
    <w:p>
      <w:pPr>
        <w:ind w:left="1120" w:hanging="221"/>
        <w:spacing w:after="0"/>
        <w:tabs>
          <w:tab w:leader="none" w:pos="11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shares of the Series G Preferred Stock are first issued.</w:t>
      </w:r>
    </w:p>
    <w:p>
      <w:pPr>
        <w:spacing w:after="0" w:line="198" w:lineRule="exact"/>
        <w:rPr>
          <w:rFonts w:ascii="Arial" w:cs="Arial" w:eastAsia="Arial" w:hAnsi="Arial"/>
          <w:sz w:val="18"/>
          <w:szCs w:val="18"/>
          <w:color w:val="auto"/>
        </w:rPr>
      </w:pPr>
    </w:p>
    <w:p>
      <w:pPr>
        <w:ind w:left="1160" w:hanging="261"/>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set forth in Section 11(a).</w:t>
      </w:r>
    </w:p>
    <w:p>
      <w:pPr>
        <w:spacing w:after="0" w:line="184" w:lineRule="exact"/>
        <w:rPr>
          <w:rFonts w:ascii="Arial" w:cs="Arial" w:eastAsia="Arial" w:hAnsi="Arial"/>
          <w:sz w:val="18"/>
          <w:szCs w:val="18"/>
          <w:color w:val="auto"/>
        </w:rPr>
      </w:pPr>
    </w:p>
    <w:p>
      <w:pPr>
        <w:ind w:right="360" w:firstLine="899"/>
        <w:spacing w:after="0" w:line="342" w:lineRule="auto"/>
        <w:tabs>
          <w:tab w:leader="none" w:pos="114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Ex-Date</w:t>
      </w:r>
      <w:r>
        <w:rPr>
          <w:rFonts w:ascii="Arial" w:cs="Arial" w:eastAsia="Arial" w:hAnsi="Arial"/>
          <w:sz w:val="16"/>
          <w:szCs w:val="16"/>
          <w:color w:val="auto"/>
        </w:rPr>
        <w:t>”, when used with respect to any issuance or distribution, means the first date on which the Common Stock or other securities trade without the right to receive the issuance or distribution giving rise to an adjustment to the Conversion Price pursuant to Section 10.</w:t>
      </w:r>
    </w:p>
    <w:p>
      <w:pPr>
        <w:spacing w:after="0" w:line="83" w:lineRule="exact"/>
        <w:rPr>
          <w:rFonts w:ascii="Arial" w:cs="Arial" w:eastAsia="Arial" w:hAnsi="Arial"/>
          <w:sz w:val="16"/>
          <w:szCs w:val="16"/>
          <w:color w:val="auto"/>
        </w:rPr>
      </w:pPr>
    </w:p>
    <w:p>
      <w:pPr>
        <w:ind w:right="60" w:firstLine="899"/>
        <w:spacing w:after="0" w:line="263" w:lineRule="auto"/>
        <w:tabs>
          <w:tab w:leader="none" w:pos="11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Person in whose name the shares of the Series G Preferred Stock are registered, which may be treated by the Corporation as the absolute owner of the shares of Series G Preferred Stock for the purpose of making payment and settling the related conversions and for all other purposes.</w:t>
      </w:r>
    </w:p>
    <w:p>
      <w:pPr>
        <w:spacing w:after="0" w:line="156" w:lineRule="exact"/>
        <w:rPr>
          <w:rFonts w:ascii="Arial" w:cs="Arial" w:eastAsia="Arial" w:hAnsi="Arial"/>
          <w:sz w:val="18"/>
          <w:szCs w:val="18"/>
          <w:color w:val="auto"/>
        </w:rPr>
      </w:pPr>
    </w:p>
    <w:p>
      <w:pPr>
        <w:ind w:left="1160" w:hanging="261"/>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right="40" w:firstLine="899"/>
        <w:spacing w:after="0" w:line="268" w:lineRule="auto"/>
        <w:tabs>
          <w:tab w:leader="none" w:pos="114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w:t>
      </w:r>
      <w:r>
        <w:rPr>
          <w:rFonts w:ascii="Arial" w:cs="Arial" w:eastAsia="Arial" w:hAnsi="Arial"/>
          <w:sz w:val="17"/>
          <w:szCs w:val="17"/>
          <w:color w:val="auto"/>
        </w:rPr>
        <w:t>” means, with respect to any Dividend Period, the rate for deposits in U.S. dollars for a three-month period that appears on Bloomberg Screen US0003M Index &lt;GO&gt; page (or other applicable page) as of 11:00 a.m. (London time) on the second London Banking Day preceding the first day of that Dividend Period. If the rate described above does not appear on such Bloomberg Screen page, LIBOR will be determined on the basis of the rates at which deposits in U.S. dollars for a three-month period and in a principal amount of not less than $1,000,000 are offered to prime banks in the London interbank market by four major banks in the London interbank market selected by the Corporation, at approximately 11:00 a.m., London time on the second London Banking Day preceding the first day of that Dividend Period. The Corporation will request the principal London office of each of such banks to provide a quotation of its rate. If at least two such quotations are provided, LIBOR with respect to that Dividend Period will be the arithmetic mean (rounded upward if necessary to the nearest .00001 of 1%) of such quotations. If fewer than two quotations are provided, LIBOR with respect to that Dividend Period will be the arithmetic mean (rounded upward if necessary to the nearest .00001 of 1%) of the rates quoted by three major banks in New York, New York, selected by the Corporation, at approximately 11:00 a.m., New York City time, on the first day of that Dividend Period for loans in U.S. dollars to leading European banks for a three-month period and in a principal amount of not less than $1,000,000. However, if the banks selected by the Corporation to provide quotations are not quoting as described above, LIBOR for that Dividend Period will be the same as LIBOR as determined for the previous Dividend Period, or in the case of the first Dividend Period, the most recent rate that could have been determined in accordance with the first sentence of this paragraph had the Series G Preferred Stock been outstanding. The establishment of LIBOR will be final and binding in the absence of manifest error.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7" w:lineRule="exact"/>
        <w:rPr>
          <w:rFonts w:ascii="Arial" w:cs="Arial" w:eastAsia="Arial" w:hAnsi="Arial"/>
          <w:sz w:val="17"/>
          <w:szCs w:val="17"/>
          <w:color w:val="auto"/>
        </w:rPr>
      </w:pPr>
    </w:p>
    <w:p>
      <w:pPr>
        <w:ind w:right="200" w:firstLine="899"/>
        <w:spacing w:after="0" w:line="277" w:lineRule="auto"/>
        <w:tabs>
          <w:tab w:leader="none" w:pos="11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means, as to the Series G Preferred Stock, $1,000 per share (as adjusted for any split, subdivision, combination, consolidation, recapitalization or similar event with respect to the Series G Preferred Stock).</w:t>
      </w:r>
    </w:p>
    <w:p>
      <w:pPr>
        <w:spacing w:after="0" w:line="130" w:lineRule="exact"/>
        <w:rPr>
          <w:sz w:val="20"/>
          <w:szCs w:val="20"/>
          <w:color w:val="auto"/>
        </w:rPr>
      </w:pPr>
    </w:p>
    <w:p>
      <w:pPr>
        <w:ind w:right="180" w:firstLine="899"/>
        <w:spacing w:after="0" w:line="308" w:lineRule="auto"/>
        <w:tabs>
          <w:tab w:leader="none" w:pos="1216" w:val="left"/>
        </w:tabs>
        <w:numPr>
          <w:ilvl w:val="0"/>
          <w:numId w:val="1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London Banking Day</w:t>
      </w:r>
      <w:r>
        <w:rPr>
          <w:rFonts w:ascii="Arial" w:cs="Arial" w:eastAsia="Arial" w:hAnsi="Arial"/>
          <w:sz w:val="17"/>
          <w:szCs w:val="17"/>
          <w:color w:val="auto"/>
        </w:rPr>
        <w:t>” means any day on which commercial banks are open for general business (including dealings in deposits in U.S. dollars) in London.</w:t>
      </w:r>
    </w:p>
    <w:p>
      <w:pPr>
        <w:spacing w:after="0" w:line="105" w:lineRule="exact"/>
        <w:rPr>
          <w:rFonts w:ascii="Arial" w:cs="Arial" w:eastAsia="Arial" w:hAnsi="Arial"/>
          <w:sz w:val="17"/>
          <w:szCs w:val="17"/>
          <w:color w:val="auto"/>
        </w:rPr>
      </w:pPr>
    </w:p>
    <w:p>
      <w:pPr>
        <w:ind w:firstLine="899"/>
        <w:spacing w:after="0" w:line="257" w:lineRule="auto"/>
        <w:tabs>
          <w:tab w:leader="none" w:pos="12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Conversion Date</w:t>
      </w:r>
      <w:r>
        <w:rPr>
          <w:rFonts w:ascii="Arial" w:cs="Arial" w:eastAsia="Arial" w:hAnsi="Arial"/>
          <w:sz w:val="18"/>
          <w:szCs w:val="18"/>
          <w:color w:val="auto"/>
        </w:rPr>
        <w:t>” means, with respect to the shares of Series G Preferred Stock of any Holder, the second Business Day after which the Corporation and/or such Holder, as applicable as to a Holder, has received the Stockholder Approvals (or if a Reorganization Event has theretofore been consummated, the date of consummation of such Reorganization Event) and, if applicable, the Regulatory Approval necessary to permit such Holder to convert such shares of Series G Preferred Stock into authorized Non-Voting Common Stock without such conversion resulting in a Violation or, in the case of the</w:t>
      </w:r>
    </w:p>
    <w:p>
      <w:pPr>
        <w:sectPr>
          <w:pgSz w:w="11900" w:h="16838" w:orient="portrait"/>
          <w:cols w:equalWidth="0" w:num="1">
            <w:col w:w="11240"/>
          </w:cols>
          <w:pgMar w:left="320" w:top="1070" w:right="339" w:bottom="1440" w:gutter="0" w:footer="0" w:header="0"/>
        </w:sectPr>
      </w:pPr>
    </w:p>
    <w:bookmarkStart w:id="116" w:name="page117"/>
    <w:bookmarkEnd w:id="116"/>
    <w:p>
      <w:pPr>
        <w:ind w:right="60"/>
        <w:spacing w:after="0" w:line="272" w:lineRule="auto"/>
        <w:rPr>
          <w:sz w:val="20"/>
          <w:szCs w:val="20"/>
          <w:color w:val="auto"/>
        </w:rPr>
      </w:pPr>
      <w:r>
        <w:rPr>
          <w:rFonts w:ascii="Arial" w:cs="Arial" w:eastAsia="Arial" w:hAnsi="Arial"/>
          <w:sz w:val="17"/>
          <w:szCs w:val="17"/>
          <w:color w:val="auto"/>
        </w:rPr>
        <w:t xml:space="preserve">Regulatory Approval, a violation of the Hart-Scott-Rodino Antitrust Improvements Act of 1976, as amended, and the rules and regulations thereunder,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Mandatory Conversion Date would otherwise occur on or after an Ex-Date for an issuance or distribution that results in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adjustment of the Conversion Price pursuant to Section 10 and on or before the Record Date for such issuance or distribution, such Mandatory Conversion Date shall instead occur on the first calendar day after the Record Date for such issuance or distribution,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if a Mandatory Conversion Date would otherwise occur but such Holder has not received all accrued and unpaid dividends, whether or not declared, with respect to any Dividend Period completed prior to such Mandatory Conversion Date, such Mandatory Conversion Date shall instead occur on the first calendar day after such Holder has received all such accrued and unpaid dividends.</w:t>
      </w:r>
    </w:p>
    <w:p>
      <w:pPr>
        <w:spacing w:after="0" w:line="150" w:lineRule="exact"/>
        <w:rPr>
          <w:sz w:val="20"/>
          <w:szCs w:val="20"/>
          <w:color w:val="auto"/>
        </w:rPr>
      </w:pPr>
    </w:p>
    <w:p>
      <w:pPr>
        <w:ind w:left="1220" w:hanging="321"/>
        <w:spacing w:after="0"/>
        <w:tabs>
          <w:tab w:leader="none" w:pos="122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Non-Voting Common Stock</w:t>
      </w:r>
      <w:r>
        <w:rPr>
          <w:rFonts w:ascii="Arial" w:cs="Arial" w:eastAsia="Arial" w:hAnsi="Arial"/>
          <w:sz w:val="18"/>
          <w:szCs w:val="18"/>
          <w:color w:val="auto"/>
        </w:rPr>
        <w:t>” has the meaning set forth in Section 2.</w:t>
      </w:r>
    </w:p>
    <w:p>
      <w:pPr>
        <w:spacing w:after="0" w:line="184" w:lineRule="exact"/>
        <w:rPr>
          <w:rFonts w:ascii="Arial" w:cs="Arial" w:eastAsia="Arial" w:hAnsi="Arial"/>
          <w:sz w:val="18"/>
          <w:szCs w:val="18"/>
          <w:color w:val="auto"/>
        </w:rPr>
      </w:pPr>
    </w:p>
    <w:p>
      <w:pPr>
        <w:ind w:left="1240" w:hanging="341"/>
        <w:spacing w:after="0"/>
        <w:tabs>
          <w:tab w:leader="none" w:pos="12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Mandatory Conversion”</w:t>
      </w:r>
      <w:r>
        <w:rPr>
          <w:rFonts w:ascii="Arial" w:cs="Arial" w:eastAsia="Arial" w:hAnsi="Arial"/>
          <w:sz w:val="18"/>
          <w:szCs w:val="18"/>
          <w:color w:val="auto"/>
        </w:rPr>
        <w:t xml:space="preserve"> has the meaning set forth in Section 9(a).</w:t>
      </w:r>
    </w:p>
    <w:p>
      <w:pPr>
        <w:spacing w:after="0" w:line="184" w:lineRule="exact"/>
        <w:rPr>
          <w:rFonts w:ascii="Arial" w:cs="Arial" w:eastAsia="Arial" w:hAnsi="Arial"/>
          <w:sz w:val="18"/>
          <w:szCs w:val="18"/>
          <w:color w:val="auto"/>
        </w:rPr>
      </w:pPr>
    </w:p>
    <w:p>
      <w:pPr>
        <w:ind w:left="1220" w:hanging="321"/>
        <w:spacing w:after="0"/>
        <w:tabs>
          <w:tab w:leader="none" w:pos="122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has the meaning set forth in Section 2.</w:t>
      </w:r>
    </w:p>
    <w:p>
      <w:pPr>
        <w:spacing w:after="0" w:line="198" w:lineRule="exact"/>
        <w:rPr>
          <w:rFonts w:ascii="Arial" w:cs="Arial" w:eastAsia="Arial" w:hAnsi="Arial"/>
          <w:sz w:val="18"/>
          <w:szCs w:val="18"/>
          <w:color w:val="auto"/>
        </w:rPr>
      </w:pPr>
    </w:p>
    <w:p>
      <w:pPr>
        <w:ind w:right="160" w:firstLine="899"/>
        <w:spacing w:after="0" w:line="277" w:lineRule="auto"/>
        <w:tabs>
          <w:tab w:leader="none" w:pos="1172"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29" w:lineRule="exact"/>
        <w:rPr>
          <w:rFonts w:ascii="Arial" w:cs="Arial" w:eastAsia="Arial" w:hAnsi="Arial"/>
          <w:sz w:val="18"/>
          <w:szCs w:val="18"/>
          <w:color w:val="auto"/>
        </w:rPr>
      </w:pPr>
    </w:p>
    <w:p>
      <w:pPr>
        <w:ind w:left="1240" w:hanging="341"/>
        <w:spacing w:after="0"/>
        <w:tabs>
          <w:tab w:leader="none" w:pos="124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set forth in Section 4(d).</w:t>
      </w:r>
    </w:p>
    <w:p>
      <w:pPr>
        <w:spacing w:after="0" w:line="184" w:lineRule="exact"/>
        <w:rPr>
          <w:rFonts w:ascii="Arial" w:cs="Arial" w:eastAsia="Arial" w:hAnsi="Arial"/>
          <w:sz w:val="18"/>
          <w:szCs w:val="18"/>
          <w:color w:val="auto"/>
        </w:rPr>
      </w:pPr>
    </w:p>
    <w:p>
      <w:pPr>
        <w:ind w:firstLine="899"/>
        <w:spacing w:after="0" w:line="257" w:lineRule="auto"/>
        <w:tabs>
          <w:tab w:leader="none" w:pos="1236"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as to any Holder, to the extent applicable and required to permit such Holder to convert such Holder’s shares of Series G Preferred Stock into Non-Voting Common Stock and to own such Non-Voting Common Stock without such Holder being in violation of applicable law, rule or regulation, the receipt of approvals and authorizations of, filings and registrations with or notifications to any governmental authority, or expiration or termination of any applicable waiting period under, the Hart-Scott-Rodino Antitrust Improvements Act of 1976, as amended, and the rules and regulations thereunder.</w:t>
      </w:r>
    </w:p>
    <w:p>
      <w:pPr>
        <w:spacing w:after="0" w:line="160" w:lineRule="exact"/>
        <w:rPr>
          <w:rFonts w:ascii="Arial" w:cs="Arial" w:eastAsia="Arial" w:hAnsi="Arial"/>
          <w:sz w:val="18"/>
          <w:szCs w:val="18"/>
          <w:color w:val="auto"/>
        </w:rPr>
      </w:pPr>
    </w:p>
    <w:p>
      <w:pPr>
        <w:ind w:left="1160" w:hanging="261"/>
        <w:spacing w:after="0"/>
        <w:tabs>
          <w:tab w:leader="none" w:pos="11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has the meaning set forth in Section 11(a).</w:t>
      </w:r>
    </w:p>
    <w:p>
      <w:pPr>
        <w:spacing w:after="0" w:line="184" w:lineRule="exact"/>
        <w:rPr>
          <w:rFonts w:ascii="Arial" w:cs="Arial" w:eastAsia="Arial" w:hAnsi="Arial"/>
          <w:sz w:val="18"/>
          <w:szCs w:val="18"/>
          <w:color w:val="auto"/>
        </w:rPr>
      </w:pPr>
    </w:p>
    <w:p>
      <w:pPr>
        <w:ind w:left="1160" w:hanging="261"/>
        <w:spacing w:after="0"/>
        <w:tabs>
          <w:tab w:leader="none" w:pos="1160" w:val="left"/>
        </w:tabs>
        <w:numPr>
          <w:ilvl w:val="2"/>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has the meaning set forth in Section 1.</w:t>
      </w:r>
    </w:p>
    <w:p>
      <w:pPr>
        <w:spacing w:after="0" w:line="184" w:lineRule="exact"/>
        <w:rPr>
          <w:rFonts w:ascii="Arial" w:cs="Arial" w:eastAsia="Arial" w:hAnsi="Arial"/>
          <w:sz w:val="18"/>
          <w:szCs w:val="18"/>
          <w:color w:val="auto"/>
        </w:rPr>
      </w:pPr>
    </w:p>
    <w:p>
      <w:pPr>
        <w:ind w:right="20" w:firstLine="899"/>
        <w:spacing w:after="0" w:line="291" w:lineRule="auto"/>
        <w:tabs>
          <w:tab w:leader="none" w:pos="1236" w:val="left"/>
        </w:tabs>
        <w:numPr>
          <w:ilvl w:val="2"/>
          <w:numId w:val="1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 Approvals</w:t>
      </w:r>
      <w:r>
        <w:rPr>
          <w:rFonts w:ascii="Arial" w:cs="Arial" w:eastAsia="Arial" w:hAnsi="Arial"/>
          <w:sz w:val="16"/>
          <w:szCs w:val="16"/>
          <w:color w:val="auto"/>
        </w:rPr>
        <w:t>” means all stockholder approvals necessary to (1) approve the conversion of the Non-Voting Common Stock into Common Stock for purposes of Rule 5635 of the Nasdaq Stock Market Rules, and (2) approve the amendment to the Articles of Incorporation to</w:t>
      </w:r>
    </w:p>
    <w:p>
      <w:pPr>
        <w:ind w:right="140" w:firstLine="8"/>
        <w:spacing w:after="0" w:line="277" w:lineRule="auto"/>
        <w:tabs>
          <w:tab w:leader="none" w:pos="21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authorize a number of shares of Non-Voting Common Stock sufficient to permit the full conversion of the Series G Preferred Stock into Non-Voting Common Stock and the issuance of certain additional shares of Non-Voting Common Stock and (ii) increase the number of authorized shares of Common Stock to at least such number as shall be sufficient to permit the full conversion of the Non-Voting Common Stock.</w:t>
      </w:r>
    </w:p>
    <w:p>
      <w:pPr>
        <w:spacing w:after="0" w:line="145" w:lineRule="exact"/>
        <w:rPr>
          <w:rFonts w:ascii="Arial" w:cs="Arial" w:eastAsia="Arial" w:hAnsi="Arial"/>
          <w:sz w:val="17"/>
          <w:szCs w:val="17"/>
          <w:color w:val="auto"/>
        </w:rPr>
      </w:pPr>
    </w:p>
    <w:p>
      <w:pPr>
        <w:ind w:left="1160" w:hanging="261"/>
        <w:spacing w:after="0"/>
        <w:tabs>
          <w:tab w:leader="none" w:pos="116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shares of Common Stock:</w:t>
      </w:r>
    </w:p>
    <w:p>
      <w:pPr>
        <w:spacing w:after="0" w:line="184" w:lineRule="exact"/>
        <w:rPr>
          <w:rFonts w:ascii="Arial" w:cs="Arial" w:eastAsia="Arial" w:hAnsi="Arial"/>
          <w:sz w:val="18"/>
          <w:szCs w:val="18"/>
          <w:color w:val="auto"/>
        </w:rPr>
      </w:pPr>
    </w:p>
    <w:p>
      <w:pPr>
        <w:ind w:left="660" w:hanging="207"/>
        <w:spacing w:after="0"/>
        <w:tabs>
          <w:tab w:leader="none" w:pos="66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are not suspended from trading on any national or regional securities exchange or association or over-the-counter market at the close of business;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70" w:lineRule="exact"/>
        <w:rPr>
          <w:rFonts w:ascii="Arial" w:cs="Arial" w:eastAsia="Arial" w:hAnsi="Arial"/>
          <w:sz w:val="16"/>
          <w:szCs w:val="16"/>
          <w:color w:val="auto"/>
        </w:rPr>
      </w:pPr>
    </w:p>
    <w:p>
      <w:pPr>
        <w:ind w:right="140" w:firstLine="453"/>
        <w:spacing w:after="0" w:line="277" w:lineRule="auto"/>
        <w:tabs>
          <w:tab w:leader="none" w:pos="71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have traded at least once on the national or regional securities exchange or association or over-the-counter market that is the primary market for the trading of the Common Stock.</w:t>
      </w:r>
    </w:p>
    <w:p>
      <w:pPr>
        <w:spacing w:after="0" w:line="143" w:lineRule="exact"/>
        <w:rPr>
          <w:rFonts w:ascii="Arial" w:cs="Arial" w:eastAsia="Arial" w:hAnsi="Arial"/>
          <w:sz w:val="18"/>
          <w:szCs w:val="18"/>
          <w:color w:val="auto"/>
        </w:rPr>
      </w:pPr>
    </w:p>
    <w:p>
      <w:pPr>
        <w:ind w:left="1340" w:hanging="441"/>
        <w:spacing w:after="0"/>
        <w:tabs>
          <w:tab w:leader="none" w:pos="134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Violation</w:t>
      </w:r>
      <w:r>
        <w:rPr>
          <w:rFonts w:ascii="Arial" w:cs="Arial" w:eastAsia="Arial" w:hAnsi="Arial"/>
          <w:sz w:val="18"/>
          <w:szCs w:val="18"/>
          <w:color w:val="auto"/>
        </w:rPr>
        <w:t>” means a violation of the stockholder approval requirements of Rule 5635 of the Nasdaq Stock Market Rules.</w:t>
      </w:r>
    </w:p>
    <w:p>
      <w:pPr>
        <w:spacing w:after="0" w:line="184" w:lineRule="exact"/>
        <w:rPr>
          <w:rFonts w:ascii="Arial" w:cs="Arial" w:eastAsia="Arial" w:hAnsi="Arial"/>
          <w:sz w:val="18"/>
          <w:szCs w:val="18"/>
          <w:color w:val="auto"/>
        </w:rPr>
      </w:pPr>
    </w:p>
    <w:p>
      <w:pPr>
        <w:ind w:left="1240" w:hanging="341"/>
        <w:spacing w:after="0"/>
        <w:tabs>
          <w:tab w:leader="none" w:pos="124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has the meaning set forth in the BHC Act and any rules or regulations promulgated thereunder.</w:t>
      </w:r>
    </w:p>
    <w:p>
      <w:pPr>
        <w:spacing w:after="0" w:line="185" w:lineRule="exact"/>
        <w:rPr>
          <w:sz w:val="20"/>
          <w:szCs w:val="20"/>
          <w:color w:val="auto"/>
        </w:rPr>
      </w:pPr>
    </w:p>
    <w:p>
      <w:pPr>
        <w:ind w:right="200" w:firstLine="891"/>
        <w:spacing w:after="0" w:line="263" w:lineRule="auto"/>
        <w:rPr>
          <w:sz w:val="20"/>
          <w:szCs w:val="20"/>
          <w:color w:val="auto"/>
        </w:rPr>
      </w:pPr>
      <w:r>
        <w:rPr>
          <w:rFonts w:ascii="Arial" w:cs="Arial" w:eastAsia="Arial" w:hAnsi="Arial"/>
          <w:sz w:val="18"/>
          <w:szCs w:val="18"/>
          <w:i w:val="1"/>
          <w:iCs w:val="1"/>
          <w:color w:val="auto"/>
        </w:rPr>
        <w:t xml:space="preserve">Section 4. Dividends. </w:t>
      </w:r>
      <w:r>
        <w:rPr>
          <w:rFonts w:ascii="Arial" w:cs="Arial" w:eastAsia="Arial" w:hAnsi="Arial"/>
          <w:sz w:val="18"/>
          <w:szCs w:val="18"/>
          <w:color w:val="auto"/>
        </w:rPr>
        <w:t>(a) From and after the Effective Date, the Holders shall be entitled to receive, when, as and if declared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a duly authorized committee of the Board of Directors, out of funds legally available therefor, cumulative dividends of the type and in the amounts determined as set forth in this Section 4, and no more.</w:t>
      </w:r>
    </w:p>
    <w:p>
      <w:pPr>
        <w:spacing w:after="0" w:line="157" w:lineRule="exact"/>
        <w:rPr>
          <w:sz w:val="20"/>
          <w:szCs w:val="20"/>
          <w:color w:val="auto"/>
        </w:rPr>
      </w:pPr>
    </w:p>
    <w:p>
      <w:pPr>
        <w:ind w:right="240" w:firstLine="899"/>
        <w:spacing w:after="0" w:line="257" w:lineRule="auto"/>
        <w:tabs>
          <w:tab w:leader="none" w:pos="11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Commencing on the Effective Date, dividends shall accrue and shall be payable semi-annually in arrears on March 30th and September 30th of each year (each, a “</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or, if any such day is not a Business Day, the next Business Day. Dividends payable pursuant to this Section 4, if, when and as declared by the Board of Directors or a duly authorized committee of the Board of Directors, will be, for each outstanding share of Series G Preferred Stock, payable in cash at an annual rate equal to the Dividend Rate multiplied by the sum of (i) the Liquidation Preference plus (ii) all accrued and</w:t>
      </w:r>
    </w:p>
    <w:p>
      <w:pPr>
        <w:sectPr>
          <w:pgSz w:w="11900" w:h="16838" w:orient="portrait"/>
          <w:cols w:equalWidth="0" w:num="1">
            <w:col w:w="11200"/>
          </w:cols>
          <w:pgMar w:left="320" w:top="1070" w:right="37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auto"/>
        </w:rPr>
        <w:t>unpaid dividends for any prior Dividend Period that are payable on such share of Series G Preferred Stock, payable in cash (such dividend, the</w:t>
      </w:r>
    </w:p>
    <w:p>
      <w:pPr>
        <w:spacing w:after="0" w:line="3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As-Converted Dividend for such Dividend Period is greater than the Dividend, each outstanding share of Series G Preferred Stock shall be entitled to receive, when and as declared by the Board of Directors, the As-Converted Dividend rather than the Dividend.</w:t>
      </w:r>
    </w:p>
    <w:p>
      <w:pPr>
        <w:spacing w:after="0" w:line="111" w:lineRule="exact"/>
        <w:rPr>
          <w:sz w:val="20"/>
          <w:szCs w:val="20"/>
          <w:color w:val="auto"/>
        </w:rPr>
      </w:pPr>
    </w:p>
    <w:p>
      <w:pPr>
        <w:ind w:right="200" w:firstLine="899"/>
        <w:spacing w:after="0" w:line="259" w:lineRule="auto"/>
        <w:tabs>
          <w:tab w:leader="none" w:pos="113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Dividends payable pursuant to Section 4 will be computed on the basis of a 360-day year of twelve 30-day months and, for any Dividend Period greater or less than a full Dividend Period, will be computed on the basis of the actual number of days elapsed in the period divided by 360. The period from the Effective Date to but excluding September 30, 2011 and each period from and including a Dividend Payment Date to but excluding the following Dividend Payment Date is herein referred to as a “</w:t>
      </w:r>
      <w:r>
        <w:rPr>
          <w:rFonts w:ascii="Arial" w:cs="Arial" w:eastAsia="Arial" w:hAnsi="Arial"/>
          <w:sz w:val="18"/>
          <w:szCs w:val="18"/>
          <w:u w:val="single" w:color="auto"/>
          <w:color w:val="auto"/>
        </w:rPr>
        <w:t>Dividend Period</w:t>
      </w:r>
      <w:r>
        <w:rPr>
          <w:rFonts w:ascii="Arial" w:cs="Arial" w:eastAsia="Arial" w:hAnsi="Arial"/>
          <w:sz w:val="18"/>
          <w:szCs w:val="18"/>
          <w:color w:val="auto"/>
        </w:rPr>
        <w:t>”.</w:t>
      </w:r>
    </w:p>
    <w:p>
      <w:pPr>
        <w:spacing w:after="0" w:line="146" w:lineRule="exact"/>
        <w:rPr>
          <w:rFonts w:ascii="Arial" w:cs="Arial" w:eastAsia="Arial" w:hAnsi="Arial"/>
          <w:sz w:val="18"/>
          <w:szCs w:val="18"/>
          <w:color w:val="auto"/>
        </w:rPr>
      </w:pPr>
    </w:p>
    <w:p>
      <w:pPr>
        <w:ind w:right="180" w:firstLine="899"/>
        <w:spacing w:after="0" w:line="263" w:lineRule="auto"/>
        <w:tabs>
          <w:tab w:leader="none" w:pos="114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Each dividend will be payable to Holders of record as they appear in the records of the Corporation on the applicable record date (each, a “</w:t>
      </w:r>
      <w:r>
        <w:rPr>
          <w:rFonts w:ascii="Arial" w:cs="Arial" w:eastAsia="Arial" w:hAnsi="Arial"/>
          <w:sz w:val="18"/>
          <w:szCs w:val="18"/>
          <w:u w:val="single" w:color="auto"/>
          <w:color w:val="auto"/>
        </w:rPr>
        <w:t>Record Date</w:t>
      </w:r>
      <w:r>
        <w:rPr>
          <w:rFonts w:ascii="Arial" w:cs="Arial" w:eastAsia="Arial" w:hAnsi="Arial"/>
          <w:sz w:val="18"/>
          <w:szCs w:val="18"/>
          <w:color w:val="auto"/>
        </w:rPr>
        <w:t>”), which with respect to dividends payable pursuant to this Section 4, shall be on the fifteenth day of the month immediately prior to the month in which the relevant Dividend Payment Date occurs.</w:t>
      </w:r>
    </w:p>
    <w:p>
      <w:pPr>
        <w:spacing w:after="0" w:line="143" w:lineRule="exact"/>
        <w:rPr>
          <w:rFonts w:ascii="Arial" w:cs="Arial" w:eastAsia="Arial" w:hAnsi="Arial"/>
          <w:sz w:val="18"/>
          <w:szCs w:val="18"/>
          <w:color w:val="auto"/>
        </w:rPr>
      </w:pPr>
    </w:p>
    <w:p>
      <w:pPr>
        <w:ind w:right="80" w:firstLine="899"/>
        <w:spacing w:after="0" w:line="257" w:lineRule="auto"/>
        <w:tabs>
          <w:tab w:leader="none" w:pos="1136"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Dividends on the Series G Preferred Stock are cumulative. Such dividends shall begin to accrue and be cumulative from the Effective Date (in the case of the shares of Series G Preferred Stock issued on the Effective Date), shall compound at the relevant rate on each subsequent Dividend Payment Date (</w:t>
      </w:r>
      <w:r>
        <w:rPr>
          <w:rFonts w:ascii="Arial" w:cs="Arial" w:eastAsia="Arial" w:hAnsi="Arial"/>
          <w:sz w:val="18"/>
          <w:szCs w:val="18"/>
          <w:i w:val="1"/>
          <w:iCs w:val="1"/>
          <w:color w:val="auto"/>
        </w:rPr>
        <w:t>i.e.</w:t>
      </w:r>
      <w:r>
        <w:rPr>
          <w:rFonts w:ascii="Arial" w:cs="Arial" w:eastAsia="Arial" w:hAnsi="Arial"/>
          <w:sz w:val="18"/>
          <w:szCs w:val="18"/>
          <w:color w:val="auto"/>
        </w:rPr>
        <w:t>, no dividends shall accrue on another dividend unless and until the first Dividend Payment Date for such other dividends has passed without such other dividends having been paid on such date) and shall be payable semi-annually in arrears on each Dividend Payment Date, commencing with the first such Dividend Payment Date.</w:t>
      </w:r>
    </w:p>
    <w:p>
      <w:pPr>
        <w:spacing w:after="0" w:line="160" w:lineRule="exact"/>
        <w:rPr>
          <w:rFonts w:ascii="Arial" w:cs="Arial" w:eastAsia="Arial" w:hAnsi="Arial"/>
          <w:sz w:val="18"/>
          <w:szCs w:val="18"/>
          <w:color w:val="auto"/>
        </w:rPr>
      </w:pPr>
    </w:p>
    <w:p>
      <w:pPr>
        <w:ind w:right="200" w:firstLine="899"/>
        <w:spacing w:after="0" w:line="286" w:lineRule="auto"/>
        <w:tabs>
          <w:tab w:leader="none" w:pos="111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So long as any shares of Series G Preferred Stock remain outstanding, if all dividends payable pursuant to Section 4 on all outstanding shares of the Series G Preferred Stock for any Dividend Period have not been declared and paid, or declared and funds set aside therefor, the Corporation shall not, directly or indirectly, (x) declare or pay dividends with respect to, or make any distributions on, or, directly or indirectly, redeem, purchase or acquire any of its Junior Securities or (y) directly or indirectly, redeem, purchase or acquire any of its Parity Securities, other than, in each case,</w:t>
      </w:r>
    </w:p>
    <w:p>
      <w:pPr>
        <w:spacing w:after="0" w:line="1" w:lineRule="exact"/>
        <w:rPr>
          <w:rFonts w:ascii="Arial" w:cs="Arial" w:eastAsia="Arial" w:hAnsi="Arial"/>
          <w:sz w:val="16"/>
          <w:szCs w:val="16"/>
          <w:color w:val="auto"/>
        </w:rPr>
      </w:pPr>
    </w:p>
    <w:p>
      <w:pPr>
        <w:ind w:firstLine="8"/>
        <w:spacing w:after="0" w:line="284" w:lineRule="auto"/>
        <w:tabs>
          <w:tab w:leader="none" w:pos="21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redemptions, purchases or other acquisitions of Junior Securities or Parity Securities in connection with any employment contract, benefit plan or other similar arrangement with or for the benefit of any one or more employees, officers, directors or consultants or in connection with a dividend reinvestment plan, (ii) any declaration of a dividend in connection with any stockholders’ rights plan, or the issuance of rights, stock or other property under any stockholders’ rights plan, or the redemption or repurchase of rights pursuant thereto, (iii) conversions or exchanges of Junior Securities or Parity Securities for Junior Securities or Parity Securities, respectively, and (iv) any purchase of fractional interests in shares of the Corporation’s capital stock pursuant to the conversion or exchange provisions of such capital stock or the securities being converted or exchanged. If dividends payable pursuant to Section 4 for any Dividend Payment Date are not paid in full, or declared and funds set aside therefor on the shares of the Series G Preferred Stock and there are issued and outstanding shares of Parity Securities with the same Dividend Payment Date (or, in the case of Parity Securities having dividend payment dates different from the Dividend Payment Dates, on a dividend payment date falling within a Dividend Period applicable to such Dividend Payment Date), then all dividends declared on shares of the Series G Preferred Stock and such Parity Securities on such date or dates, as the case may be, shall be declared pro rata so that the respective amounts of such dividends shall bear the same ratio to each other as full semi-annual dividends per share payable on the shares of the Series G Preferred Stock pursuant to Section 4 and all such Parity Securities otherwise payable on such Dividend Payment Date (or, in the case of Parity Securities having dividend payment dates different from the Dividend Payment Dates, on a dividend payment date falling within a Dividend Period applicable to such Dividend Payment Date) (subject to such dividends on such Parity Securities having been declared by the Board of Directors out of legally available funds and including, in the case of any such Parity Securities that bear cumulative dividends, all accrued but unpaid dividends) bear to each other. However, the foregoing provisions shall not restrict the ability of any Affiliate of the Corporation to engage in any market making transactions in Junior Securities in the ordinary course of business.</w:t>
      </w:r>
    </w:p>
    <w:p>
      <w:pPr>
        <w:spacing w:after="0" w:line="131" w:lineRule="exact"/>
        <w:rPr>
          <w:rFonts w:ascii="Arial" w:cs="Arial" w:eastAsia="Arial" w:hAnsi="Arial"/>
          <w:sz w:val="16"/>
          <w:szCs w:val="16"/>
          <w:color w:val="auto"/>
        </w:rPr>
      </w:pPr>
    </w:p>
    <w:p>
      <w:pPr>
        <w:ind w:right="160" w:firstLine="899"/>
        <w:spacing w:after="0" w:line="279" w:lineRule="auto"/>
        <w:tabs>
          <w:tab w:leader="none" w:pos="1146"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If the Mandatory Conversion Date with respect to any share of Series G Preferred Stock is prior to the Dividend Payment Date applicable to any Dividend Period, the Holder of such share of Series G Preferred Stock will not have the right to receive any dividends on the Series G Preferred Stock with respect to such Dividend Period, provided that this provision shall not affect any rights to receive any accrued but unpaid dividends on the Series G Preferred Stock attributable to any Dividend Period completed prior to the Mandatory Conversion Date.</w:t>
      </w:r>
    </w:p>
    <w:p>
      <w:pPr>
        <w:spacing w:after="0" w:line="130" w:lineRule="exact"/>
        <w:rPr>
          <w:rFonts w:ascii="Arial" w:cs="Arial" w:eastAsia="Arial" w:hAnsi="Arial"/>
          <w:sz w:val="17"/>
          <w:szCs w:val="17"/>
          <w:color w:val="auto"/>
        </w:rPr>
      </w:pPr>
    </w:p>
    <w:p>
      <w:pPr>
        <w:ind w:right="280" w:firstLine="899"/>
        <w:spacing w:after="0" w:line="259" w:lineRule="auto"/>
        <w:tabs>
          <w:tab w:leader="none" w:pos="1143"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Corporation, in satisfaction of its obligation to issue preferred stock under any provision of this Certificate of Designations to any Holder, may, in order to minimize the number of its authorized and unissued shares of preferred stock used for such purpose, issue depositary shares for such preferred stock, with such depositary shares and underlying preferred stock being in such denominations as the Corporation and such Holder shall mutually agree.</w:t>
      </w:r>
    </w:p>
    <w:p>
      <w:pPr>
        <w:sectPr>
          <w:pgSz w:w="11900" w:h="16838" w:orient="portrait"/>
          <w:cols w:equalWidth="0" w:num="1">
            <w:col w:w="11220"/>
          </w:cols>
          <w:pgMar w:left="320" w:top="1070" w:right="359" w:bottom="1440" w:gutter="0" w:footer="0" w:header="0"/>
        </w:sectPr>
      </w:pPr>
    </w:p>
    <w:bookmarkStart w:id="118" w:name="page119"/>
    <w:bookmarkEnd w:id="118"/>
    <w:p>
      <w:pPr>
        <w:ind w:right="40" w:firstLine="891"/>
        <w:spacing w:after="0" w:line="271" w:lineRule="auto"/>
        <w:rPr>
          <w:sz w:val="20"/>
          <w:szCs w:val="20"/>
          <w:color w:val="auto"/>
        </w:rPr>
      </w:pPr>
      <w:r>
        <w:rPr>
          <w:rFonts w:ascii="Arial" w:cs="Arial" w:eastAsia="Arial" w:hAnsi="Arial"/>
          <w:sz w:val="17"/>
          <w:szCs w:val="17"/>
          <w:i w:val="1"/>
          <w:iCs w:val="1"/>
          <w:color w:val="auto"/>
        </w:rPr>
        <w:t xml:space="preserve">Section 5. Liquidation. </w:t>
      </w:r>
      <w:r>
        <w:rPr>
          <w:rFonts w:ascii="Arial" w:cs="Arial" w:eastAsia="Arial" w:hAnsi="Arial"/>
          <w:sz w:val="17"/>
          <w:szCs w:val="17"/>
          <w:color w:val="auto"/>
        </w:rPr>
        <w:t>(a) In the event the Corporation voluntarily or involuntarily liquidates, dissolves or winds up, the Holders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entitled to receive liquidating distributions in an amount equal to the greater of (i) the Liquidation Preference per share of Series G Preferred Stock plus an amount equal to any accrued but unpaid dividends, whether or not declared, thereon to and including the date of such liquidation and (ii) the payment or distribution to which such Holders would have been entitled if the Series G Preferred Stock were converted into Non-Voting Common Stock (assuming receipt of the Stockholder Approvals and, if necessary, Regulatory Approval) immediately before such liquidation, dissolution or winding-up, out of assets legally available for distribution to the Corporation’s stockholders, before any distribution of assets is made to the holders of the Company Common Stock or any other Junior Securities. After payment of the full amount of such liquidation distribution, the Holders shall not be entitled to any further participation in any distribution of assets by the Corporation.</w:t>
      </w:r>
    </w:p>
    <w:p>
      <w:pPr>
        <w:spacing w:after="0" w:line="151" w:lineRule="exact"/>
        <w:rPr>
          <w:sz w:val="20"/>
          <w:szCs w:val="20"/>
          <w:color w:val="auto"/>
        </w:rPr>
      </w:pPr>
    </w:p>
    <w:p>
      <w:pPr>
        <w:ind w:right="20" w:firstLine="899"/>
        <w:spacing w:after="0" w:line="257" w:lineRule="auto"/>
        <w:tabs>
          <w:tab w:leader="none" w:pos="11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the event the assets of the Corporation available for distribution to stockholders upon any liquidation, dissolution or winding-up of the affairs of the Corporation, whether voluntary or involuntary, shall be insufficient to pay in full the amounts payable with respect to all outstanding shares of the Series G Preferred Stock and the corresponding amounts payable on any Parity Securities, Holders and the holders of such Parity Securities shall share ratably in any distribution of assets of the Corporation in proportion to the full respective liquidating distributions to which they would otherwise be respectively entitled.</w:t>
      </w:r>
    </w:p>
    <w:p>
      <w:pPr>
        <w:spacing w:after="0" w:line="147" w:lineRule="exact"/>
        <w:rPr>
          <w:rFonts w:ascii="Arial" w:cs="Arial" w:eastAsia="Arial" w:hAnsi="Arial"/>
          <w:sz w:val="18"/>
          <w:szCs w:val="18"/>
          <w:color w:val="auto"/>
        </w:rPr>
      </w:pPr>
    </w:p>
    <w:p>
      <w:pPr>
        <w:jc w:val="both"/>
        <w:ind w:right="360" w:firstLine="899"/>
        <w:spacing w:after="0" w:line="342" w:lineRule="auto"/>
        <w:tabs>
          <w:tab w:leader="none" w:pos="113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Corporation’s consolidation or merger with or into any other entity, the consolidation or merger of any other entity with or into the Corporation, or the sale of all or substantially all of the Corporation’s property or business will not constitute its liquidation, dissolution or winding up.</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7"/>
          <w:szCs w:val="17"/>
          <w:i w:val="1"/>
          <w:iCs w:val="1"/>
          <w:color w:val="auto"/>
        </w:rPr>
        <w:t>Section 6. Maturity</w:t>
      </w:r>
      <w:r>
        <w:rPr>
          <w:rFonts w:ascii="Arial" w:cs="Arial" w:eastAsia="Arial" w:hAnsi="Arial"/>
          <w:sz w:val="17"/>
          <w:szCs w:val="17"/>
          <w:color w:val="auto"/>
        </w:rPr>
        <w:t>. The Series G Preferred Stock shall be perpetual unless converted in accordance with this Certificate of Designations.</w:t>
      </w:r>
    </w:p>
    <w:p>
      <w:pPr>
        <w:spacing w:after="0" w:line="21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7. Redemptions</w:t>
      </w:r>
      <w:r>
        <w:rPr>
          <w:rFonts w:ascii="Arial" w:cs="Arial" w:eastAsia="Arial" w:hAnsi="Arial"/>
          <w:sz w:val="18"/>
          <w:szCs w:val="18"/>
          <w:color w:val="auto"/>
        </w:rPr>
        <w:t>.</w:t>
      </w:r>
    </w:p>
    <w:p>
      <w:pPr>
        <w:spacing w:after="0" w:line="185" w:lineRule="exact"/>
        <w:rPr>
          <w:sz w:val="20"/>
          <w:szCs w:val="20"/>
          <w:color w:val="auto"/>
        </w:rPr>
      </w:pPr>
    </w:p>
    <w:p>
      <w:pPr>
        <w:ind w:right="220" w:firstLine="899"/>
        <w:spacing w:after="0" w:line="286" w:lineRule="auto"/>
        <w:tabs>
          <w:tab w:leader="none" w:pos="1135" w:val="left"/>
        </w:tabs>
        <w:numPr>
          <w:ilvl w:val="1"/>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Optional Redemption</w:t>
      </w:r>
      <w:r>
        <w:rPr>
          <w:rFonts w:ascii="Arial" w:cs="Arial" w:eastAsia="Arial" w:hAnsi="Arial"/>
          <w:sz w:val="16"/>
          <w:szCs w:val="16"/>
          <w:color w:val="auto"/>
        </w:rPr>
        <w:t>. The Series G Preferred Stock may not be redeemed by the Corporation prior to December 31, 2015.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2015, the Corporation, at its option, may redeem in whole at any time the shares of Series G Preferred Stock at the time outstanding, upon notice given as provided in Section 7(c) below, at a redemption price per share payable in cash equal to the greater of (i) 150.0% of the sum of (A) the Liquidation Preference, plus (B) all accrued and unpaid dividends, whether or not declared, up to, but excluding, the date fixed for redemption and</w:t>
      </w:r>
    </w:p>
    <w:p>
      <w:pPr>
        <w:spacing w:after="0" w:line="1" w:lineRule="exact"/>
        <w:rPr>
          <w:rFonts w:ascii="Arial" w:cs="Arial" w:eastAsia="Arial" w:hAnsi="Arial"/>
          <w:sz w:val="16"/>
          <w:szCs w:val="16"/>
          <w:color w:val="auto"/>
        </w:rPr>
      </w:pPr>
    </w:p>
    <w:p>
      <w:pPr>
        <w:ind w:firstLine="8"/>
        <w:spacing w:after="0" w:line="290" w:lineRule="auto"/>
        <w:tabs>
          <w:tab w:leader="none" w:pos="26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125.0% of (A) the number of shares of Non-Voting Common Stock into which a share of Series G Preferred Stock would be convertible on the Trading Day immediately prior to the date fixed for redemption (assuming receipt of Stockholder Approvals and, if applicable, the Regulatory Approval) multiplied by (B) the Closing Price of Common Stock on such Trading Day. The redemption price for any shares of Series G Preferred Stock shall be payable on the redemption date to the Holder of such shares against surrender of the certificate(s) evidencing such shares to the Corporation or its agent. Any declared but unpaid dividends payable on a redemption date that occurs subsequent to a Record Date for a Dividend Period shall not be paid to the Holder entitled to receive the redemption price on the redemption date, but rather shall be paid to the holder of record of the redeemed shares on such Record Date.</w:t>
      </w:r>
    </w:p>
    <w:p>
      <w:pPr>
        <w:spacing w:after="0" w:line="123" w:lineRule="exact"/>
        <w:rPr>
          <w:rFonts w:ascii="Arial" w:cs="Arial" w:eastAsia="Arial" w:hAnsi="Arial"/>
          <w:sz w:val="16"/>
          <w:szCs w:val="16"/>
          <w:color w:val="auto"/>
        </w:rPr>
      </w:pPr>
    </w:p>
    <w:p>
      <w:pPr>
        <w:ind w:right="40" w:firstLine="899"/>
        <w:spacing w:after="0" w:line="277" w:lineRule="auto"/>
        <w:tabs>
          <w:tab w:leader="none" w:pos="1146" w:val="left"/>
        </w:tabs>
        <w:numPr>
          <w:ilvl w:val="1"/>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No Sinking Fund</w:t>
      </w:r>
      <w:r>
        <w:rPr>
          <w:rFonts w:ascii="Arial" w:cs="Arial" w:eastAsia="Arial" w:hAnsi="Arial"/>
          <w:sz w:val="18"/>
          <w:szCs w:val="18"/>
          <w:color w:val="auto"/>
        </w:rPr>
        <w:t>. The Series G Preferred Stock will not be subject to any mandatory redemption, sinking fund or other similar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Series G Preferred Stock will have no right to require redemption of any shares of Series G Preferred Stock.</w:t>
      </w:r>
    </w:p>
    <w:p>
      <w:pPr>
        <w:spacing w:after="0" w:line="143" w:lineRule="exact"/>
        <w:rPr>
          <w:rFonts w:ascii="Arial" w:cs="Arial" w:eastAsia="Arial" w:hAnsi="Arial"/>
          <w:sz w:val="18"/>
          <w:szCs w:val="18"/>
          <w:color w:val="auto"/>
        </w:rPr>
      </w:pPr>
    </w:p>
    <w:p>
      <w:pPr>
        <w:ind w:right="40" w:firstLine="899"/>
        <w:spacing w:after="0" w:line="269" w:lineRule="auto"/>
        <w:tabs>
          <w:tab w:leader="none" w:pos="1135" w:val="left"/>
        </w:tabs>
        <w:numPr>
          <w:ilvl w:val="1"/>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Notice of Redemption</w:t>
      </w:r>
      <w:r>
        <w:rPr>
          <w:rFonts w:ascii="Arial" w:cs="Arial" w:eastAsia="Arial" w:hAnsi="Arial"/>
          <w:sz w:val="17"/>
          <w:szCs w:val="17"/>
          <w:color w:val="auto"/>
        </w:rPr>
        <w:t>. Notice of every redemption of shares of Series G Preferred Stock shall be given by first class mail, postage prepaid,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addressed to the Holders of the shares to be redeemed at their respective last addresses appearing on the books of the Corporation. Such mailing shall be at least 30 days and not more than 60 days before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failure to give such notice by mail, or any defect in such notice or in the mailing thereof, to any Holder of shares of Series G Preferred Stock designated for redemption shall not affect the validity of the proceedings for the redemption of any other shares of Series G Preferred Stock to be so redeemed except as to the Holder to whom the Corporation has failed to give such notice or except as to the Holder to whom notice was defective. Notwithstanding the foregoing, if the Series G Preferred Stock or any depositary shares representing interests in the Series G Preferred Stock are issued in book-entry form through The Depository Trust Company or any other similar facility, notice of redemption may be given to the Holders of Series G Preferred Stock at such time and in any manner permitted by such facility. Each such notice given to a Holder shall state: (1) the redemption date; (2) the number of shares of Series G Preferred Stock to be redeemed; (3) the redemption price (or manner of determination of the redemption price); and (4) the place or places where certificates for such shares are to be surrendered for payment of the redemption price.</w:t>
      </w:r>
    </w:p>
    <w:p>
      <w:pPr>
        <w:sectPr>
          <w:pgSz w:w="11900" w:h="16838" w:orient="portrait"/>
          <w:cols w:equalWidth="0" w:num="1">
            <w:col w:w="11220"/>
          </w:cols>
          <w:pgMar w:left="320" w:top="1070" w:right="359" w:bottom="1440" w:gutter="0" w:footer="0" w:header="0"/>
        </w:sectPr>
      </w:pPr>
    </w:p>
    <w:bookmarkStart w:id="119" w:name="page120"/>
    <w:bookmarkEnd w:id="119"/>
    <w:p>
      <w:pPr>
        <w:ind w:firstLine="899"/>
        <w:spacing w:after="0" w:line="287" w:lineRule="auto"/>
        <w:tabs>
          <w:tab w:leader="none" w:pos="1146" w:val="left"/>
        </w:tabs>
        <w:numPr>
          <w:ilvl w:val="0"/>
          <w:numId w:val="132"/>
        </w:numPr>
        <w:rPr>
          <w:rFonts w:ascii="Arial" w:cs="Arial" w:eastAsia="Arial" w:hAnsi="Arial"/>
          <w:sz w:val="16"/>
          <w:szCs w:val="16"/>
          <w:color w:val="auto"/>
        </w:rPr>
      </w:pPr>
      <w:r>
        <w:rPr>
          <w:rFonts w:ascii="Arial" w:cs="Arial" w:eastAsia="Arial" w:hAnsi="Arial"/>
          <w:sz w:val="16"/>
          <w:szCs w:val="16"/>
          <w:b w:val="1"/>
          <w:bCs w:val="1"/>
          <w:i w:val="1"/>
          <w:iCs w:val="1"/>
          <w:color w:val="auto"/>
        </w:rPr>
        <w:t>Effectiveness of Redemption</w:t>
      </w:r>
      <w:r>
        <w:rPr>
          <w:rFonts w:ascii="Arial" w:cs="Arial" w:eastAsia="Arial" w:hAnsi="Arial"/>
          <w:sz w:val="16"/>
          <w:szCs w:val="16"/>
          <w:color w:val="auto"/>
        </w:rPr>
        <w:t>. If notice of redemption has been duly given as provided in Section 7(c) and if on or before the redemption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date specified in the notice all funds necessary for the redemption have been set aside by the Corporation, separate and apart from its other funds,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so as to be and continue to be available therefor, then, notwithstanding that any certificate for any share so called for redemption has not been surrendered for cancellation, on and after the redemption date unless the Corporation defaults in the payment of the redemption price, in which case such rights shall continue until the redemption price is paid,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without interest. Any funds unclaimed at the end of two years from the redemption date shall, to the extent permitted by law, be released to the Corporation, after which time the Holders of the shares so called for redemption shall look only to the Corporation for payment of the redemption price of such shares. Shares of outstanding Series G Preferred Stock that are redeemed, purchased or otherwise acquired by the Corporation, or converted into another series of Preferred Stock, shall be cancelled and shall revert to authorized but unissued shares of Preferred Stock undesignated as to series.</w:t>
      </w:r>
    </w:p>
    <w:p>
      <w:pPr>
        <w:spacing w:after="0" w:line="145" w:lineRule="exact"/>
        <w:rPr>
          <w:sz w:val="20"/>
          <w:szCs w:val="20"/>
          <w:color w:val="auto"/>
        </w:rPr>
      </w:pPr>
    </w:p>
    <w:p>
      <w:pPr>
        <w:ind w:right="60" w:firstLine="891"/>
        <w:spacing w:after="0" w:line="271" w:lineRule="auto"/>
        <w:rPr>
          <w:sz w:val="20"/>
          <w:szCs w:val="20"/>
          <w:color w:val="auto"/>
        </w:rPr>
      </w:pPr>
      <w:r>
        <w:rPr>
          <w:rFonts w:ascii="Arial" w:cs="Arial" w:eastAsia="Arial" w:hAnsi="Arial"/>
          <w:sz w:val="17"/>
          <w:szCs w:val="17"/>
          <w:i w:val="1"/>
          <w:iCs w:val="1"/>
          <w:color w:val="auto"/>
        </w:rPr>
        <w:t>Section 8. Mandatory Conversion</w:t>
      </w:r>
      <w:r>
        <w:rPr>
          <w:rFonts w:ascii="Arial" w:cs="Arial" w:eastAsia="Arial" w:hAnsi="Arial"/>
          <w:sz w:val="17"/>
          <w:szCs w:val="17"/>
          <w:color w:val="auto"/>
        </w:rPr>
        <w:t>. Effective as of the close of business on the Mandatory Conversion Date with respect to the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Series G Preferred Stock of a Holder, all such Holder’s shares of Series G Preferred Stock shall automatically convert into shares of Non-Voting Common Stock as set forth below. The number of shares of Non-Voting Common Stock into which a share of Series G Preferred Stock shall be convertible shall be determined by dividing (i) the Liquidation Preference by (ii) the Applicable Conversion Price (subject to the conversion procedures of Section 9 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the Series G Preferred Stock shall not convert into Non-Voting Common Stock unless and until all accrued and unpaid dividends, whether or not declared, with respect to any Dividend Period completed prior to the Mandatory Conversion Date (but not with respect to the Dividend Period in which the Mandatory Conversion Date occurs) have been paid in cash to the Holders. Upon conversion, Holders shall receive cash in lieu of fractional shares in accordance with Section 13 hereof.</w:t>
      </w:r>
    </w:p>
    <w:p>
      <w:pPr>
        <w:spacing w:after="0" w:line="13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9. Conversion Procedures</w:t>
      </w:r>
      <w:r>
        <w:rPr>
          <w:rFonts w:ascii="Arial" w:cs="Arial" w:eastAsia="Arial" w:hAnsi="Arial"/>
          <w:sz w:val="18"/>
          <w:szCs w:val="18"/>
          <w:color w:val="auto"/>
        </w:rPr>
        <w:t>.</w:t>
      </w:r>
    </w:p>
    <w:p>
      <w:pPr>
        <w:spacing w:after="0" w:line="185" w:lineRule="exact"/>
        <w:rPr>
          <w:sz w:val="20"/>
          <w:szCs w:val="20"/>
          <w:color w:val="auto"/>
        </w:rPr>
      </w:pPr>
    </w:p>
    <w:p>
      <w:pPr>
        <w:ind w:right="80" w:firstLine="899"/>
        <w:spacing w:after="0" w:line="279" w:lineRule="auto"/>
        <w:tabs>
          <w:tab w:leader="none" w:pos="113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Each Holder shall, promptly upon receipt of each Regulatory Approval applicable to such Holder, if any, provide written notice to the Corporation of such receipt. At least one Business Day prior to the Mandatory Conversion Date with respect to shares of any Holder, the Corporation shall provide notice of such conversion to such Holder (such notice a “</w:t>
      </w:r>
      <w:r>
        <w:rPr>
          <w:rFonts w:ascii="Arial" w:cs="Arial" w:eastAsia="Arial" w:hAnsi="Arial"/>
          <w:sz w:val="17"/>
          <w:szCs w:val="17"/>
          <w:u w:val="single" w:color="auto"/>
          <w:color w:val="auto"/>
        </w:rPr>
        <w:t>Notice of Mandatory Conversion</w:t>
      </w:r>
      <w:r>
        <w:rPr>
          <w:rFonts w:ascii="Arial" w:cs="Arial" w:eastAsia="Arial" w:hAnsi="Arial"/>
          <w:sz w:val="17"/>
          <w:szCs w:val="17"/>
          <w:color w:val="auto"/>
        </w:rPr>
        <w:t>”). In addition to any information required by applicable law or regulation, the Notice of Mandatory Conversion with respect to such Holder shall state, as appropriate:</w:t>
      </w:r>
    </w:p>
    <w:p>
      <w:pPr>
        <w:spacing w:after="0" w:line="144" w:lineRule="exact"/>
        <w:rPr>
          <w:sz w:val="20"/>
          <w:szCs w:val="20"/>
          <w:color w:val="auto"/>
        </w:rPr>
      </w:pPr>
    </w:p>
    <w:p>
      <w:pPr>
        <w:ind w:left="1120" w:hanging="221"/>
        <w:spacing w:after="0"/>
        <w:tabs>
          <w:tab w:leader="none" w:pos="11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Mandatory Conversion Date;</w:t>
      </w:r>
    </w:p>
    <w:p>
      <w:pPr>
        <w:spacing w:after="0" w:line="184" w:lineRule="exact"/>
        <w:rPr>
          <w:rFonts w:ascii="Arial" w:cs="Arial" w:eastAsia="Arial" w:hAnsi="Arial"/>
          <w:sz w:val="18"/>
          <w:szCs w:val="18"/>
          <w:color w:val="auto"/>
        </w:rPr>
      </w:pPr>
    </w:p>
    <w:p>
      <w:pPr>
        <w:ind w:left="1160" w:hanging="261"/>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Applicable Conversion Price;</w:t>
      </w:r>
    </w:p>
    <w:p>
      <w:pPr>
        <w:spacing w:after="0" w:line="184" w:lineRule="exact"/>
        <w:rPr>
          <w:rFonts w:ascii="Arial" w:cs="Arial" w:eastAsia="Arial" w:hAnsi="Arial"/>
          <w:sz w:val="18"/>
          <w:szCs w:val="18"/>
          <w:color w:val="auto"/>
        </w:rPr>
      </w:pPr>
    </w:p>
    <w:p>
      <w:pPr>
        <w:ind w:right="60" w:firstLine="899"/>
        <w:spacing w:after="0" w:line="277" w:lineRule="auto"/>
        <w:tabs>
          <w:tab w:leader="none" w:pos="120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number of shares of Non-Voting Common Stock to be issued upon conversion of each share of Series G Preferred Stock held of record by such Holder and subject to such mandatory conversion;</w:t>
      </w:r>
    </w:p>
    <w:p>
      <w:pPr>
        <w:spacing w:after="0" w:line="143" w:lineRule="exact"/>
        <w:rPr>
          <w:rFonts w:ascii="Arial" w:cs="Arial" w:eastAsia="Arial" w:hAnsi="Arial"/>
          <w:sz w:val="18"/>
          <w:szCs w:val="18"/>
          <w:color w:val="auto"/>
        </w:rPr>
      </w:pPr>
    </w:p>
    <w:p>
      <w:pPr>
        <w:ind w:right="220" w:firstLine="899"/>
        <w:spacing w:after="0" w:line="277" w:lineRule="auto"/>
        <w:tabs>
          <w:tab w:leader="none" w:pos="119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certificates are to be issued, the place or places where certificates for shares of Series G Preferred Stock held of record by such Holder are to be surrendered for issuance of certificates representing shares of Non-Voting Common Stock; and</w:t>
      </w:r>
    </w:p>
    <w:p>
      <w:pPr>
        <w:spacing w:after="0" w:line="129" w:lineRule="exact"/>
        <w:rPr>
          <w:rFonts w:ascii="Arial" w:cs="Arial" w:eastAsia="Arial" w:hAnsi="Arial"/>
          <w:sz w:val="18"/>
          <w:szCs w:val="18"/>
          <w:color w:val="auto"/>
        </w:rPr>
      </w:pPr>
    </w:p>
    <w:p>
      <w:pPr>
        <w:ind w:right="340" w:firstLine="899"/>
        <w:spacing w:after="0" w:line="277" w:lineRule="auto"/>
        <w:tabs>
          <w:tab w:leader="none" w:pos="11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amount of accrued and unpaid dividends to be paid in cash on each share of Series G Preferred Stock held of record by such Holder prior to such mandatory conversion.</w:t>
      </w:r>
    </w:p>
    <w:p>
      <w:pPr>
        <w:spacing w:after="0" w:line="130" w:lineRule="exact"/>
        <w:rPr>
          <w:sz w:val="20"/>
          <w:szCs w:val="20"/>
          <w:color w:val="auto"/>
        </w:rPr>
      </w:pPr>
    </w:p>
    <w:p>
      <w:pPr>
        <w:ind w:right="180" w:firstLine="899"/>
        <w:spacing w:after="0" w:line="287" w:lineRule="auto"/>
        <w:tabs>
          <w:tab w:leader="none" w:pos="1146"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Effective immediately prior to the close of business on the Mandatory Conversion Date with respect to any shares of Series G Preferred Stock dividends shall no longer be declared on any such shares of Series G Preferred Stock and such shares of Series G Preferred Stock shall cease to be outstanding, in each case, subject to the right of the Holder to receive (i) shares of Non-Voting Common Stock issuable upon such mandatory conversion,</w:t>
      </w:r>
    </w:p>
    <w:p>
      <w:pPr>
        <w:spacing w:after="0" w:line="2" w:lineRule="exact"/>
        <w:rPr>
          <w:rFonts w:ascii="Arial" w:cs="Arial" w:eastAsia="Arial" w:hAnsi="Arial"/>
          <w:sz w:val="16"/>
          <w:szCs w:val="16"/>
          <w:color w:val="auto"/>
        </w:rPr>
      </w:pPr>
    </w:p>
    <w:p>
      <w:pPr>
        <w:ind w:right="140" w:firstLine="8"/>
        <w:spacing w:after="0" w:line="260" w:lineRule="auto"/>
        <w:tabs>
          <w:tab w:leader="none" w:pos="2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declared and unpaid dividends on such share to the extent provided in Section 4(g) and (iii) any other payments to which such Holder is otherwise entitled pursuant to Section 5, Section 7, Section 8, Section 11 or Section 13 hereof, as applicable.</w:t>
      </w:r>
    </w:p>
    <w:p>
      <w:pPr>
        <w:spacing w:after="0" w:line="158" w:lineRule="exact"/>
        <w:rPr>
          <w:rFonts w:ascii="Arial" w:cs="Arial" w:eastAsia="Arial" w:hAnsi="Arial"/>
          <w:sz w:val="18"/>
          <w:szCs w:val="18"/>
          <w:color w:val="auto"/>
        </w:rPr>
      </w:pPr>
    </w:p>
    <w:p>
      <w:pPr>
        <w:ind w:right="100" w:firstLine="899"/>
        <w:spacing w:after="0" w:line="296" w:lineRule="auto"/>
        <w:tabs>
          <w:tab w:leader="none" w:pos="1136" w:val="left"/>
        </w:tabs>
        <w:numPr>
          <w:ilvl w:val="1"/>
          <w:numId w:val="136"/>
        </w:numPr>
        <w:rPr>
          <w:rFonts w:ascii="Arial" w:cs="Arial" w:eastAsia="Arial" w:hAnsi="Arial"/>
          <w:sz w:val="16"/>
          <w:szCs w:val="16"/>
          <w:color w:val="auto"/>
        </w:rPr>
      </w:pPr>
      <w:r>
        <w:rPr>
          <w:rFonts w:ascii="Arial" w:cs="Arial" w:eastAsia="Arial" w:hAnsi="Arial"/>
          <w:sz w:val="16"/>
          <w:szCs w:val="16"/>
          <w:color w:val="auto"/>
        </w:rPr>
        <w:t>No allowance or adjustment, except pursuant to Section 4 or Section 10, shall be made in respect of dividends payable to holders of the Non-Voting Common Stock of record as of any date prior to the close of business on the Mandatory Conversion Date with respect to any share of Series G Preferred Stock. Prior to the close of business on the Mandatory Conversion Date with respect to any share of Series G Preferred Stock, shares of Non-Voting Common Stock issuable upon conversion thereof, or other securities issuable upon conversion of, such share of Series G Preferred Stock shall not be deemed outstanding for any purpose, and the Holder thereof shall have no rights with respect to the Non-Voting Common Stock or</w:t>
      </w:r>
    </w:p>
    <w:p>
      <w:pPr>
        <w:sectPr>
          <w:pgSz w:w="11900" w:h="16838" w:orient="portrait"/>
          <w:cols w:equalWidth="0" w:num="1">
            <w:col w:w="11240"/>
          </w:cols>
          <w:pgMar w:left="320" w:top="1070" w:right="339" w:bottom="1440" w:gutter="0" w:footer="0" w:header="0"/>
        </w:sectPr>
      </w:pPr>
    </w:p>
    <w:bookmarkStart w:id="120" w:name="page121"/>
    <w:bookmarkEnd w:id="120"/>
    <w:p>
      <w:pPr>
        <w:ind w:right="180"/>
        <w:spacing w:after="0" w:line="263" w:lineRule="auto"/>
        <w:rPr>
          <w:sz w:val="20"/>
          <w:szCs w:val="20"/>
          <w:color w:val="auto"/>
        </w:rPr>
      </w:pPr>
      <w:r>
        <w:rPr>
          <w:rFonts w:ascii="Arial" w:cs="Arial" w:eastAsia="Arial" w:hAnsi="Arial"/>
          <w:sz w:val="18"/>
          <w:szCs w:val="18"/>
          <w:color w:val="auto"/>
        </w:rPr>
        <w:t>other securities issuable upon conversion (including voting rights, rights to respond to tender offers for the Non-Voting Common Stock or other securities issuable upon conversion and rights to receive any dividends or other distributions on the Non-Voting Common Stock or other securities issuable upon conversion) by virtue of holding such share of Series G Preferred Stock.</w:t>
      </w:r>
    </w:p>
    <w:p>
      <w:pPr>
        <w:spacing w:after="0" w:line="157" w:lineRule="exact"/>
        <w:rPr>
          <w:sz w:val="20"/>
          <w:szCs w:val="20"/>
          <w:color w:val="auto"/>
        </w:rPr>
      </w:pPr>
    </w:p>
    <w:p>
      <w:pPr>
        <w:ind w:right="20" w:firstLine="899"/>
        <w:spacing w:after="0" w:line="257" w:lineRule="auto"/>
        <w:tabs>
          <w:tab w:leader="none" w:pos="114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Shares of Series G Preferred Stock duly converted in accordance with this Certificate of Designations, or otherwise reacquired by the Corporation, will resume the status of authorized and unissued preferred stock, undesignated as to series and available for future issuance. The Corporation may from time-to-time take such appropriate action as may be necessary to reduce the authorized number of shares of Series G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Corporation shall not take any such action if such action would reduce the authorized number of shares of Series G Preferred Stock below</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of Series G Preferred Stock then outstanding.</w:t>
      </w:r>
    </w:p>
    <w:p>
      <w:pPr>
        <w:spacing w:after="0" w:line="147" w:lineRule="exact"/>
        <w:rPr>
          <w:rFonts w:ascii="Arial" w:cs="Arial" w:eastAsia="Arial" w:hAnsi="Arial"/>
          <w:sz w:val="18"/>
          <w:szCs w:val="18"/>
          <w:color w:val="auto"/>
        </w:rPr>
      </w:pPr>
    </w:p>
    <w:p>
      <w:pPr>
        <w:ind w:right="20" w:firstLine="899"/>
        <w:spacing w:after="0" w:line="254" w:lineRule="auto"/>
        <w:tabs>
          <w:tab w:leader="none" w:pos="113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Person or Persons entitled to receive the Non-Voting Common Stock and/or cash, securities or other property issuable upon conversion of Series G Preferred Stock shall be treated for all purposes as the record holder(s) of such shares of Non-Voting Common Stock and/or securities as of the close of business on the Mandatory Conversion Date with respect thereto. In the event that a Holder shall not by written notice designate the name in which shares of Non-Voting Common Stock and/or cash, securities or other property (including payments of cash in lieu of fractional shares) to be issued or paid upon conversion of shares of Series G Preferred Stock should be registered or paid or the manner in which such shares should be delivered, the Corporation shall be entitled to register and deliver such shares, and make such payment, in the name of the Holder and in the manner shown on the records of the Corporation.</w:t>
      </w:r>
    </w:p>
    <w:p>
      <w:pPr>
        <w:spacing w:after="0" w:line="154" w:lineRule="exact"/>
        <w:rPr>
          <w:rFonts w:ascii="Arial" w:cs="Arial" w:eastAsia="Arial" w:hAnsi="Arial"/>
          <w:sz w:val="18"/>
          <w:szCs w:val="18"/>
          <w:color w:val="auto"/>
        </w:rPr>
      </w:pPr>
    </w:p>
    <w:p>
      <w:pPr>
        <w:ind w:right="40" w:firstLine="899"/>
        <w:spacing w:after="0" w:line="279" w:lineRule="auto"/>
        <w:tabs>
          <w:tab w:leader="none" w:pos="111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On the Mandatory Conversion Date with respect to any share of Series G Preferred Stock, certificates representing shares of Non-Voting Common Stock shall be issued and delivered to the Holder thereof or such Holder’s designee (or, at the Corporation’s option such shares shall be registered in book-entry form) upon presentation and surrender of the certificate evidencing the Series G Preferred Stock to the Corporation and, if required, the furnishing of appropriate endorsements and transfer documents and the payment of all transfer and similar taxes.</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10. Anti-Dilution Adjustments</w:t>
      </w:r>
      <w:r>
        <w:rPr>
          <w:rFonts w:ascii="Arial" w:cs="Arial" w:eastAsia="Arial" w:hAnsi="Arial"/>
          <w:sz w:val="18"/>
          <w:szCs w:val="18"/>
          <w:color w:val="auto"/>
        </w:rPr>
        <w:t>.</w:t>
      </w:r>
    </w:p>
    <w:p>
      <w:pPr>
        <w:spacing w:after="0" w:line="185" w:lineRule="exact"/>
        <w:rPr>
          <w:sz w:val="20"/>
          <w:szCs w:val="20"/>
          <w:color w:val="auto"/>
        </w:rPr>
      </w:pPr>
    </w:p>
    <w:p>
      <w:pPr>
        <w:ind w:left="1140" w:hanging="241"/>
        <w:spacing w:after="0"/>
        <w:tabs>
          <w:tab w:leader="none" w:pos="11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Conversion Price shall be subject to the following adjustments:</w:t>
      </w:r>
    </w:p>
    <w:p>
      <w:pPr>
        <w:spacing w:after="0" w:line="184" w:lineRule="exact"/>
        <w:rPr>
          <w:rFonts w:ascii="Arial" w:cs="Arial" w:eastAsia="Arial" w:hAnsi="Arial"/>
          <w:sz w:val="18"/>
          <w:szCs w:val="18"/>
          <w:color w:val="auto"/>
        </w:rPr>
      </w:pPr>
    </w:p>
    <w:p>
      <w:pPr>
        <w:ind w:firstLine="453"/>
        <w:spacing w:after="0" w:line="263"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r>
        <w:rPr>
          <w:rFonts w:ascii="Arial" w:cs="Arial" w:eastAsia="Arial" w:hAnsi="Arial"/>
          <w:sz w:val="18"/>
          <w:szCs w:val="18"/>
          <w:color w:val="auto"/>
        </w:rPr>
        <w:t>. If the Corporation pays dividends or other distributions on the Company Common Stock in shares of Company Common Stock, then the Conversion Price in effect immediately prior to the Ex-Date for such dividend or distribution will be multiplied by the following fraction:</w:t>
      </w:r>
    </w:p>
    <w:p>
      <w:pPr>
        <w:spacing w:after="0" w:line="157"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OS0</w:t>
      </w:r>
    </w:p>
    <w:p>
      <w:pPr>
        <w:spacing w:after="0" w:line="14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OS1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OS0 = the number of shares of Company Common Stock outstanding immediately prior to Ex-Date for such dividend or distribution.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OS1 = the sum of the number of shares of Company Common Stock outstanding immediately prior to the Ex-Date for such dividend or distribution plus the total number of shares of Company Common Stock constituting such dividend or distribution.</w:t>
      </w:r>
    </w:p>
    <w:p>
      <w:pPr>
        <w:spacing w:after="0" w:line="14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For the purposes of this clause (i), the number of shares of Company Common Stock at the time outstanding shall not include shares acquired by the Corporation. If any dividend or distribution described in this clause (i) is declared but not so paid or made, the Conversion Price shall be readjusted, effective as of the date the Board of Directors publicly announces its decision not to make such dividend or distribution, to such Conversion Price that would be in effect if such dividend or distribution had not been declared (but giving effect to any intervening adjustments that may have been made with respect to the Series G Preferred Stock)</w:t>
      </w:r>
    </w:p>
    <w:p>
      <w:pPr>
        <w:spacing w:after="0" w:line="147" w:lineRule="exact"/>
        <w:rPr>
          <w:sz w:val="20"/>
          <w:szCs w:val="20"/>
          <w:color w:val="auto"/>
        </w:rPr>
      </w:pPr>
    </w:p>
    <w:p>
      <w:pPr>
        <w:ind w:right="120" w:firstLine="453"/>
        <w:spacing w:after="0" w:line="263" w:lineRule="auto"/>
        <w:tabs>
          <w:tab w:leader="none" w:pos="71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Subdivisions, Splits and Combination of the Company Common Stock</w:t>
      </w:r>
      <w:r>
        <w:rPr>
          <w:rFonts w:ascii="Arial" w:cs="Arial" w:eastAsia="Arial" w:hAnsi="Arial"/>
          <w:sz w:val="18"/>
          <w:szCs w:val="18"/>
          <w:color w:val="auto"/>
        </w:rPr>
        <w:t>. If the Corporation subdivides, splits or combines the shares of Company Common Stock, then the Conversion Price in effect immediately prior to the effective date of such share subdivision, split or combination will be multiplied by the following fraction:</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OS0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OS1</w:t>
      </w:r>
    </w:p>
    <w:p>
      <w:pPr>
        <w:sectPr>
          <w:pgSz w:w="11900" w:h="16838" w:orient="portrait"/>
          <w:cols w:equalWidth="0" w:num="1">
            <w:col w:w="11240"/>
          </w:cols>
          <w:pgMar w:left="320" w:top="1070"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OS0 = the number of shares of Company Common Stock outstanding immediately prior to the effective date of such share subdivision, split or combination.</w:t>
      </w:r>
    </w:p>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OS1 = the number of shares of Company Common Stock outstanding immediately after the opening of business on the effective date of such share subdivision, split or combination.</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purposes of this clause (ii), the number of shares of Company Common Stock at the time outstanding shall not include shares acquired by the Corporation. If any subdivision, split or combination described in this clause (ii) is announced but the outstanding shares of Company Common Stock are not subdivided, split or combined, the Conversion Price shall be readjusted, effective as of the date the Board of Directors publicly announces its decision not to subdivide, split or combine the outstanding shares of Company Common Stock, to such Conversion Price that would be in effect if such subdivision, split or combination had not been announced (but giving effect to any intervening adjustments that may have been made with respect to the Series G Preferred Stock).</w:t>
      </w:r>
    </w:p>
    <w:p>
      <w:pPr>
        <w:spacing w:after="0" w:line="165" w:lineRule="exact"/>
        <w:rPr>
          <w:sz w:val="20"/>
          <w:szCs w:val="20"/>
          <w:color w:val="auto"/>
        </w:rPr>
      </w:pPr>
    </w:p>
    <w:p>
      <w:pPr>
        <w:ind w:right="60" w:firstLine="453"/>
        <w:spacing w:after="0" w:line="255" w:lineRule="auto"/>
        <w:tabs>
          <w:tab w:leader="none" w:pos="7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Issuance of Stock Purchase Rights</w:t>
      </w:r>
      <w:r>
        <w:rPr>
          <w:rFonts w:ascii="Arial" w:cs="Arial" w:eastAsia="Arial" w:hAnsi="Arial"/>
          <w:sz w:val="18"/>
          <w:szCs w:val="18"/>
          <w:color w:val="auto"/>
        </w:rPr>
        <w:t>. If the Corporation issues to all or substantially all holders of the shares of Company Common Stock rights or warrants (other than rights or warrants issued pursuant to a stockholders’ rights plan, a dividend reinvestment plan or share purchase plan or other similar plans, including that certain Tax Benefits Preservation Plan, dated February 22, 2011, between the Corporation and Illinois Stock Transfer Company) entitling them to subscribe for or purchase the shares of Company Common Stock at less than the Current Market Price on the date fixed for the determination of stockholders entitled to receive such rights or warrants, then the Conversion Price in effect immediately prior to the Ex-Date for such distribution will be multiplied by the following fraction:</w:t>
      </w:r>
    </w:p>
    <w:p>
      <w:pPr>
        <w:spacing w:after="0" w:line="152"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OS0+Y</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OS0+X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OS0 = the number of shares of Company Common Stock outstanding immediately prior to the Ex-Date for such distribution.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 = the total number of shares of Company Common Stock issuable pursuant to such rights or warrants.</w:t>
      </w:r>
    </w:p>
    <w:p>
      <w:pPr>
        <w:spacing w:after="0" w:line="1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Y = the number of shares of Company Common Stock equal to the aggregate price payable to exercise such rights or warrants divided by the Current Market Price on the date fixed for the determination of stockholders entitled to receive such rights or warrants.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purposes of this clause (iii), the number of shares of Company Common Stock at the time outstanding shall not include shares acquired by the Corporation. The Corporation shall not issue any such rights or warrants in respect of shares of the Company Common Stock acquired by the Corporation. In the event that such rights or warrants described in this clause (iii) are not so issued, the Conversion Price shall be readjusted, effective as of the date the Board of Directors publicly announces its decision not to issue such rights or warrants, to the Conversion Price that would then be in effect if such issuance had not been declared (but giving effect to any intervening adjustments that may have been made with respect to the Series G Preferred Stock). To the extent that such rights or warrants are not exercised prior to their expiration or shares of Company Common Stock are otherwise not delivered pursuant to such rights or warrants upon the exercise of such rights or warrants, the Conversion Price shall be readjusted to such Conversion Price that would then be in effect had the adjustment made upon the issuance of such rights or warrants been made on the basis of the delivery of only the number of shares of Company Common Stock actually delivered (but giving effect to any intervening adjustments that may have been made with respect to the Series F Preferred Stock). In determining the aggregate offering price payable for such shares of Company Common Stock, there shall be taken into account any consideration received for such rights or warrants and the value of such consideration (if other than cash, to be determined in a reasonable manner by the Board of Directors).</w:t>
      </w:r>
    </w:p>
    <w:p>
      <w:pPr>
        <w:spacing w:after="0" w:line="152" w:lineRule="exact"/>
        <w:rPr>
          <w:sz w:val="20"/>
          <w:szCs w:val="20"/>
          <w:color w:val="auto"/>
        </w:rPr>
      </w:pPr>
    </w:p>
    <w:p>
      <w:pPr>
        <w:ind w:right="200" w:firstLine="453"/>
        <w:spacing w:after="0" w:line="272" w:lineRule="auto"/>
        <w:tabs>
          <w:tab w:leader="none" w:pos="750"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Debt or Asset Distributions</w:t>
      </w:r>
      <w:r>
        <w:rPr>
          <w:rFonts w:ascii="Arial" w:cs="Arial" w:eastAsia="Arial" w:hAnsi="Arial"/>
          <w:sz w:val="17"/>
          <w:szCs w:val="17"/>
          <w:color w:val="auto"/>
        </w:rPr>
        <w:t>. If the Corporation distributes to all or substantially all holders of shares of Company Common Stock evidences of indebtedness, shares of capital stock, securities, cash or other assets (excluding any dividend or distribution referred to in clause (i) above, any rights or warrants referred to in clause (iii) above, any dividend or distribution paid exclusively in cash, any consideration payable in connection with a tender or exchange offer made by the Corporation or any of its applicable subsidiaries, and any dividend of shares of capital stock of any class or series, or similar equity interests, of or relating to a subsidiary or other business unit in the case of certain spin-off transactions as described below) (such evidences of indebtedness, shares of capital stock, securities, cash or other assets, the “</w:t>
      </w:r>
      <w:r>
        <w:rPr>
          <w:rFonts w:ascii="Arial" w:cs="Arial" w:eastAsia="Arial" w:hAnsi="Arial"/>
          <w:sz w:val="17"/>
          <w:szCs w:val="17"/>
          <w:u w:val="single" w:color="auto"/>
          <w:color w:val="auto"/>
        </w:rPr>
        <w:t>Distributed Property</w:t>
      </w:r>
      <w:r>
        <w:rPr>
          <w:rFonts w:ascii="Arial" w:cs="Arial" w:eastAsia="Arial" w:hAnsi="Arial"/>
          <w:sz w:val="17"/>
          <w:szCs w:val="17"/>
          <w:color w:val="auto"/>
        </w:rPr>
        <w:t>”), then the Conversion Price in effect immediately prior to the Ex-Date for such distribution will be multiplied by the following fraction:</w:t>
      </w:r>
    </w:p>
    <w:p>
      <w:pPr>
        <w:sectPr>
          <w:pgSz w:w="11900" w:h="16838" w:orient="portrait"/>
          <w:cols w:equalWidth="0" w:num="1">
            <w:col w:w="11240"/>
          </w:cols>
          <w:pgMar w:left="320" w:top="1070"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u w:val="single" w:color="auto"/>
          <w:color w:val="auto"/>
        </w:rPr>
        <w:t>SP0 – FMV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SP0 = the Current Market Price per share of Common Stock on such date.</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FMV = the fair market value of the portion of the distribution applicable to one share of Common Stock on such date as determined in good faith by the Board of Directors.</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 “spin-off”, where the Corporation makes a distribution to all holders of shares of Company Common Stock consisting of capital stock of any class or series, or similar equity interests of, or relating to, a subsidiary or other business unit, the Conversion Price will be adjusted on the fifteenth Trading Day after the effective date of the distribution by multiplying such Conversion Price in effect immediately prior to such fifteenth Trading Day by the following fraction: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MP0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MP0+ MPs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MP0 = the average of the Closing Prices of the Common Stock over the first ten Trading Days commencing on and including the fifth Trading Day following the effective date of such distribution.</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MPs = the average of the Closing Prices of the capital stock or equity interests representing the portion of the distribution applicable to one share of Common Stock over the first ten Trading Days commencing on and including the fifth Trading Day following the effective date of such distribution, or, if not traded on a national or regional securities exchange or over-the-counter market, the fair market value of the capital stock or equity interests representing the portion of the distribution applicable to one share of Common Stock on such date as determined by the Board of Directors.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event that such distribution described in this clause (iv) is not so paid or made, the Conversion Price shall be readjusted, effective as of the date the Board of Directors publicly announces its decision not to pay or make such dividend or distribution, to the Conversion Price that would then be in effect if such dividend or distribution had not been declared (but after giving effect to any intervening adjustments that may have been made with respect to the Series G Preferred Stock).</w:t>
      </w:r>
    </w:p>
    <w:p>
      <w:pPr>
        <w:spacing w:after="0" w:line="146" w:lineRule="exact"/>
        <w:rPr>
          <w:sz w:val="20"/>
          <w:szCs w:val="20"/>
          <w:color w:val="auto"/>
        </w:rPr>
      </w:pPr>
    </w:p>
    <w:p>
      <w:pPr>
        <w:ind w:right="100" w:firstLine="453"/>
        <w:spacing w:after="0" w:line="255" w:lineRule="auto"/>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Cash Distributions</w:t>
      </w:r>
      <w:r>
        <w:rPr>
          <w:rFonts w:ascii="Arial" w:cs="Arial" w:eastAsia="Arial" w:hAnsi="Arial"/>
          <w:sz w:val="18"/>
          <w:szCs w:val="18"/>
          <w:color w:val="auto"/>
        </w:rPr>
        <w:t>. If the Corporation makes a distribution consisting exclusively of cash to all holders of the Company Common Stock, excluding (a) any cash dividend on the Company Common Stock to the extent a corresponding cash dividend pursuant to Section 4 is paid on the Series G Preferred Stock, (b) any cash that is distributed in a Reorganization Event or as part of a “spin-off” referred to in clause (iv) above, (c) any dividend or distribution in connection with the Corporation’s liquidation, dissolution or winding up, and (d) any consideration payable in connection with a tender or exchange offer made by the Corporation or any of its subsidiaries, then in each event, the Conversion Price in effect immediately prior to the Ex-Date for such distribution will be multiplied by the following fraction: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SP0 – DIV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SP0 = the Closing Price per share of Common Stock on the Trading Day immediately preceding the Ex-Date.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DIV = the amount per share of Common Stock of the cash distribution, as determined pursuant to the introduction to this paragraph (v).</w:t>
      </w:r>
    </w:p>
    <w:p>
      <w:pPr>
        <w:spacing w:after="0" w:line="19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the event that any distribution described in this clause (v) is not so made, the Conversion Price shall be readjusted, effective as of the date the Board of Directors publicly announces its decision not to pay such distribution, to the Conversion Price which would then be in effect if such distribution had not been declared (but giving effect to any intervening adjustments that may have been made with respect to the Series G Preferred Stock).</w:t>
      </w:r>
    </w:p>
    <w:p>
      <w:pPr>
        <w:sectPr>
          <w:pgSz w:w="11900" w:h="16838" w:orient="portrait"/>
          <w:cols w:equalWidth="0" w:num="1">
            <w:col w:w="11220"/>
          </w:cols>
          <w:pgMar w:left="320" w:top="1070" w:right="359" w:bottom="1440" w:gutter="0" w:footer="0" w:header="0"/>
        </w:sectPr>
      </w:pPr>
    </w:p>
    <w:bookmarkStart w:id="123" w:name="page124"/>
    <w:bookmarkEnd w:id="123"/>
    <w:p>
      <w:pPr>
        <w:ind w:right="240" w:firstLine="453"/>
        <w:spacing w:after="0" w:line="301" w:lineRule="auto"/>
        <w:tabs>
          <w:tab w:leader="none" w:pos="75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Self Tender Offers and Exchange Offers</w:t>
      </w:r>
      <w:r>
        <w:rPr>
          <w:rFonts w:ascii="Arial" w:cs="Arial" w:eastAsia="Arial" w:hAnsi="Arial"/>
          <w:sz w:val="16"/>
          <w:szCs w:val="16"/>
          <w:color w:val="auto"/>
        </w:rPr>
        <w:t>. If the Corporation or any of its subsidiaries successfully completes a tender or exchange offer for the Company Common Stock where the cash and the value of any other consideration included in the payment per share of the Common Stock exceeds the Closing Price per share of the Common Stock on the Trading Day immediately succeeding the expiration of the tender or exchange offer, then the Conversion Price in effect at the close of business on such immediately succeeding Trading Day will be multiplied by the following fraction: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OS0 x SP0</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 + (SP0 x OS1)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SP0 = the Closing Price per share of Common Stock on the Trading Day immediately succeeding the expiration of the tender or exchange offer.</w:t>
      </w:r>
    </w:p>
    <w:p>
      <w:pPr>
        <w:spacing w:after="0" w:line="1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OS0 = the number of shares of Common Stock outstanding immediately prior to the expiration of the tender or exchange offer, including any shares validly tendered and not withdrawn.</w:t>
      </w:r>
    </w:p>
    <w:p>
      <w:pPr>
        <w:spacing w:after="0" w:line="14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OS1= the number of shares of Common Stock outstanding immediately after the expiration of the tender or exchange offer, giving effect to consummation of the acquisition of all shares validly tendered or exchanged (and not withdrawn) in connection with such tender or exchange.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AC = the aggregate cash and fair market value of the other consideration payable in the tender or exchange offer, as determined by the Board of Directors.</w:t>
      </w:r>
    </w:p>
    <w:p>
      <w:pPr>
        <w:spacing w:after="0" w:line="20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event that the Corporation, or one of its subsidiaries, is obligated to purchase shares of Company Common Stock pursuant to any such tender offer or exchange offer, but the Corporation, or such subsidiary, is permanently prevented by applicable law from effecting any such purchases, or all such purchases are rescinded, then the Conversion Price shall be readjusted to be such Conversion Price that would then be in effect if such tender offer or exchange offer had not been made (but giving effect to any intervening adjustments that may have been made with respect to the Series G Preferred Stock). Except as set forth in the preceding sentence, if the application of this clause (vi) to any tender offer or exchange offer would result in an increase in the Conversion Price, no adjustment shall be made for such tender offer or exchange offer under this clause (vi).</w:t>
      </w:r>
    </w:p>
    <w:p>
      <w:pPr>
        <w:spacing w:after="0" w:line="151" w:lineRule="exact"/>
        <w:rPr>
          <w:sz w:val="20"/>
          <w:szCs w:val="20"/>
          <w:color w:val="auto"/>
        </w:rPr>
      </w:pPr>
    </w:p>
    <w:p>
      <w:pPr>
        <w:ind w:right="100" w:firstLine="453"/>
        <w:spacing w:after="0" w:line="293" w:lineRule="auto"/>
        <w:tabs>
          <w:tab w:leader="none" w:pos="80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Rights Plans</w:t>
      </w:r>
      <w:r>
        <w:rPr>
          <w:rFonts w:ascii="Arial" w:cs="Arial" w:eastAsia="Arial" w:hAnsi="Arial"/>
          <w:sz w:val="16"/>
          <w:szCs w:val="16"/>
          <w:color w:val="auto"/>
        </w:rPr>
        <w:t>. To the extent that the Corporation has a rights plan in effect with respect to the Company Common Stock on the Mandatory Conversion Date, upon conversion of any shares of the Series G Preferred Stock, Holders will receive, in addition to the shares of Non-Voting Common Stock, the rights under the rights plan, unless, prior to the Mandatory Conversion Date, the rights have separated from the shares of Non-Voting Common Stock, in which case the Conversion Price will be adjusted at the time of separation as if the Corporation had made a distribution to all holders of the Non-Voting Common Stock as described in clause (iii) above, subject to readjustment in the event of the expiration, termination or redemption of such rights (but after giving effect to any intervening adjustments that may have been made with respect to the Series G Preferred Stock).</w:t>
      </w:r>
    </w:p>
    <w:p>
      <w:pPr>
        <w:spacing w:after="0" w:line="123" w:lineRule="exact"/>
        <w:rPr>
          <w:rFonts w:ascii="Arial" w:cs="Arial" w:eastAsia="Arial" w:hAnsi="Arial"/>
          <w:sz w:val="16"/>
          <w:szCs w:val="16"/>
          <w:color w:val="auto"/>
        </w:rPr>
      </w:pPr>
    </w:p>
    <w:p>
      <w:pPr>
        <w:ind w:right="300" w:firstLine="899"/>
        <w:spacing w:after="0" w:line="259" w:lineRule="auto"/>
        <w:tabs>
          <w:tab w:leader="none" w:pos="114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Corporation may make such decreases in the Conversion Price, in addition to any other decreases required by this Section 10, if the Board of Directors deems it advisable, to avoid or diminish any income tax to holders of the Company Common Stock resulting from any dividend or distribution of shares of Company Common Stock (or issuance of rights or warrants to acquire shares of Company Common Stock) or from any event treated as such for income tax purposes or for any other reason.</w:t>
      </w:r>
    </w:p>
    <w:p>
      <w:pPr>
        <w:spacing w:after="0" w:line="146" w:lineRule="exact"/>
        <w:rPr>
          <w:rFonts w:ascii="Arial" w:cs="Arial" w:eastAsia="Arial" w:hAnsi="Arial"/>
          <w:sz w:val="18"/>
          <w:szCs w:val="18"/>
          <w:color w:val="auto"/>
        </w:rPr>
      </w:pPr>
    </w:p>
    <w:p>
      <w:pPr>
        <w:ind w:firstLine="899"/>
        <w:spacing w:after="0" w:line="301" w:lineRule="auto"/>
        <w:tabs>
          <w:tab w:leader="none" w:pos="1136" w:val="left"/>
        </w:tabs>
        <w:numPr>
          <w:ilvl w:val="1"/>
          <w:numId w:val="145"/>
        </w:numPr>
        <w:rPr>
          <w:rFonts w:ascii="Arial" w:cs="Arial" w:eastAsia="Arial" w:hAnsi="Arial"/>
          <w:sz w:val="16"/>
          <w:szCs w:val="16"/>
          <w:color w:val="auto"/>
        </w:rPr>
      </w:pPr>
      <w:r>
        <w:rPr>
          <w:rFonts w:ascii="Arial" w:cs="Arial" w:eastAsia="Arial" w:hAnsi="Arial"/>
          <w:sz w:val="16"/>
          <w:szCs w:val="16"/>
          <w:color w:val="auto"/>
        </w:rPr>
        <w:t xml:space="preserve">(i) All adjustments to the Conversion Price shall be calculated to the nearest 1/10 of a cent. No adjustment in the Conversion Price shall be required if such adjustment would be less than $0.01;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adjustments which by reason of this subparagraph are not required to be made shall be carried forward and taken into account in any subsequent adjustment;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on the Mandatory Conversion Date adjustments to the Conversion Price will be made with respect to any such adjustment carried forward and which has not been taken into account before such date.</w:t>
      </w:r>
    </w:p>
    <w:p>
      <w:pPr>
        <w:spacing w:after="0" w:line="130" w:lineRule="exact"/>
        <w:rPr>
          <w:sz w:val="20"/>
          <w:szCs w:val="20"/>
          <w:color w:val="auto"/>
        </w:rPr>
      </w:pPr>
    </w:p>
    <w:p>
      <w:pPr>
        <w:ind w:right="240" w:firstLine="453"/>
        <w:spacing w:after="0" w:line="259" w:lineRule="auto"/>
        <w:tabs>
          <w:tab w:leader="none" w:pos="71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adjustment to the Conversion Price shall be made if Holders may participate in the transaction that would otherwise give rise to an adjustment, as a result of holding the Series G Preferred Stock (including without limitation pursuant to Section 4 hereof), without having to convert the Series G Preferred Stock, as if they held the full number of shares of Non-Voting Common Stock into which a share of the Series G Preferred Stock may then be converted.</w:t>
      </w:r>
    </w:p>
    <w:p>
      <w:pPr>
        <w:spacing w:after="0" w:line="146" w:lineRule="exact"/>
        <w:rPr>
          <w:rFonts w:ascii="Arial" w:cs="Arial" w:eastAsia="Arial" w:hAnsi="Arial"/>
          <w:sz w:val="18"/>
          <w:szCs w:val="18"/>
          <w:color w:val="auto"/>
        </w:rPr>
      </w:pPr>
    </w:p>
    <w:p>
      <w:pPr>
        <w:ind w:left="760" w:hanging="307"/>
        <w:spacing w:after="0"/>
        <w:tabs>
          <w:tab w:leader="none" w:pos="7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Applicable Conversion Price shall not be adjusted:</w:t>
      </w:r>
    </w:p>
    <w:p>
      <w:pPr>
        <w:sectPr>
          <w:pgSz w:w="11900" w:h="16838" w:orient="portrait"/>
          <w:cols w:equalWidth="0" w:num="1">
            <w:col w:w="11240"/>
          </w:cols>
          <w:pgMar w:left="320" w:top="1070" w:right="339" w:bottom="1440" w:gutter="0" w:footer="0" w:header="0"/>
        </w:sectPr>
      </w:pPr>
    </w:p>
    <w:bookmarkStart w:id="124" w:name="page125"/>
    <w:bookmarkEnd w:id="124"/>
    <w:p>
      <w:pPr>
        <w:ind w:right="80" w:firstLine="453"/>
        <w:spacing w:after="0" w:line="263" w:lineRule="auto"/>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pursuant to any present or future plan providing for the reinvestment of dividends or interest payable on the Corporation’s securities and the investment of additional optional amounts in shares of Company Common Stock under any such plan;</w:t>
      </w:r>
    </w:p>
    <w:p>
      <w:pPr>
        <w:spacing w:after="0" w:line="156" w:lineRule="exact"/>
        <w:rPr>
          <w:rFonts w:ascii="Arial" w:cs="Arial" w:eastAsia="Arial" w:hAnsi="Arial"/>
          <w:sz w:val="18"/>
          <w:szCs w:val="18"/>
          <w:color w:val="auto"/>
        </w:rPr>
      </w:pPr>
    </w:p>
    <w:p>
      <w:pPr>
        <w:ind w:right="440" w:firstLine="453"/>
        <w:spacing w:after="0" w:line="277" w:lineRule="auto"/>
        <w:tabs>
          <w:tab w:leader="none" w:pos="7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upon the issuance of any shares of Company Common Stock or rights or warrants to purchase those shares pursuant to any present or future employee, director or consultant benefit plan or program of or assumed by the Corporation or any of its subsidiaries;</w:t>
      </w:r>
    </w:p>
    <w:p>
      <w:pPr>
        <w:spacing w:after="0" w:line="129" w:lineRule="exact"/>
        <w:rPr>
          <w:rFonts w:ascii="Arial" w:cs="Arial" w:eastAsia="Arial" w:hAnsi="Arial"/>
          <w:sz w:val="18"/>
          <w:szCs w:val="18"/>
          <w:color w:val="auto"/>
        </w:rPr>
      </w:pPr>
    </w:p>
    <w:p>
      <w:pPr>
        <w:ind w:right="220" w:firstLine="453"/>
        <w:spacing w:after="0" w:line="308" w:lineRule="auto"/>
        <w:tabs>
          <w:tab w:leader="none" w:pos="73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upon the issuance of any shares of Company Common Stock pursuant to any option, warrant, right or exercisable, exchangeable or convertible security outstanding as of the date shares of the Series G Preferred Stock were first issued and not substantially amended thereafter;</w:t>
      </w:r>
    </w:p>
    <w:p>
      <w:pPr>
        <w:spacing w:after="0" w:line="105" w:lineRule="exact"/>
        <w:rPr>
          <w:rFonts w:ascii="Arial" w:cs="Arial" w:eastAsia="Arial" w:hAnsi="Arial"/>
          <w:sz w:val="17"/>
          <w:szCs w:val="17"/>
          <w:color w:val="auto"/>
        </w:rPr>
      </w:pPr>
    </w:p>
    <w:p>
      <w:pPr>
        <w:ind w:left="740" w:hanging="287"/>
        <w:spacing w:after="0"/>
        <w:tabs>
          <w:tab w:leader="none" w:pos="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a change in the par value or no par value of Company Common Stock; or</w:t>
      </w:r>
    </w:p>
    <w:p>
      <w:pPr>
        <w:spacing w:after="0" w:line="198" w:lineRule="exact"/>
        <w:rPr>
          <w:rFonts w:ascii="Arial" w:cs="Arial" w:eastAsia="Arial" w:hAnsi="Arial"/>
          <w:sz w:val="18"/>
          <w:szCs w:val="18"/>
          <w:color w:val="auto"/>
        </w:rPr>
      </w:pPr>
    </w:p>
    <w:p>
      <w:pPr>
        <w:ind w:left="720" w:hanging="267"/>
        <w:spacing w:after="0"/>
        <w:tabs>
          <w:tab w:leader="none" w:pos="7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accrued and unpaid dividends on the Series G Preferred Stock.</w:t>
      </w:r>
    </w:p>
    <w:p>
      <w:pPr>
        <w:spacing w:after="0" w:line="184" w:lineRule="exact"/>
        <w:rPr>
          <w:rFonts w:ascii="Arial" w:cs="Arial" w:eastAsia="Arial" w:hAnsi="Arial"/>
          <w:sz w:val="18"/>
          <w:szCs w:val="18"/>
          <w:color w:val="auto"/>
        </w:rPr>
      </w:pPr>
    </w:p>
    <w:p>
      <w:pPr>
        <w:ind w:firstLine="899"/>
        <w:spacing w:after="0" w:line="254" w:lineRule="auto"/>
        <w:tabs>
          <w:tab w:leader="none" w:pos="1143" w:val="left"/>
        </w:tabs>
        <w:numPr>
          <w:ilvl w:val="1"/>
          <w:numId w:val="147"/>
        </w:numPr>
        <w:rPr>
          <w:rFonts w:ascii="Arial" w:cs="Arial" w:eastAsia="Arial" w:hAnsi="Arial"/>
          <w:sz w:val="18"/>
          <w:szCs w:val="18"/>
          <w:color w:val="auto"/>
        </w:rPr>
      </w:pPr>
      <w:r>
        <w:rPr>
          <w:rFonts w:ascii="Arial" w:cs="Arial" w:eastAsia="Arial" w:hAnsi="Arial"/>
          <w:sz w:val="18"/>
          <w:szCs w:val="18"/>
          <w:color w:val="auto"/>
        </w:rPr>
        <w:t>Whenever the Conversion Price is to be adjusted in accordance with Section 10(a) or Section 10(b), the Corporation shall: (i) compute the Conversion Price in accordance with Section 10(a) or Section 10(b), taking into account the $0.01 threshold set forth in Section 10(c) hereof; (ii) as soon as practicable following the occurrence of an event that requires an adjustment to the Conversion Price pursuant to Section 10(a) or Section 10(b), taking into account the one percent threshold set forth in Section 10(c) hereof (or if the Corporation is not aware of such occurrence, as soon as practicable after becoming so aware), provide, or cause to be provided, a written notice to the Holders of the occurrence of such event; and (iii) as soon as practicable following the determination of the revised Conversion Price in accordance with Section 10(a) or Section 10(b) hereof, provide, or cause to be provided, a written notice to the Holders setting forth in reasonable detail the method by which the adjustment to the Conversion Price was determined and setting forth the revised Conversion Price.</w:t>
      </w:r>
    </w:p>
    <w:p>
      <w:pPr>
        <w:spacing w:after="0" w:line="151" w:lineRule="exact"/>
        <w:rPr>
          <w:sz w:val="20"/>
          <w:szCs w:val="20"/>
          <w:color w:val="auto"/>
        </w:rPr>
      </w:pPr>
    </w:p>
    <w:p>
      <w:pPr>
        <w:ind w:right="420" w:firstLine="891"/>
        <w:spacing w:after="0" w:line="277" w:lineRule="auto"/>
        <w:rPr>
          <w:sz w:val="20"/>
          <w:szCs w:val="20"/>
          <w:color w:val="auto"/>
        </w:rPr>
      </w:pPr>
      <w:r>
        <w:rPr>
          <w:rFonts w:ascii="Arial" w:cs="Arial" w:eastAsia="Arial" w:hAnsi="Arial"/>
          <w:sz w:val="18"/>
          <w:szCs w:val="18"/>
          <w:i w:val="1"/>
          <w:iCs w:val="1"/>
          <w:color w:val="auto"/>
        </w:rPr>
        <w:t>Section 11. Reorganization Events</w:t>
      </w:r>
      <w:r>
        <w:rPr>
          <w:rFonts w:ascii="Arial" w:cs="Arial" w:eastAsia="Arial" w:hAnsi="Arial"/>
          <w:sz w:val="18"/>
          <w:szCs w:val="18"/>
          <w:color w:val="auto"/>
        </w:rPr>
        <w:t>. (a) In the event that, for so long as any shares of Series F Preferred Stock have not been converted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remain outstanding, there occurs:</w:t>
      </w:r>
    </w:p>
    <w:p>
      <w:pPr>
        <w:spacing w:after="0" w:line="143" w:lineRule="exact"/>
        <w:rPr>
          <w:sz w:val="20"/>
          <w:szCs w:val="20"/>
          <w:color w:val="auto"/>
        </w:rPr>
      </w:pPr>
    </w:p>
    <w:p>
      <w:pPr>
        <w:ind w:right="20" w:firstLine="453"/>
        <w:spacing w:after="0" w:line="308"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consolidation, merger or other similar business combination of the Corporation with or into another Person, in each case pursuant to which the Non-Voting Common Stock will be converted into cash, securities or other property of the Corporation or another Person;</w:t>
      </w:r>
    </w:p>
    <w:p>
      <w:pPr>
        <w:spacing w:after="0" w:line="105" w:lineRule="exact"/>
        <w:rPr>
          <w:rFonts w:ascii="Arial" w:cs="Arial" w:eastAsia="Arial" w:hAnsi="Arial"/>
          <w:sz w:val="17"/>
          <w:szCs w:val="17"/>
          <w:color w:val="auto"/>
        </w:rPr>
      </w:pPr>
    </w:p>
    <w:p>
      <w:pPr>
        <w:ind w:right="460" w:firstLine="453"/>
        <w:spacing w:after="0" w:line="342" w:lineRule="auto"/>
        <w:tabs>
          <w:tab w:leader="none" w:pos="71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any sale, transfer, lease or conveyance to another Person of all or substantially all of the property and assets of the Corporation, in each case pursuant to which the Non-Voting Common Stock will be converted into cash, securities or other property of the Corporation or another Person;</w:t>
      </w:r>
    </w:p>
    <w:p>
      <w:pPr>
        <w:spacing w:after="0" w:line="83" w:lineRule="exact"/>
        <w:rPr>
          <w:rFonts w:ascii="Arial" w:cs="Arial" w:eastAsia="Arial" w:hAnsi="Arial"/>
          <w:sz w:val="16"/>
          <w:szCs w:val="16"/>
          <w:color w:val="auto"/>
        </w:rPr>
      </w:pPr>
    </w:p>
    <w:p>
      <w:pPr>
        <w:ind w:left="760" w:hanging="307"/>
        <w:spacing w:after="0"/>
        <w:tabs>
          <w:tab w:leader="none" w:pos="7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any reclassification of the Non-Voting Common Stock into securities including securities other than the Non-Voting Common Stock; or</w:t>
      </w:r>
    </w:p>
    <w:p>
      <w:pPr>
        <w:spacing w:after="0" w:line="209" w:lineRule="exact"/>
        <w:rPr>
          <w:rFonts w:ascii="Arial" w:cs="Arial" w:eastAsia="Arial" w:hAnsi="Arial"/>
          <w:sz w:val="17"/>
          <w:szCs w:val="17"/>
          <w:color w:val="auto"/>
        </w:rPr>
      </w:pPr>
    </w:p>
    <w:p>
      <w:pPr>
        <w:ind w:right="100" w:firstLine="453"/>
        <w:spacing w:after="0" w:line="277" w:lineRule="auto"/>
        <w:tabs>
          <w:tab w:leader="none" w:pos="75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statutory exchange of the outstanding shares of Non-Voting Common Stock for securities of another Person (other than in connection with a merger or acquisition);</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(any such event specified in this Section 10(a), a “</w:t>
      </w:r>
      <w:r>
        <w:rPr>
          <w:rFonts w:ascii="Arial" w:cs="Arial" w:eastAsia="Arial" w:hAnsi="Arial"/>
          <w:sz w:val="17"/>
          <w:szCs w:val="17"/>
          <w:u w:val="single" w:color="auto"/>
          <w:color w:val="auto"/>
        </w:rPr>
        <w:t>Reorganization Event</w:t>
      </w:r>
      <w:r>
        <w:rPr>
          <w:rFonts w:ascii="Arial" w:cs="Arial" w:eastAsia="Arial" w:hAnsi="Arial"/>
          <w:sz w:val="17"/>
          <w:szCs w:val="17"/>
          <w:color w:val="auto"/>
        </w:rPr>
        <w:t>”); then each share of such Holder’s Series G Preferred Stock outstanding immediately prior to such Reorganization Event shall remain outstanding but shall automatically convert, effective as of the close of business on the Mandatory Conversion Date with respect to the shares of Series G Preferred Stock of such Holder (with the term “</w:t>
      </w:r>
      <w:r>
        <w:rPr>
          <w:rFonts w:ascii="Arial" w:cs="Arial" w:eastAsia="Arial" w:hAnsi="Arial"/>
          <w:sz w:val="17"/>
          <w:szCs w:val="17"/>
          <w:u w:val="single" w:color="auto"/>
          <w:color w:val="auto"/>
        </w:rPr>
        <w:t>Regulatory Approval</w:t>
      </w:r>
      <w:r>
        <w:rPr>
          <w:rFonts w:ascii="Arial" w:cs="Arial" w:eastAsia="Arial" w:hAnsi="Arial"/>
          <w:sz w:val="17"/>
          <w:szCs w:val="17"/>
          <w:color w:val="auto"/>
        </w:rPr>
        <w:t>” applied for such purpose, as applicable, to the surviving entity in such Reorganization Event and its securities included in the Exchange Property (as defined below)), into the type and amount of securities, cash and other property receivable in such Reorganization Event by the holder (excluding the counterparty to the Reorganization Event or an Affiliate of such counterparty) of the greater of (i) the number of shares of Non-Voting Common Stock into which one share of Series G Preferred Stock would then be convertible assuming the receipt of the Stockholder Approvals and the Regulatory Approval and (ii) the number of shares of Non-Voting Common Stock that, if one share of Series G Preferred Stock were converted into such number of shares, would result in the fair market value of the securities, cash and other property receivable in such Reorganization Event by a Holder of such number of shares equaling the Liquidation Preference plus, in each case of clause (i) and (ii) above, all accrued and unpaid dividends, whether or not declared, up to, but excluding such date (such securities, cash and other property, the “</w:t>
      </w:r>
      <w:r>
        <w:rPr>
          <w:rFonts w:ascii="Arial" w:cs="Arial" w:eastAsia="Arial" w:hAnsi="Arial"/>
          <w:sz w:val="17"/>
          <w:szCs w:val="17"/>
          <w:u w:val="single" w:color="auto"/>
          <w:color w:val="auto"/>
        </w:rPr>
        <w:t>Exchange Property</w:t>
      </w:r>
      <w:r>
        <w:rPr>
          <w:rFonts w:ascii="Arial" w:cs="Arial" w:eastAsia="Arial" w:hAnsi="Arial"/>
          <w:sz w:val="17"/>
          <w:szCs w:val="17"/>
          <w:color w:val="auto"/>
        </w:rPr>
        <w:t>”). In the event that a Reorganization Event referenced in Section 11(a) involves common stock as all or part of the consideration being offered in a fixed exchange ratio transaction, the fair market value per share of such common stock shall be determined by reference to the average of the closing prices of such common stock for the ten Trading Day period ending immediately prior to the consummation of such Reorganization Event.</w:t>
      </w:r>
    </w:p>
    <w:p>
      <w:pPr>
        <w:sectPr>
          <w:pgSz w:w="11900" w:h="16838" w:orient="portrait"/>
          <w:cols w:equalWidth="0" w:num="1">
            <w:col w:w="11240"/>
          </w:cols>
          <w:pgMar w:left="320" w:top="1070" w:right="339" w:bottom="1440" w:gutter="0" w:footer="0" w:header="0"/>
        </w:sectPr>
      </w:pPr>
    </w:p>
    <w:bookmarkStart w:id="125" w:name="page126"/>
    <w:bookmarkEnd w:id="125"/>
    <w:p>
      <w:pPr>
        <w:ind w:right="120" w:firstLine="899"/>
        <w:spacing w:after="0" w:line="277" w:lineRule="auto"/>
        <w:tabs>
          <w:tab w:leader="none" w:pos="114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event that holders of the shares of Non-Voting Common Stock have the opportunity to elect the form of consideration to be received in such transaction, the Holders shall likewise be allowed to make such an election.</w:t>
      </w:r>
    </w:p>
    <w:p>
      <w:pPr>
        <w:spacing w:after="0" w:line="143" w:lineRule="exact"/>
        <w:rPr>
          <w:rFonts w:ascii="Arial" w:cs="Arial" w:eastAsia="Arial" w:hAnsi="Arial"/>
          <w:sz w:val="18"/>
          <w:szCs w:val="18"/>
          <w:color w:val="auto"/>
        </w:rPr>
      </w:pPr>
    </w:p>
    <w:p>
      <w:pPr>
        <w:ind w:right="320" w:firstLine="899"/>
        <w:spacing w:after="0" w:line="263" w:lineRule="auto"/>
        <w:tabs>
          <w:tab w:leader="none" w:pos="113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above provisions of this Section 11 shall similarly apply to successive Reorganization Events and the provisions of Section 10 shall apply to any shares of capital stock of the Corporation (or any successor) received by the holders of the Company Common Stock in any such Reorganization Event.</w:t>
      </w:r>
    </w:p>
    <w:p>
      <w:pPr>
        <w:spacing w:after="0" w:line="143" w:lineRule="exact"/>
        <w:rPr>
          <w:rFonts w:ascii="Arial" w:cs="Arial" w:eastAsia="Arial" w:hAnsi="Arial"/>
          <w:sz w:val="18"/>
          <w:szCs w:val="18"/>
          <w:color w:val="auto"/>
        </w:rPr>
      </w:pPr>
    </w:p>
    <w:p>
      <w:pPr>
        <w:ind w:right="240" w:firstLine="899"/>
        <w:spacing w:after="0" w:line="263" w:lineRule="auto"/>
        <w:tabs>
          <w:tab w:leader="none" w:pos="114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Corporation (or any successor) shall, within seven days of the consummation of any Reorganization Event, provide written notice to the Holders of such consummation of such event and of the kind and amount of the cash, securities or other property that constitutes the Exchange Property. Failure to deliver such notice shall not affect the operation of this Section 11.</w:t>
      </w:r>
    </w:p>
    <w:p>
      <w:pPr>
        <w:spacing w:after="0" w:line="143" w:lineRule="exact"/>
        <w:rPr>
          <w:rFonts w:ascii="Arial" w:cs="Arial" w:eastAsia="Arial" w:hAnsi="Arial"/>
          <w:sz w:val="18"/>
          <w:szCs w:val="18"/>
          <w:color w:val="auto"/>
        </w:rPr>
      </w:pPr>
    </w:p>
    <w:p>
      <w:pPr>
        <w:ind w:firstLine="899"/>
        <w:spacing w:after="0" w:line="263" w:lineRule="auto"/>
        <w:tabs>
          <w:tab w:leader="none" w:pos="113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Corporation shall not enter into any agreement for a transaction constituting a Reorganization Event unless such agreement provides for or does not interfere with or prevent (as applicable) conversion of the Series G Preferred Stock into the Exchange Property in a manner that is consistent with and gives effect to this Section 11.</w:t>
      </w:r>
    </w:p>
    <w:p>
      <w:pPr>
        <w:spacing w:after="0" w:line="157" w:lineRule="exact"/>
        <w:rPr>
          <w:sz w:val="20"/>
          <w:szCs w:val="20"/>
          <w:color w:val="auto"/>
        </w:rPr>
      </w:pPr>
    </w:p>
    <w:p>
      <w:pPr>
        <w:ind w:right="140" w:firstLine="891"/>
        <w:spacing w:after="0" w:line="277" w:lineRule="auto"/>
        <w:rPr>
          <w:sz w:val="20"/>
          <w:szCs w:val="20"/>
          <w:color w:val="auto"/>
        </w:rPr>
      </w:pPr>
      <w:r>
        <w:rPr>
          <w:rFonts w:ascii="Arial" w:cs="Arial" w:eastAsia="Arial" w:hAnsi="Arial"/>
          <w:sz w:val="18"/>
          <w:szCs w:val="18"/>
          <w:i w:val="1"/>
          <w:iCs w:val="1"/>
          <w:color w:val="auto"/>
        </w:rPr>
        <w:t>Section 12. Voting Rights</w:t>
      </w:r>
      <w:r>
        <w:rPr>
          <w:rFonts w:ascii="Arial" w:cs="Arial" w:eastAsia="Arial" w:hAnsi="Arial"/>
          <w:sz w:val="18"/>
          <w:szCs w:val="18"/>
          <w:color w:val="auto"/>
        </w:rPr>
        <w:t>. (a) Holders will not have any voting rights, including the right to elect any directors, except (i) voting rights, if any,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law, and (ii) voting rights, if any, described in this Section 12.</w:t>
      </w:r>
    </w:p>
    <w:p>
      <w:pPr>
        <w:spacing w:after="0" w:line="130" w:lineRule="exact"/>
        <w:rPr>
          <w:sz w:val="20"/>
          <w:szCs w:val="20"/>
          <w:color w:val="auto"/>
        </w:rPr>
      </w:pPr>
    </w:p>
    <w:p>
      <w:pPr>
        <w:ind w:right="60" w:firstLine="899"/>
        <w:spacing w:after="0" w:line="311" w:lineRule="auto"/>
        <w:tabs>
          <w:tab w:leader="none" w:pos="114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So long as any shares of Series G Preferred Stock are outstanding, the vote or consent of the Holders of a majority of the shares of Series G Preferred Stock at the time outstanding, voting as a single class, given in person or by proxy, either in writing without a meeting or by vote at any meeting called for the purpose, will be necessary for effecting or validating any of the following actions, whether or not such approval is required by Georgia law;</w:t>
      </w:r>
    </w:p>
    <w:p>
      <w:pPr>
        <w:spacing w:after="0" w:line="108" w:lineRule="exact"/>
        <w:rPr>
          <w:rFonts w:ascii="Arial" w:cs="Arial" w:eastAsia="Arial" w:hAnsi="Arial"/>
          <w:sz w:val="16"/>
          <w:szCs w:val="16"/>
          <w:color w:val="auto"/>
        </w:rPr>
      </w:pPr>
    </w:p>
    <w:p>
      <w:pPr>
        <w:ind w:right="20" w:firstLine="453"/>
        <w:spacing w:after="0" w:line="263"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amendment, alteration or repeal (including by means of a merger, consolidation or otherwise) of any provision of the Articles of Incorporation (including this Certificate of Designations) or the Corporation’s bylaws that would alter or change the rights, preferences or privileges of the Series G Preferred Stock so as to affect them adversely; or</w:t>
      </w:r>
    </w:p>
    <w:p>
      <w:pPr>
        <w:spacing w:after="0" w:line="156" w:lineRule="exact"/>
        <w:rPr>
          <w:rFonts w:ascii="Arial" w:cs="Arial" w:eastAsia="Arial" w:hAnsi="Arial"/>
          <w:sz w:val="18"/>
          <w:szCs w:val="18"/>
          <w:color w:val="auto"/>
        </w:rPr>
      </w:pPr>
    </w:p>
    <w:p>
      <w:pPr>
        <w:ind w:right="60" w:firstLine="453"/>
        <w:spacing w:after="0" w:line="259" w:lineRule="auto"/>
        <w:tabs>
          <w:tab w:leader="none" w:pos="71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amendment or alteration (including by means of a merger, consolidation or otherwise) of the Corporation’s Articles of Incorporation to authorize, or create, or increase the authorized amount of, any shares of, or any securities convertible into shares of, any class or series of the Corporation’s capital stock ranking equally with or senior to the Series G Preferred Stock in the payment of dividends or in the distribution of assets on any liquidation, dissolution or winding up of the Corporation.</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creation and issuance, or an increase in the authorized or issued amount, of any series of preferred stock or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into preferred stock ranking junior to the Series G Preferred Stock with respect to the payment of dividends (whether such dividends are cumulative or non-cumulative) and/or the distribution of assets upon the Corporation’s liquidation, dissolution or winding up will not, in and of itself, be deemed to adversely affect rights, preferences or privileges of the Series G Preferred Stock and, notwithstanding any provision of Georgia law, Holders will have no right to vote solely by reason of such an increase, creation or issuance.</w:t>
      </w:r>
    </w:p>
    <w:p>
      <w:pPr>
        <w:spacing w:after="0" w:line="147" w:lineRule="exact"/>
        <w:rPr>
          <w:sz w:val="20"/>
          <w:szCs w:val="20"/>
          <w:color w:val="auto"/>
        </w:rPr>
      </w:pPr>
    </w:p>
    <w:p>
      <w:pPr>
        <w:ind w:right="160" w:firstLine="899"/>
        <w:spacing w:after="0" w:line="263" w:lineRule="auto"/>
        <w:tabs>
          <w:tab w:leader="none" w:pos="11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Notwithstanding the foregoing, Holders shall not have any voting rights if, at or prior to the effective time of the act with respect to which such vote would otherwise be required, all outstanding shares of Series G Preferred Stock shall have been converted into shares of Non-Voting Common Stock.</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13. Fractional Shares</w:t>
      </w:r>
      <w:r>
        <w:rPr>
          <w:rFonts w:ascii="Arial" w:cs="Arial" w:eastAsia="Arial" w:hAnsi="Arial"/>
          <w:sz w:val="18"/>
          <w:szCs w:val="18"/>
          <w:color w:val="auto"/>
        </w:rPr>
        <w:t>.</w:t>
      </w:r>
    </w:p>
    <w:p>
      <w:pPr>
        <w:spacing w:after="0" w:line="185" w:lineRule="exact"/>
        <w:rPr>
          <w:sz w:val="20"/>
          <w:szCs w:val="20"/>
          <w:color w:val="auto"/>
        </w:rPr>
      </w:pPr>
    </w:p>
    <w:p>
      <w:pPr>
        <w:ind w:left="1140" w:hanging="241"/>
        <w:spacing w:after="0"/>
        <w:tabs>
          <w:tab w:leader="none" w:pos="11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No fractional shares of Non-Voting Common Stock will be issued as a result of any conversion of shares of Series G Preferred Stock.</w:t>
      </w:r>
    </w:p>
    <w:p>
      <w:pPr>
        <w:spacing w:after="0" w:line="196" w:lineRule="exact"/>
        <w:rPr>
          <w:rFonts w:ascii="Arial" w:cs="Arial" w:eastAsia="Arial" w:hAnsi="Arial"/>
          <w:sz w:val="17"/>
          <w:szCs w:val="17"/>
          <w:color w:val="auto"/>
        </w:rPr>
      </w:pPr>
    </w:p>
    <w:p>
      <w:pPr>
        <w:ind w:firstLine="899"/>
        <w:spacing w:after="0" w:line="263" w:lineRule="auto"/>
        <w:tabs>
          <w:tab w:leader="none" w:pos="11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lieu of any fractional share of Non-Voting Common Stock otherwise issuable in respect of any mandatory conversion pursuant to Section 8 hereof, the Corporation shall pay an amount in cash (computed to the nearest cent) equal to the same fraction of the Closing Price of the Common Stock determined as of the second Trading Day immediately preceding the Mandatory Conversion Date.</w:t>
      </w:r>
    </w:p>
    <w:p>
      <w:pPr>
        <w:spacing w:after="0" w:line="156" w:lineRule="exact"/>
        <w:rPr>
          <w:rFonts w:ascii="Arial" w:cs="Arial" w:eastAsia="Arial" w:hAnsi="Arial"/>
          <w:sz w:val="18"/>
          <w:szCs w:val="18"/>
          <w:color w:val="auto"/>
        </w:rPr>
      </w:pPr>
    </w:p>
    <w:p>
      <w:pPr>
        <w:ind w:right="200" w:firstLine="899"/>
        <w:spacing w:after="0" w:line="263" w:lineRule="auto"/>
        <w:tabs>
          <w:tab w:leader="none" w:pos="113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more than one share of the Series G Preferred Stock is surrendered for conversion at one time by or for the same Holder, the number of full shares of Non-Voting Common Stock issuable upon conversion thereof shall be computed on the basis of the aggregate number of shares of the Series G Preferred Stock so surrendered.</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Section 14. Reservation of Non-Voting Common Stock.</w:t>
      </w:r>
    </w:p>
    <w:p>
      <w:pPr>
        <w:sectPr>
          <w:pgSz w:w="11900" w:h="16838" w:orient="portrait"/>
          <w:cols w:equalWidth="0" w:num="1">
            <w:col w:w="11240"/>
          </w:cols>
          <w:pgMar w:left="320" w:top="1070" w:right="339" w:bottom="1440" w:gutter="0" w:footer="0" w:header="0"/>
        </w:sectPr>
      </w:pPr>
    </w:p>
    <w:bookmarkStart w:id="126" w:name="page127"/>
    <w:bookmarkEnd w:id="126"/>
    <w:p>
      <w:pPr>
        <w:ind w:left="-899" w:firstLine="899"/>
        <w:spacing w:after="0" w:line="269" w:lineRule="auto"/>
        <w:tabs>
          <w:tab w:leader="none" w:pos="23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Following the receipt of the Stockholder Approvals, the Corporation shall at all times reserve and keep available out of its authorized and unissued Non-Voting Common Stock or shares acquired by the Corporation, solely for issuance upon the conversion of shares of Series G Preferred Stock as provided in this Certificate of Designations free from any preemptive or other similar rights, such number of shares of Non-Voting Common Stock as shall from time to time be issuable upon the conversion of all the shares of Series G Preferred Stock then outstanding. For purposes of this Section 14(a), the number of shares of Non-Voting Common Stock that shall be deliverable upon the conversion of all outstanding shares of Series G Preferred Stock shall be computed as if at the time of computation all such outstanding shares were held by a single Holder. Following the receipt of the Stockholder Approvals, the Corporation shall at all times reserve and keep available out of its authorized and unissued Common Stock or shares acquired by the Corporation, solely for issuance upon the conversion of shares of Non-Voting Common Stock issued upon conversion of the Series G Preferred Stock free from any preemptive or other similar rights, the same number of shares of Common Stock as the number of shares of Non-Voting Common Stock reserved pursuant to the first sentence of this Section 14(a).</w:t>
      </w:r>
    </w:p>
    <w:p>
      <w:pPr>
        <w:spacing w:after="0" w:line="158" w:lineRule="exact"/>
        <w:rPr>
          <w:rFonts w:ascii="Arial" w:cs="Arial" w:eastAsia="Arial" w:hAnsi="Arial"/>
          <w:sz w:val="17"/>
          <w:szCs w:val="17"/>
          <w:color w:val="auto"/>
        </w:rPr>
      </w:pPr>
    </w:p>
    <w:p>
      <w:pPr>
        <w:ind w:left="-899" w:right="60" w:firstLine="899"/>
        <w:spacing w:after="0" w:line="286" w:lineRule="auto"/>
        <w:tabs>
          <w:tab w:leader="none" w:pos="247"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Notwithstanding the foregoing, the Corporation shall be entitled to deliver upon conversion of shares of Series G Preferred Stock, as herein provided, shares of Non-Voting Common Stock acquired by the Corporation (in lieu of the issuance of authorized and unissued shares of Non-Voting Common Stock), so long as any such acquired shares are free and clear of all liens, charges, security interests or encumbrances.</w:t>
      </w:r>
    </w:p>
    <w:p>
      <w:pPr>
        <w:spacing w:after="0" w:line="124" w:lineRule="exact"/>
        <w:rPr>
          <w:rFonts w:ascii="Arial" w:cs="Arial" w:eastAsia="Arial" w:hAnsi="Arial"/>
          <w:sz w:val="17"/>
          <w:szCs w:val="17"/>
          <w:color w:val="auto"/>
        </w:rPr>
      </w:pPr>
    </w:p>
    <w:p>
      <w:pPr>
        <w:ind w:left="-899" w:right="520" w:firstLine="899"/>
        <w:spacing w:after="0" w:line="277" w:lineRule="auto"/>
        <w:tabs>
          <w:tab w:leader="none" w:pos="22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shares of Non-Voting Common Stock delivered upon conversion of the Series G Preferred Stock shall be duly authorized, validly issued, fully paid and non-assessable, free and clear of all liens, claims, security interests and other encumbrances.</w:t>
      </w:r>
    </w:p>
    <w:p>
      <w:pPr>
        <w:spacing w:after="0" w:line="129" w:lineRule="exact"/>
        <w:rPr>
          <w:rFonts w:ascii="Arial" w:cs="Arial" w:eastAsia="Arial" w:hAnsi="Arial"/>
          <w:sz w:val="18"/>
          <w:szCs w:val="18"/>
          <w:color w:val="auto"/>
        </w:rPr>
      </w:pPr>
    </w:p>
    <w:p>
      <w:pPr>
        <w:ind w:left="-899" w:right="40" w:firstLine="899"/>
        <w:spacing w:after="0" w:line="263" w:lineRule="auto"/>
        <w:tabs>
          <w:tab w:leader="none" w:pos="2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Prior to the delivery of any securities that the Corporation shall be obligated to deliver upon conversion of the Series G Preferred Stock, the Corporation shall use its reasonable best efforts to comply with all federal and state laws and regulations thereunder requiring the registration of such securities with, or any approval of or consent to the delivery thereof by, any governmental authority.</w:t>
      </w:r>
    </w:p>
    <w:p>
      <w:pPr>
        <w:spacing w:after="0" w:line="156" w:lineRule="exact"/>
        <w:rPr>
          <w:rFonts w:ascii="Arial" w:cs="Arial" w:eastAsia="Arial" w:hAnsi="Arial"/>
          <w:sz w:val="18"/>
          <w:szCs w:val="18"/>
          <w:color w:val="auto"/>
        </w:rPr>
      </w:pPr>
    </w:p>
    <w:p>
      <w:pPr>
        <w:ind w:left="-899" w:right="120" w:firstLine="899"/>
        <w:spacing w:after="0" w:line="279" w:lineRule="auto"/>
        <w:tabs>
          <w:tab w:leader="none" w:pos="23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Corporation hereby covenants and agrees that, if at any time the Non-Voting Common Stock shall be listed on The NASDAQ Global Select Market or any other national securities exchange or automated quotation system, the Corporation will, if permitted by the rules of such exchange or automated quotation system, list and keep listed, so long as the Non-Voting Common Stock shall be so listed on such exchange or automated quotation system, all the Non-Voting Common Stock issuable upon conversion of the Series G Preferred Stock.</w:t>
      </w:r>
    </w:p>
    <w:p>
      <w:pPr>
        <w:spacing w:after="0" w:line="131"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Section 15. Replacement Certificates</w:t>
      </w:r>
      <w:r>
        <w:rPr>
          <w:rFonts w:ascii="Arial" w:cs="Arial" w:eastAsia="Arial" w:hAnsi="Arial"/>
          <w:sz w:val="18"/>
          <w:szCs w:val="18"/>
          <w:color w:val="auto"/>
        </w:rPr>
        <w:t>.</w:t>
      </w:r>
    </w:p>
    <w:p>
      <w:pPr>
        <w:spacing w:after="0" w:line="185" w:lineRule="exact"/>
        <w:rPr>
          <w:sz w:val="20"/>
          <w:szCs w:val="20"/>
          <w:color w:val="auto"/>
        </w:rPr>
      </w:pPr>
    </w:p>
    <w:p>
      <w:pPr>
        <w:ind w:left="-899" w:firstLine="899"/>
        <w:spacing w:after="0" w:line="286" w:lineRule="auto"/>
        <w:tabs>
          <w:tab w:leader="none" w:pos="233"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138" w:lineRule="exact"/>
        <w:rPr>
          <w:rFonts w:ascii="Arial" w:cs="Arial" w:eastAsia="Arial" w:hAnsi="Arial"/>
          <w:sz w:val="17"/>
          <w:szCs w:val="17"/>
          <w:color w:val="auto"/>
        </w:rPr>
      </w:pPr>
    </w:p>
    <w:p>
      <w:pPr>
        <w:ind w:left="-899" w:right="380" w:firstLine="899"/>
        <w:spacing w:after="0" w:line="259" w:lineRule="auto"/>
        <w:tabs>
          <w:tab w:leader="none" w:pos="24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Corporation shall not be required to issue any certificates representing the Series G Preferred Stock on or after the Mandatory Conversion Date. In place of the delivery of a replacement certificate following the Mandatory Conversion Date, the Corporation, upon delivery of the evidence and indemnity described in clause (a) above, shall deliver the shares of Non-Voting Common Stock pursuant to the terms of the Series G Preferred Stock formerly evidenced by the certificate.</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Section 16. Miscellaneous</w:t>
      </w:r>
      <w:r>
        <w:rPr>
          <w:rFonts w:ascii="Arial" w:cs="Arial" w:eastAsia="Arial" w:hAnsi="Arial"/>
          <w:sz w:val="18"/>
          <w:szCs w:val="18"/>
          <w:color w:val="auto"/>
        </w:rPr>
        <w:t>.</w:t>
      </w:r>
    </w:p>
    <w:p>
      <w:pPr>
        <w:spacing w:after="0" w:line="185" w:lineRule="exact"/>
        <w:rPr>
          <w:sz w:val="20"/>
          <w:szCs w:val="20"/>
          <w:color w:val="auto"/>
        </w:rPr>
      </w:pPr>
    </w:p>
    <w:p>
      <w:pPr>
        <w:ind w:left="-899" w:right="20" w:firstLine="899"/>
        <w:spacing w:after="0" w:line="255" w:lineRule="auto"/>
        <w:tabs>
          <w:tab w:leader="none" w:pos="2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All notices referred to herein shall be in writing, and, unless otherwise specified herein, all notices hereunder shall be deemed to have been given upon the earlier of receipt thereof or three Business Days after the mailing thereof if sent by registered or certified mail (unless first-class mail shall be specifically permitted for such notice under the terms of this Certificate of Designations) with postage prepaid, addressed: (i) if to the Corporation, to its office at 125 Highway 515 East, Blairsville, Georgia 30512 or (ii) if to any Holder, to such Holder at the address of such Holder as listed in the stock record books of the Corporation, or (iii) to such other address as the Corporation or any such Holder, as the case may be, shall have designated by notice similarly given.</w:t>
      </w:r>
    </w:p>
    <w:p>
      <w:pPr>
        <w:spacing w:after="0" w:line="165" w:lineRule="exact"/>
        <w:rPr>
          <w:rFonts w:ascii="Arial" w:cs="Arial" w:eastAsia="Arial" w:hAnsi="Arial"/>
          <w:sz w:val="18"/>
          <w:szCs w:val="18"/>
          <w:color w:val="auto"/>
        </w:rPr>
      </w:pPr>
    </w:p>
    <w:p>
      <w:pPr>
        <w:ind w:left="-899" w:right="300" w:firstLine="899"/>
        <w:spacing w:after="0" w:line="257" w:lineRule="auto"/>
        <w:tabs>
          <w:tab w:leader="none" w:pos="24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Corporation shall pay any and all stock transfer and documentary stamp taxes that may be payable in respect of any issuance or delivery of shares of Series G Preferred Stock or shares of Non-Voting Common Stock or other securities issued on account of Series G Preferred Stock pursuant hereto or certificates representing such shares or securities. The Corporation shall not, however, be required to pay any such tax that may be payable in respect of any transfer involved in the issuance or delivery of shares of Series G Preferred Stock or Non-Voting Common Stock or other securities in a name other</w:t>
      </w:r>
    </w:p>
    <w:p>
      <w:pPr>
        <w:sectPr>
          <w:pgSz w:w="11900" w:h="16838" w:orient="portrait"/>
          <w:cols w:equalWidth="0" w:num="1">
            <w:col w:w="10341"/>
          </w:cols>
          <w:pgMar w:left="1219" w:top="1070" w:right="339" w:bottom="1440" w:gutter="0" w:footer="0" w:header="0"/>
        </w:sectPr>
      </w:pPr>
    </w:p>
    <w:bookmarkStart w:id="127" w:name="page128"/>
    <w:bookmarkEnd w:id="127"/>
    <w:p>
      <w:pPr>
        <w:spacing w:after="0" w:line="279" w:lineRule="auto"/>
        <w:rPr>
          <w:sz w:val="20"/>
          <w:szCs w:val="20"/>
          <w:color w:val="auto"/>
        </w:rPr>
      </w:pPr>
      <w:r>
        <w:rPr>
          <w:rFonts w:ascii="Arial" w:cs="Arial" w:eastAsia="Arial" w:hAnsi="Arial"/>
          <w:sz w:val="17"/>
          <w:szCs w:val="17"/>
          <w:color w:val="auto"/>
        </w:rPr>
        <w:t>than that in which the shares of Series G Preferred Stock with respect to which such shares or other securities are issued or delivered were registered, or in respect of any payment to any Person other than a payment to the registered holder thereof,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144" w:lineRule="exact"/>
        <w:rPr>
          <w:sz w:val="20"/>
          <w:szCs w:val="20"/>
          <w:color w:val="auto"/>
        </w:rPr>
      </w:pPr>
    </w:p>
    <w:p>
      <w:pPr>
        <w:ind w:right="40" w:firstLine="899"/>
        <w:spacing w:after="0" w:line="308" w:lineRule="auto"/>
        <w:tabs>
          <w:tab w:leader="none" w:pos="1126"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All payments on the shares of Series G Preferred Stock shall be subject to withholding and backup withholding of tax to the extent required by applicable law, subject to applicable exemptions, and amounts withheld, if any, shall be treated as received by the holders thereof.</w:t>
      </w:r>
    </w:p>
    <w:p>
      <w:pPr>
        <w:spacing w:after="0" w:line="105" w:lineRule="exact"/>
        <w:rPr>
          <w:rFonts w:ascii="Arial" w:cs="Arial" w:eastAsia="Arial" w:hAnsi="Arial"/>
          <w:sz w:val="17"/>
          <w:szCs w:val="17"/>
          <w:color w:val="auto"/>
        </w:rPr>
      </w:pPr>
    </w:p>
    <w:p>
      <w:pPr>
        <w:ind w:right="140" w:firstLine="899"/>
        <w:spacing w:after="0" w:line="263" w:lineRule="auto"/>
        <w:tabs>
          <w:tab w:leader="none" w:pos="114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share of Series G Preferred Stock shall have any rights of preemption whatsoever under this Certificate of Designations as to any securities of the Corporation, or any warrants, rights or options issued or granted with respect thereto, regardless of how such securities, or such warrants, rights or options, may be designated issued or granted.</w:t>
      </w:r>
    </w:p>
    <w:p>
      <w:pPr>
        <w:spacing w:after="0" w:line="143" w:lineRule="exact"/>
        <w:rPr>
          <w:rFonts w:ascii="Arial" w:cs="Arial" w:eastAsia="Arial" w:hAnsi="Arial"/>
          <w:sz w:val="18"/>
          <w:szCs w:val="18"/>
          <w:color w:val="auto"/>
        </w:rPr>
      </w:pPr>
    </w:p>
    <w:p>
      <w:pPr>
        <w:ind w:right="40" w:firstLine="899"/>
        <w:spacing w:after="0" w:line="342" w:lineRule="auto"/>
        <w:tabs>
          <w:tab w:leader="none" w:pos="113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shares of Series G Preferred Stock shall not have any voting powers, preferences or relative, participating, optional or other special rights, or qualifications, limitations or restrictions thereof, other than as set forth herein or in the Articles of Incorporation or as provided by applicable law.</w:t>
      </w:r>
    </w:p>
    <w:p>
      <w:pPr>
        <w:spacing w:after="0" w:line="96" w:lineRule="exact"/>
        <w:rPr>
          <w:rFonts w:ascii="Arial" w:cs="Arial" w:eastAsia="Arial" w:hAnsi="Arial"/>
          <w:sz w:val="16"/>
          <w:szCs w:val="16"/>
          <w:color w:val="auto"/>
        </w:rPr>
      </w:pPr>
    </w:p>
    <w:p>
      <w:pPr>
        <w:ind w:right="540" w:firstLine="899"/>
        <w:spacing w:after="0" w:line="277" w:lineRule="auto"/>
        <w:tabs>
          <w:tab w:leader="none" w:pos="111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Corporation covenants (1) not to treat the Series G Preferred Stock as preferred stock for purposes of Section 305 of the Internal Revenue Code of 1986, as amended, except as otherwise required by applicable law.</w:t>
      </w:r>
    </w:p>
    <w:p>
      <w:pPr>
        <w:sectPr>
          <w:pgSz w:w="11900" w:h="16838" w:orient="portrait"/>
          <w:cols w:equalWidth="0" w:num="1">
            <w:col w:w="11220"/>
          </w:cols>
          <w:pgMar w:left="320" w:top="1070" w:right="359" w:bottom="1440" w:gutter="0" w:footer="0" w:header="0"/>
        </w:sectPr>
      </w:pPr>
    </w:p>
    <w:bookmarkStart w:id="128" w:name="page129"/>
    <w:bookmarkEnd w:id="128"/>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ARTICLES OF AMENDMENT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Restated Articles of Incorporation, as amended, of the corporation are amended by adding the powers, rights, and preferences, and the qualifications, limitations, and restrictions thereof, of the Junior Participating Preferred Stock, Series E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0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 United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Banks, Inc. this 22nd day of February, 2011.</w:t>
      </w:r>
    </w:p>
    <w:p>
      <w:pPr>
        <w:spacing w:after="0" w:line="200" w:lineRule="exact"/>
        <w:rPr>
          <w:sz w:val="20"/>
          <w:szCs w:val="20"/>
          <w:color w:val="auto"/>
        </w:rPr>
      </w:pPr>
    </w:p>
    <w:p>
      <w:pPr>
        <w:spacing w:after="0" w:line="20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UNITED COMMUNITY BANKS, INC.</w:t>
      </w:r>
    </w:p>
    <w:p>
      <w:pPr>
        <w:spacing w:after="0" w:line="216"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20"/>
              <w:spacing w:after="0"/>
              <w:rPr>
                <w:sz w:val="20"/>
                <w:szCs w:val="20"/>
                <w:color w:val="auto"/>
              </w:rPr>
            </w:pPr>
            <w:r>
              <w:rPr>
                <w:rFonts w:ascii="Arial" w:cs="Arial" w:eastAsia="Arial" w:hAnsi="Arial"/>
                <w:sz w:val="18"/>
                <w:szCs w:val="18"/>
                <w:color w:val="auto"/>
              </w:rPr>
              <w:t>/s/ Lois J. Rich</w:t>
            </w:r>
          </w:p>
        </w:tc>
        <w:tc>
          <w:tcPr>
            <w:tcW w:w="0" w:type="dxa"/>
            <w:vAlign w:val="bottom"/>
          </w:tcPr>
          <w:p>
            <w:pPr>
              <w:spacing w:after="0"/>
              <w:rPr>
                <w:sz w:val="1"/>
                <w:szCs w:val="1"/>
                <w:color w:val="auto"/>
              </w:rPr>
            </w:pPr>
          </w:p>
        </w:tc>
      </w:tr>
      <w:tr>
        <w:trPr>
          <w:trHeight w:val="27"/>
        </w:trPr>
        <w:tc>
          <w:tcPr>
            <w:tcW w:w="12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40" w:type="dxa"/>
            <w:vAlign w:val="bottom"/>
            <w:vMerge w:val="continue"/>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Lois J. Rich</w:t>
            </w: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
              <w:spacing w:after="0"/>
              <w:rPr>
                <w:sz w:val="20"/>
                <w:szCs w:val="20"/>
                <w:color w:val="auto"/>
              </w:rPr>
            </w:pPr>
            <w:r>
              <w:rPr>
                <w:rFonts w:ascii="Arial" w:cs="Arial" w:eastAsia="Arial" w:hAnsi="Arial"/>
                <w:sz w:val="18"/>
                <w:szCs w:val="18"/>
                <w:color w:val="auto"/>
              </w:rPr>
              <w:t>Assistant Corporate Secretary</w:t>
            </w: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29" w:name="page130"/>
    <w:bookmarkEnd w:id="129"/>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JUNIOR PARTICIPATING PREFERRED STOCK, SERIES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1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Section 1. Designation And Amount. </w:t>
      </w:r>
      <w:r>
        <w:rPr>
          <w:rFonts w:ascii="Arial" w:cs="Arial" w:eastAsia="Arial" w:hAnsi="Arial"/>
          <w:sz w:val="16"/>
          <w:szCs w:val="16"/>
          <w:color w:val="auto"/>
        </w:rPr>
        <w:t>The shares of such series shall be designated as “Junior Participating Preferred Stock, Series E,” $1.00 par value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(the “</w:t>
      </w:r>
      <w:r>
        <w:rPr>
          <w:rFonts w:ascii="Arial" w:cs="Arial" w:eastAsia="Arial" w:hAnsi="Arial"/>
          <w:sz w:val="16"/>
          <w:szCs w:val="16"/>
          <w:b w:val="1"/>
          <w:bCs w:val="1"/>
          <w:i w:val="1"/>
          <w:iCs w:val="1"/>
          <w:color w:val="auto"/>
        </w:rPr>
        <w:t>Series E Preferred Stock</w:t>
      </w:r>
      <w:r>
        <w:rPr>
          <w:rFonts w:ascii="Arial" w:cs="Arial" w:eastAsia="Arial" w:hAnsi="Arial"/>
          <w:sz w:val="16"/>
          <w:szCs w:val="16"/>
          <w:color w:val="auto"/>
        </w:rPr>
        <w:t>”), and the number of shares constituting the Series E Preferred Stock shall be 1,000,000. Such number of shares may be increased or decreased by resolution of the Board of Directors; provided, that no decrease shall reduce the number of shares of Series E Preferred stock to a number less than the number of shares then outstanding plus the number of shares reserved for issuance upon the exercise of outstanding options, rights, or warrants or upon the conversion of any outstanding securities issued by the Company convertible into Series E Preferred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Dividends And Distributions.</w:t>
      </w:r>
    </w:p>
    <w:p>
      <w:pPr>
        <w:spacing w:after="0" w:line="189" w:lineRule="exact"/>
        <w:rPr>
          <w:sz w:val="20"/>
          <w:szCs w:val="20"/>
          <w:color w:val="auto"/>
        </w:rPr>
      </w:pPr>
    </w:p>
    <w:p>
      <w:pPr>
        <w:ind w:right="60" w:firstLine="8"/>
        <w:spacing w:after="0" w:line="287" w:lineRule="auto"/>
        <w:tabs>
          <w:tab w:leader="none" w:pos="24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Subject to the rights of the holders of any shares of any series of Preferred Stock (or any similar stock) ranking prior and superior to the Series E Preferred Stock with respect to dividends, the holders of shares of Series E Preferred Stock shall be entitled to receive, when, as, and if declared by the Board of Directors out of funds legally available for the purpose, dividends in an amount per share (rounded to the nearest cent) equal to 100 times the aggregate per share amount of all cash dividends, and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E Preferred Stock were entitled immediately prior to such event under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1" w:lineRule="exact"/>
        <w:rPr>
          <w:rFonts w:ascii="Arial" w:cs="Arial" w:eastAsia="Arial" w:hAnsi="Arial"/>
          <w:sz w:val="16"/>
          <w:szCs w:val="16"/>
          <w:color w:val="auto"/>
        </w:rPr>
      </w:pPr>
    </w:p>
    <w:p>
      <w:pPr>
        <w:ind w:firstLine="8"/>
        <w:spacing w:after="0" w:line="259" w:lineRule="auto"/>
        <w:tabs>
          <w:tab w:leader="none" w:pos="25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Dividends paid on the shares of Series E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E Preferred Stock entitled to receive payment of a dividend or distribution declared thereon, which record date shall be not more than 60 days prior to the date fixed for the payment thereof.</w:t>
      </w:r>
    </w:p>
    <w:p>
      <w:pPr>
        <w:spacing w:after="0" w:line="15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Section 3. Voting Rights. </w:t>
      </w:r>
      <w:r>
        <w:rPr>
          <w:rFonts w:ascii="Arial" w:cs="Arial" w:eastAsia="Arial" w:hAnsi="Arial"/>
          <w:sz w:val="18"/>
          <w:szCs w:val="18"/>
          <w:color w:val="auto"/>
        </w:rPr>
        <w:t>In addition to any other voting rights required by law, the holders of shares of Series E Preferred Stock shall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w:t>
      </w:r>
    </w:p>
    <w:p>
      <w:pPr>
        <w:spacing w:after="0" w:line="125" w:lineRule="exact"/>
        <w:rPr>
          <w:sz w:val="20"/>
          <w:szCs w:val="20"/>
          <w:color w:val="auto"/>
        </w:rPr>
      </w:pPr>
    </w:p>
    <w:p>
      <w:pPr>
        <w:ind w:right="160" w:firstLine="8"/>
        <w:spacing w:after="0" w:line="291" w:lineRule="auto"/>
        <w:tabs>
          <w:tab w:leader="none" w:pos="24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E Preferred Stock shall entitle the holder thereof to 100 votes on all matters submitted to a vote of the shareholders of the Company.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E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30" w:name="page131"/>
    <w:bookmarkEnd w:id="130"/>
    <w:p>
      <w:pPr>
        <w:ind w:right="20" w:firstLine="8"/>
        <w:spacing w:after="0" w:line="263"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Except as otherwise provided herein, in any other Certificate of Designations creating a series of Preferred Stock or any similar Stock, or by law, the holders of shares of Series E Preferred Stock and the holders of shares of Common Stock and any other capital stock of the Company having general voting rights shall vote together as one class on all matters submitted to a vote of shareholders of the Company.</w:t>
      </w:r>
    </w:p>
    <w:p>
      <w:pPr>
        <w:spacing w:after="0" w:line="143" w:lineRule="exact"/>
        <w:rPr>
          <w:rFonts w:ascii="Arial" w:cs="Arial" w:eastAsia="Arial" w:hAnsi="Arial"/>
          <w:sz w:val="18"/>
          <w:szCs w:val="18"/>
          <w:color w:val="auto"/>
        </w:rPr>
      </w:pPr>
    </w:p>
    <w:p>
      <w:pPr>
        <w:ind w:right="380" w:firstLine="8"/>
        <w:spacing w:after="0" w:line="342" w:lineRule="auto"/>
        <w:tabs>
          <w:tab w:leader="none" w:pos="24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set forth herein, or as otherwise provided by law, holders of Series E Preferred Stock shall have no special voting rights and their consent shall not be required (except to the extent they are entitled to vote with holders of Common Stock as set forth herein) for taking any corporate action.</w:t>
      </w:r>
    </w:p>
    <w:p>
      <w:pPr>
        <w:spacing w:after="0" w:line="93" w:lineRule="exact"/>
        <w:rPr>
          <w:sz w:val="20"/>
          <w:szCs w:val="20"/>
          <w:color w:val="auto"/>
        </w:rPr>
      </w:pPr>
    </w:p>
    <w:p>
      <w:pPr>
        <w:ind w:right="140"/>
        <w:spacing w:after="0" w:line="303" w:lineRule="auto"/>
        <w:rPr>
          <w:sz w:val="20"/>
          <w:szCs w:val="20"/>
          <w:color w:val="auto"/>
        </w:rPr>
      </w:pPr>
      <w:r>
        <w:rPr>
          <w:rFonts w:ascii="Arial" w:cs="Arial" w:eastAsia="Arial" w:hAnsi="Arial"/>
          <w:sz w:val="16"/>
          <w:szCs w:val="16"/>
          <w:b w:val="1"/>
          <w:bCs w:val="1"/>
          <w:color w:val="auto"/>
        </w:rPr>
        <w:t xml:space="preserve">Section 4. Reacquired Shares. </w:t>
      </w:r>
      <w:r>
        <w:rPr>
          <w:rFonts w:ascii="Arial" w:cs="Arial" w:eastAsia="Arial" w:hAnsi="Arial"/>
          <w:sz w:val="16"/>
          <w:szCs w:val="16"/>
          <w:color w:val="auto"/>
        </w:rPr>
        <w:t>Any shares of Series E Preferred Stock purchased or otherwise acquired by the Company in any manner whatsoever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retired and canceled promptly after the acquisition thereof. All such shares shall upon their cancellation become authorized but unissued shares of Preferred Stock and may be reissued as part of a new series of the Preferred Stock subject to the conditions and restrictions on issuance set forth herein, in the Articles, or in any other Certificate of Designation creating a series of Preferred Stock or any similar stock or as otherwise required by law.</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Section 5. Liquidation, Dissolution Or Winding Up. </w:t>
      </w:r>
      <w:r>
        <w:rPr>
          <w:rFonts w:ascii="Arial" w:cs="Arial" w:eastAsia="Arial" w:hAnsi="Arial"/>
          <w:sz w:val="17"/>
          <w:szCs w:val="17"/>
          <w:color w:val="auto"/>
        </w:rPr>
        <w:t>Upon any liquidation, dissolution or winding up of the Company, no distribution shall be made</w:t>
      </w:r>
    </w:p>
    <w:p>
      <w:pPr>
        <w:spacing w:after="0" w:line="39" w:lineRule="exact"/>
        <w:rPr>
          <w:sz w:val="20"/>
          <w:szCs w:val="20"/>
          <w:color w:val="auto"/>
        </w:rPr>
      </w:pPr>
    </w:p>
    <w:p>
      <w:pPr>
        <w:ind w:firstLine="8"/>
        <w:spacing w:after="0" w:line="267" w:lineRule="auto"/>
        <w:tabs>
          <w:tab w:leader="none" w:pos="24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to the holders of shares of stock ranking junior (either as to dividends or upon liquidation, dissolution or winding up) to the Series E Preferred Stock unless, prior thereto, the holders of shares of Series E Preferred Stock shall have received $100 per share, and any such additional amount such that the holders of shares of Series E Preferred Stock shall be entitled to receive an aggregate amount per share, subject to the provision for adjustment hereinafter set forth, equal to 100 times the aggregate amount to be distributed per share to holders of shares of Common Stock, or (b) to the holders of shares of stock ranking on a parity (either as to dividends or upon liquidation, dissolution or winding up) with the Series E Preferred Stock, except distributions made ratable on the Series E Preferred Stock and all such parity stock in proportion to the total amounts to which the holders of all such shares are entitled upon such liquidation, dissolution or winding up. In the event the Company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E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Section 6. Consolidation, Merger, Etc. </w:t>
      </w:r>
      <w:r>
        <w:rPr>
          <w:rFonts w:ascii="Arial" w:cs="Arial" w:eastAsia="Arial" w:hAnsi="Arial"/>
          <w:sz w:val="16"/>
          <w:szCs w:val="16"/>
          <w:color w:val="auto"/>
        </w:rPr>
        <w:t>In case the Company shall enter into any consolidation, merger, combination, or other transaction in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are exchanged for or changed into other stock or securities, cash, and/or any other property, then in any such case each share of Series E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into which or for which each share of Common Stock is changed or exchanged. In the event the Company shall at any time declare or pay any dividend on the Common Stock payable in shares of Common Stock, or effect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E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7. No Redemption. </w:t>
      </w:r>
      <w:r>
        <w:rPr>
          <w:rFonts w:ascii="Arial" w:cs="Arial" w:eastAsia="Arial" w:hAnsi="Arial"/>
          <w:sz w:val="18"/>
          <w:szCs w:val="18"/>
          <w:color w:val="auto"/>
        </w:rPr>
        <w:t>The shares of Series E Preferred Stock shall not be redeemable.</w:t>
      </w:r>
    </w:p>
    <w:p>
      <w:pPr>
        <w:spacing w:after="0" w:line="19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Section 8. Rank. </w:t>
      </w:r>
      <w:r>
        <w:rPr>
          <w:rFonts w:ascii="Arial" w:cs="Arial" w:eastAsia="Arial" w:hAnsi="Arial"/>
          <w:sz w:val="18"/>
          <w:szCs w:val="18"/>
          <w:color w:val="auto"/>
        </w:rPr>
        <w:t>The Series E Preferred Stock shall rank, with respect to the payment of dividends and the distribution of assets, junior to all series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class of the Company’s Preferred Stock and shall rank senior to the Common Stock as to such matters.</w:t>
      </w:r>
    </w:p>
    <w:p>
      <w:pPr>
        <w:spacing w:after="0" w:line="12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Section 9. Amendment. </w:t>
      </w:r>
      <w:r>
        <w:rPr>
          <w:rFonts w:ascii="Arial" w:cs="Arial" w:eastAsia="Arial" w:hAnsi="Arial"/>
          <w:sz w:val="18"/>
          <w:szCs w:val="18"/>
          <w:color w:val="auto"/>
        </w:rPr>
        <w:t>The Articles shall not be amended in any manner which would materially alter or change the powers, preferences, or special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Series E Preferred Stock so as to affect them adversely without the affirmative vote of the holders of at least a majority of the outstanding shares of Series E Preferred Stock, voting together as a single class.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95" w:right="339" w:bottom="1440" w:gutter="0" w:footer="0" w:header="0"/>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t>ARTICLES OF AMENDMENT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Restated Articles of Incorporation, as amended, of the corporation are amended by adding the powers, rights, and preferences, and the qualifications, limitations, and restrictions thereof, of the Cumulative Perpetual Preferred Stock, Series D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0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 United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Community Banks, Inc. this 22nd day of February, 2011.</w:t>
      </w: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UNITED COMMUNITY BANKS, INC.</w:t>
      </w:r>
    </w:p>
    <w:p>
      <w:pPr>
        <w:spacing w:after="0" w:line="216"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ind w:left="20"/>
              <w:spacing w:after="0"/>
              <w:rPr>
                <w:sz w:val="20"/>
                <w:szCs w:val="20"/>
                <w:color w:val="auto"/>
              </w:rPr>
            </w:pPr>
            <w:r>
              <w:rPr>
                <w:rFonts w:ascii="Arial" w:cs="Arial" w:eastAsia="Arial" w:hAnsi="Arial"/>
                <w:sz w:val="18"/>
                <w:szCs w:val="18"/>
                <w:color w:val="auto"/>
              </w:rPr>
              <w:t>/s/ Rex S. Schuette</w:t>
            </w:r>
          </w:p>
        </w:tc>
        <w:tc>
          <w:tcPr>
            <w:tcW w:w="0" w:type="dxa"/>
            <w:vAlign w:val="bottom"/>
          </w:tcPr>
          <w:p>
            <w:pPr>
              <w:spacing w:after="0"/>
              <w:rPr>
                <w:sz w:val="1"/>
                <w:szCs w:val="1"/>
                <w:color w:val="auto"/>
              </w:rPr>
            </w:pPr>
          </w:p>
        </w:tc>
      </w:tr>
      <w:tr>
        <w:trPr>
          <w:trHeight w:val="27"/>
        </w:trPr>
        <w:tc>
          <w:tcPr>
            <w:tcW w:w="11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80" w:type="dxa"/>
            <w:vAlign w:val="bottom"/>
            <w:vMerge w:val="continue"/>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Rex S. Schuette</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1309" w:right="35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PERPETUAL PREFERRED STOCK, SERIES 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authority vested in the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by the Restated Articles of Incorporation of United Community Banks,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as amended (the “</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the Board of Directors does hereby designate, create, authorize and provide for the issue of a series of preferred stock, which shall be designated as Cumulative Perpetual Preferred Stock, Series D (the “</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consisting of 25,000 shares having the following powers, preferences, participation and other special rights, qualifications, limitations, restrictions and other designations:</w:t>
      </w:r>
    </w:p>
    <w:p>
      <w:pPr>
        <w:spacing w:after="0" w:line="14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Matters</w:t>
      </w:r>
      <w:r>
        <w:rPr>
          <w:rFonts w:ascii="Arial" w:cs="Arial" w:eastAsia="Arial" w:hAnsi="Arial"/>
          <w:sz w:val="16"/>
          <w:szCs w:val="16"/>
          <w:color w:val="auto"/>
        </w:rPr>
        <w:t>. Each share of the Series D Preferred Stock shall be identical in all respects to every other share of the Series D Preferred Stock. The Series D Preferred Stock shall be perpetual, subject to the provisions of Section 5 of this Certificate of Designation. The Series D Preferred Stock shall rank at least equally with all Parity Stock outstanding as of the date hereof (except for any senior series that may be issued following the date hereof with the requisite consent of the holders of the Series D Preferred Stock and any other class or series whose vote is required) and shall rank senior to Junior Stock with respect to the payment of dividends and the distribution of assets in the event of liquidation, dissolution or winding up of the Corporation.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98" w:lineRule="exact"/>
        <w:rPr>
          <w:sz w:val="20"/>
          <w:szCs w:val="20"/>
          <w:color w:val="auto"/>
        </w:rPr>
      </w:pPr>
    </w:p>
    <w:p>
      <w:pPr>
        <w:ind w:right="40" w:firstLine="8"/>
        <w:spacing w:after="0" w:line="255" w:lineRule="auto"/>
        <w:tabs>
          <w:tab w:leader="none" w:pos="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Dividend Rate</w:t>
      </w:r>
      <w:r>
        <w:rPr>
          <w:rFonts w:ascii="Arial" w:cs="Arial" w:eastAsia="Arial" w:hAnsi="Arial"/>
          <w:sz w:val="18"/>
          <w:szCs w:val="18"/>
          <w:color w:val="auto"/>
        </w:rPr>
        <w:t xml:space="preserve">” means a rate per annum equal to (i) the sum of 10.00%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three-month United States Dollar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as announced and published on February 22, 2011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most recently published LIBOR, as announced and published from time to time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and in effect on the last day of the month preceding the applicable Dividend Period;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initial Applicable Dividend Rate shall be 10.00% and shall continue in effect until May 15, 2011. In the event that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one LIBOR is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of the last day of the month preceding any Dividend Period, the highest LIBOR published will be used.</w:t>
      </w:r>
    </w:p>
    <w:p>
      <w:pPr>
        <w:spacing w:after="0" w:line="151" w:lineRule="exact"/>
        <w:rPr>
          <w:rFonts w:ascii="Arial" w:cs="Arial" w:eastAsia="Arial" w:hAnsi="Arial"/>
          <w:sz w:val="18"/>
          <w:szCs w:val="18"/>
          <w:color w:val="auto"/>
        </w:rPr>
      </w:pPr>
    </w:p>
    <w:p>
      <w:pPr>
        <w:ind w:left="260" w:hanging="252"/>
        <w:spacing w:after="0"/>
        <w:tabs>
          <w:tab w:leader="none" w:pos="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has the meaning set forth in the preamble.</w:t>
      </w:r>
    </w:p>
    <w:p>
      <w:pPr>
        <w:spacing w:after="0" w:line="184" w:lineRule="exact"/>
        <w:rPr>
          <w:rFonts w:ascii="Arial" w:cs="Arial" w:eastAsia="Arial" w:hAnsi="Arial"/>
          <w:sz w:val="18"/>
          <w:szCs w:val="18"/>
          <w:color w:val="auto"/>
        </w:rPr>
      </w:pPr>
    </w:p>
    <w:p>
      <w:pPr>
        <w:ind w:firstLine="8"/>
        <w:spacing w:after="0" w:line="277" w:lineRule="auto"/>
        <w:tabs>
          <w:tab w:leader="none" w:pos="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generally are authorized or required by law or other governmental actions to close.</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Corporation, as they may be further amended from time to time.</w:t>
      </w:r>
    </w:p>
    <w:p>
      <w:pPr>
        <w:spacing w:after="0" w:line="184" w:lineRule="exact"/>
        <w:rPr>
          <w:rFonts w:ascii="Arial" w:cs="Arial" w:eastAsia="Arial" w:hAnsi="Arial"/>
          <w:sz w:val="18"/>
          <w:szCs w:val="18"/>
          <w:color w:val="auto"/>
        </w:rPr>
      </w:pPr>
    </w:p>
    <w:p>
      <w:pPr>
        <w:ind w:right="520" w:firstLine="8"/>
        <w:spacing w:after="0" w:line="277" w:lineRule="auto"/>
        <w:tabs>
          <w:tab w:leader="none" w:pos="24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means this Certificate of Designation or comparable instrument relating to the Series D Preferred Stock, as it may be amended from time to time.</w:t>
      </w:r>
    </w:p>
    <w:p>
      <w:pPr>
        <w:spacing w:after="0" w:line="129" w:lineRule="exact"/>
        <w:rPr>
          <w:rFonts w:ascii="Arial" w:cs="Arial" w:eastAsia="Arial" w:hAnsi="Arial"/>
          <w:sz w:val="18"/>
          <w:szCs w:val="18"/>
          <w:color w:val="auto"/>
        </w:rPr>
      </w:pPr>
    </w:p>
    <w:p>
      <w:pPr>
        <w:ind w:left="240" w:hanging="232"/>
        <w:spacing w:after="0"/>
        <w:tabs>
          <w:tab w:leader="none" w:pos="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of the issuances occurs.</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$1.00 par value per share, of the Corporation.</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set forth in the preamble.</w:t>
      </w:r>
    </w:p>
    <w:p>
      <w:pPr>
        <w:spacing w:after="0" w:line="184" w:lineRule="exact"/>
        <w:rPr>
          <w:rFonts w:ascii="Arial" w:cs="Arial" w:eastAsia="Arial" w:hAnsi="Arial"/>
          <w:sz w:val="18"/>
          <w:szCs w:val="18"/>
          <w:color w:val="auto"/>
        </w:rPr>
      </w:pPr>
    </w:p>
    <w:p>
      <w:pPr>
        <w:ind w:left="220" w:hanging="212"/>
        <w:spacing w:after="0"/>
        <w:tabs>
          <w:tab w:leader="none" w:pos="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February 15, May 15, August 15 and November 15 of each year.</w:t>
      </w:r>
    </w:p>
    <w:p>
      <w:pPr>
        <w:spacing w:after="0" w:line="198" w:lineRule="exact"/>
        <w:rPr>
          <w:rFonts w:ascii="Arial" w:cs="Arial" w:eastAsia="Arial" w:hAnsi="Arial"/>
          <w:sz w:val="18"/>
          <w:szCs w:val="18"/>
          <w:color w:val="auto"/>
        </w:rPr>
      </w:pPr>
    </w:p>
    <w:p>
      <w:pPr>
        <w:ind w:left="220" w:hanging="212"/>
        <w:spacing w:after="0"/>
        <w:tabs>
          <w:tab w:leader="none" w:pos="2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3(a).</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3(a).</w:t>
      </w:r>
    </w:p>
    <w:p>
      <w:pPr>
        <w:sectPr>
          <w:pgSz w:w="11900" w:h="16838" w:orient="portrait"/>
          <w:cols w:equalWidth="0" w:num="1">
            <w:col w:w="11240"/>
          </w:cols>
          <w:pgMar w:left="320" w:top="1309" w:right="339" w:bottom="1440" w:gutter="0" w:footer="0" w:header="0"/>
        </w:sectPr>
      </w:pPr>
    </w:p>
    <w:bookmarkStart w:id="133" w:name="page134"/>
    <w:bookmarkEnd w:id="133"/>
    <w:p>
      <w:pPr>
        <w:ind w:right="120" w:firstLine="8"/>
        <w:spacing w:after="0" w:line="308" w:lineRule="auto"/>
        <w:tabs>
          <w:tab w:leader="none" w:pos="21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Stock</w:t>
      </w:r>
      <w:r>
        <w:rPr>
          <w:rFonts w:ascii="Arial" w:cs="Arial" w:eastAsia="Arial" w:hAnsi="Arial"/>
          <w:sz w:val="17"/>
          <w:szCs w:val="17"/>
          <w:color w:val="auto"/>
        </w:rPr>
        <w:t>” means Common Stock and any other class or series of stock of the Corporation the terms of which expressly provide that it ranks junior to the Series D Preferred Stock as to dividend rights and/or as to rights on liquidation, dissolution or winding up of the Corporation.</w:t>
      </w:r>
    </w:p>
    <w:p>
      <w:pPr>
        <w:spacing w:after="0" w:line="119" w:lineRule="exact"/>
        <w:rPr>
          <w:rFonts w:ascii="Arial" w:cs="Arial" w:eastAsia="Arial" w:hAnsi="Arial"/>
          <w:sz w:val="17"/>
          <w:szCs w:val="17"/>
          <w:color w:val="auto"/>
        </w:rPr>
      </w:pPr>
    </w:p>
    <w:p>
      <w:pPr>
        <w:ind w:left="320" w:hanging="312"/>
        <w:spacing w:after="0"/>
        <w:tabs>
          <w:tab w:leader="none" w:pos="3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$1,000.00 per share of the Series D Preferred Stock.</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184" w:lineRule="exact"/>
        <w:rPr>
          <w:rFonts w:ascii="Arial" w:cs="Arial" w:eastAsia="Arial" w:hAnsi="Arial"/>
          <w:sz w:val="18"/>
          <w:szCs w:val="18"/>
          <w:color w:val="auto"/>
        </w:rPr>
      </w:pPr>
    </w:p>
    <w:p>
      <w:pPr>
        <w:ind w:right="340" w:firstLine="8"/>
        <w:spacing w:after="0" w:line="311" w:lineRule="auto"/>
        <w:tabs>
          <w:tab w:leader="none" w:pos="25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Parity Stock</w:t>
      </w:r>
      <w:r>
        <w:rPr>
          <w:rFonts w:ascii="Arial" w:cs="Arial" w:eastAsia="Arial" w:hAnsi="Arial"/>
          <w:sz w:val="16"/>
          <w:szCs w:val="16"/>
          <w:color w:val="auto"/>
        </w:rPr>
        <w:t>” means any class of capital stock or series of stock of the Corporation (other than the Series D Preferred Stock) the terms of which expressly provide that such class or series will rank on senior or junior to the Series D Preferred Stock as to dividend rights and/or as to rights upon the liquidation, dissolution or winding up of the Corporation (in each case without regard to whether dividends accrue cumulatively or non-cumulatively).</w:t>
      </w:r>
    </w:p>
    <w:p>
      <w:pPr>
        <w:spacing w:after="0" w:line="121" w:lineRule="exact"/>
        <w:rPr>
          <w:rFonts w:ascii="Arial" w:cs="Arial" w:eastAsia="Arial" w:hAnsi="Arial"/>
          <w:sz w:val="16"/>
          <w:szCs w:val="16"/>
          <w:color w:val="auto"/>
        </w:rPr>
      </w:pPr>
    </w:p>
    <w:p>
      <w:pPr>
        <w:ind w:left="260" w:hanging="252"/>
        <w:spacing w:after="0"/>
        <w:tabs>
          <w:tab w:leader="none" w:pos="2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any and all series of preferred stock of the Corporation, including the Series D Preferred Stock.</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has the meaning set forth in Section 3(b).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98" w:lineRule="exact"/>
        <w:rPr>
          <w:sz w:val="20"/>
          <w:szCs w:val="20"/>
          <w:color w:val="auto"/>
        </w:rPr>
      </w:pPr>
    </w:p>
    <w:p>
      <w:pPr>
        <w:ind w:right="40" w:firstLine="8"/>
        <w:spacing w:after="0" w:line="287" w:lineRule="auto"/>
        <w:tabs>
          <w:tab w:leader="none" w:pos="244"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Rate</w:t>
      </w:r>
      <w:r>
        <w:rPr>
          <w:rFonts w:ascii="Arial" w:cs="Arial" w:eastAsia="Arial" w:hAnsi="Arial"/>
          <w:sz w:val="16"/>
          <w:szCs w:val="16"/>
          <w:color w:val="auto"/>
        </w:rPr>
        <w:t>. Holders of the Series D Preferred Stock shall be entitled to receive, on each share of the Series D Preferred Stock if, as and when declared by the Board of Directors or any duly authorized committee of the Board of Directors, but only out of assets legally available therefor, cumulative cash dividends with respect to each Dividend Period (as defined below) at the Applicable Dividend Rate on (i) the Liquidation Amount per share of the Series D Preferred Stock and (ii) the amount of accrued and unpaid dividends for any prior Dividend Period on such share of the Series D Preferred Stock, if any. Dividends shall begin to accrue and be cumulative from the Closing Date and shall compound on each subsequent Dividend Payment Date (</w:t>
      </w:r>
      <w:r>
        <w:rPr>
          <w:rFonts w:ascii="Arial" w:cs="Arial" w:eastAsia="Arial" w:hAnsi="Arial"/>
          <w:sz w:val="16"/>
          <w:szCs w:val="16"/>
          <w:i w:val="1"/>
          <w:iCs w:val="1"/>
          <w:color w:val="auto"/>
        </w:rPr>
        <w:t>i.e.</w:t>
      </w:r>
      <w:r>
        <w:rPr>
          <w:rFonts w:ascii="Arial" w:cs="Arial" w:eastAsia="Arial" w:hAnsi="Arial"/>
          <w:sz w:val="16"/>
          <w:szCs w:val="16"/>
          <w:color w:val="auto"/>
        </w:rPr>
        <w:t>, no dividends shall accrue on other dividends unless and until the first Dividend Payment Date for such other dividends has passed without such other dividends having been paid on such date), in each case whether or not declared, and shall be payable quarterly in arrears on each Dividend Payment Date, commencing May 15, 2011.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6"/>
          <w:szCs w:val="16"/>
          <w:u w:val="single" w:color="auto"/>
          <w:color w:val="auto"/>
        </w:rPr>
        <w:t>Dividend Period</w:t>
      </w:r>
      <w:r>
        <w:rPr>
          <w:rFonts w:ascii="Arial" w:cs="Arial" w:eastAsia="Arial" w:hAnsi="Arial"/>
          <w:sz w:val="16"/>
          <w:szCs w:val="16"/>
          <w:color w:val="auto"/>
        </w:rPr>
        <w:t>,” provided that the initial Dividend Period shall be the period from and including the Closing Date to, but excluding, May 15, 2011.</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Dividends that are payable on the Series D Preferred Stock in respect of any Dividend Period shall be computed on the basis of a 360-day year consisting of twelve 30-day months. The amount of dividends payable on the Series D Preferred Stock on any date prior to the end of a Dividend Period, and for the initial Dividend Period, shall be computed on the basis of a 360-day year consisting of twelve 30-day months, and actual days elapsed over a 30-day month.</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Dividends that are payable on the Series D Preferred Stock on any Dividend Payment Date will be payable to holders of record of the Series D Preferred Stock as they appear on the stock register of the Corporation on the applicable record date, which shall be the 15th calendar day immediately preceding such Dividend Payment Date (each, a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Any such day that is a Dividend Record Date shall be a Dividend Record Date whether or not such day is a Business Day.</w:t>
      </w:r>
    </w:p>
    <w:p>
      <w:pPr>
        <w:spacing w:after="0" w:line="16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Holders of the Series D Preferred Stock shall not be entitled to any dividends, whether payable in cash, securities or other property, other than dividends (if any) declared and payable on the Series D Preferred Stock as specified in this Section 3 (subject to the other provisions of this Certificate of Designation).</w:t>
      </w:r>
    </w:p>
    <w:p>
      <w:pPr>
        <w:spacing w:after="0" w:line="83" w:lineRule="exact"/>
        <w:rPr>
          <w:sz w:val="20"/>
          <w:szCs w:val="20"/>
          <w:color w:val="auto"/>
        </w:rPr>
      </w:pPr>
    </w:p>
    <w:p>
      <w:pPr>
        <w:ind w:firstLine="8"/>
        <w:spacing w:after="0" w:line="287" w:lineRule="auto"/>
        <w:tabs>
          <w:tab w:leader="none" w:pos="25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Priority of Dividends</w:t>
      </w:r>
      <w:r>
        <w:rPr>
          <w:rFonts w:ascii="Arial" w:cs="Arial" w:eastAsia="Arial" w:hAnsi="Arial"/>
          <w:sz w:val="16"/>
          <w:szCs w:val="16"/>
          <w:color w:val="auto"/>
        </w:rPr>
        <w:t xml:space="preserve">. So long as any share of the Series D Preferred Stock remains outstanding, no dividend or distribution shall be declared or paid on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the Series D Preferred Stock have been or are contemporaneously declared and paid in full (or have been declared and a sum sufficient for the payment thereof has been set aside for the benefit of the holders of shares of the Series 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purchases to offset the Share Dilution Amount shall in no event exceed the Share Dilution Amount; (ii) purchases or other acquisitions by a broker-dealer</w:t>
      </w:r>
    </w:p>
    <w:p>
      <w:pPr>
        <w:sectPr>
          <w:pgSz w:w="11900" w:h="16838" w:orient="portrait"/>
          <w:cols w:equalWidth="0" w:num="1">
            <w:col w:w="11220"/>
          </w:cols>
          <w:pgMar w:left="320" w:top="1070" w:right="359" w:bottom="1440" w:gutter="0" w:footer="0" w:header="0"/>
        </w:sectPr>
      </w:pPr>
    </w:p>
    <w:bookmarkStart w:id="134" w:name="page135"/>
    <w:bookmarkEnd w:id="134"/>
    <w:p>
      <w:pPr>
        <w:ind w:right="40"/>
        <w:spacing w:after="0" w:line="268" w:lineRule="auto"/>
        <w:rPr>
          <w:sz w:val="20"/>
          <w:szCs w:val="20"/>
          <w:color w:val="auto"/>
        </w:rPr>
      </w:pPr>
      <w:r>
        <w:rPr>
          <w:rFonts w:ascii="Arial" w:cs="Arial" w:eastAsia="Arial" w:hAnsi="Arial"/>
          <w:sz w:val="17"/>
          <w:szCs w:val="17"/>
          <w:color w:val="auto"/>
        </w:rPr>
        <w:t>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Closing Date or any subsequent agreement for the accelerated exercise, settlement or exchange thereof for Common Stock. “</w:t>
      </w:r>
      <w:r>
        <w:rPr>
          <w:rFonts w:ascii="Arial" w:cs="Arial" w:eastAsia="Arial" w:hAnsi="Arial"/>
          <w:sz w:val="17"/>
          <w:szCs w:val="17"/>
          <w:u w:val="single" w:color="auto"/>
          <w:color w:val="auto"/>
        </w:rPr>
        <w:t>Share Dilution Amount</w:t>
      </w:r>
      <w:r>
        <w:rPr>
          <w:rFonts w:ascii="Arial" w:cs="Arial" w:eastAsia="Arial" w:hAnsi="Arial"/>
          <w:sz w:val="17"/>
          <w:szCs w:val="17"/>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Closing Date) resulting from the grant, vesting or exercise of equity-based compensation to employees and equitably adjusted for any stock split, stock dividend, reverse stock split, reclassification or similar transaction.</w:t>
      </w:r>
    </w:p>
    <w:p>
      <w:pPr>
        <w:spacing w:after="0" w:line="15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the Series D Preferred Stock and any shares of Parity Stock, all dividends declared on the Series D Preferred Stock and/or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 respective amounts of such dividends declared shall bear the same ratio to each other as all accrued and unpaid dividends per share on the shares of the Series 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w:t>
      </w:r>
    </w:p>
    <w:p>
      <w:pPr>
        <w:spacing w:after="0" w:line="1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the Series D Preferred Stock shall not be entitled to participate in any such dividends.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98" w:lineRule="exact"/>
        <w:rPr>
          <w:sz w:val="20"/>
          <w:szCs w:val="20"/>
          <w:color w:val="auto"/>
        </w:rPr>
      </w:pPr>
    </w:p>
    <w:p>
      <w:pPr>
        <w:ind w:right="20" w:firstLine="8"/>
        <w:spacing w:after="0" w:line="272" w:lineRule="auto"/>
        <w:tabs>
          <w:tab w:leader="none" w:pos="244"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Voluntary or Involuntary Liquidation</w:t>
      </w:r>
      <w:r>
        <w:rPr>
          <w:rFonts w:ascii="Arial" w:cs="Arial" w:eastAsia="Arial" w:hAnsi="Arial"/>
          <w:sz w:val="17"/>
          <w:szCs w:val="17"/>
          <w:color w:val="auto"/>
        </w:rPr>
        <w:t>. In the event of any liquidation, dissolution or winding up of the affairs of the Corporation, whether voluntary or involuntary, holders of the Series D Preferred Stock shall be entitled to receive for each share of the Series 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the Series 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w:t>
      </w:r>
    </w:p>
    <w:p>
      <w:pPr>
        <w:spacing w:after="0" w:line="136" w:lineRule="exact"/>
        <w:rPr>
          <w:rFonts w:ascii="Arial" w:cs="Arial" w:eastAsia="Arial" w:hAnsi="Arial"/>
          <w:sz w:val="17"/>
          <w:szCs w:val="17"/>
          <w:color w:val="auto"/>
        </w:rPr>
      </w:pPr>
    </w:p>
    <w:p>
      <w:pPr>
        <w:ind w:firstLine="8"/>
        <w:spacing w:after="0" w:line="301" w:lineRule="auto"/>
        <w:tabs>
          <w:tab w:leader="none" w:pos="255"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Partial Payment</w:t>
      </w:r>
      <w:r>
        <w:rPr>
          <w:rFonts w:ascii="Arial" w:cs="Arial" w:eastAsia="Arial" w:hAnsi="Arial"/>
          <w:sz w:val="16"/>
          <w:szCs w:val="16"/>
          <w:color w:val="auto"/>
        </w:rPr>
        <w:t>. If in any distribution described in Section 4(a) above the assets of the Corporation or proceeds thereof are not sufficient to pay in full the amounts payable with respect to all outstanding shares of the Series D Preferred Stock and the corresponding amounts payable with respect of any other stock of the Corporation ranking equally with the Series D Preferred Stock as to such distribution, holders of the Series D Preferred Stock and the holders of such other stock shall share ratably in any such distribution in proportion to the full respective distributions to which they are entitled.</w:t>
      </w:r>
    </w:p>
    <w:p>
      <w:pPr>
        <w:spacing w:after="0" w:line="116" w:lineRule="exact"/>
        <w:rPr>
          <w:rFonts w:ascii="Arial" w:cs="Arial" w:eastAsia="Arial" w:hAnsi="Arial"/>
          <w:sz w:val="16"/>
          <w:szCs w:val="16"/>
          <w:color w:val="auto"/>
        </w:rPr>
      </w:pPr>
    </w:p>
    <w:p>
      <w:pPr>
        <w:ind w:right="100" w:firstLine="8"/>
        <w:spacing w:after="0" w:line="259" w:lineRule="auto"/>
        <w:tabs>
          <w:tab w:leader="none" w:pos="244"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Residual Distributions</w:t>
      </w:r>
      <w:r>
        <w:rPr>
          <w:rFonts w:ascii="Arial" w:cs="Arial" w:eastAsia="Arial" w:hAnsi="Arial"/>
          <w:sz w:val="18"/>
          <w:szCs w:val="18"/>
          <w:color w:val="auto"/>
        </w:rPr>
        <w:t>. If the Liquidation Preference has been paid in full to all holders of the Series D Preferred Stock and the corresponding amounts payable with respect of any other stock of the Corporation ranking equally with the Series D Preferred Stock as to such distribution has been paid in full, the holders of other stock of the Corporation shall be entitled to receive all remaining assets of the Corporation (or proceeds thereof) according to their respective rights and preferences.</w:t>
      </w:r>
    </w:p>
    <w:p>
      <w:pPr>
        <w:sectPr>
          <w:pgSz w:w="11900" w:h="16838" w:orient="portrait"/>
          <w:cols w:equalWidth="0" w:num="1">
            <w:col w:w="11220"/>
          </w:cols>
          <w:pgMar w:left="320" w:top="1070" w:right="359" w:bottom="1440" w:gutter="0" w:footer="0" w:header="0"/>
        </w:sectPr>
      </w:pPr>
    </w:p>
    <w:bookmarkStart w:id="135" w:name="page136"/>
    <w:bookmarkEnd w:id="135"/>
    <w:p>
      <w:pPr>
        <w:ind w:firstLine="8"/>
        <w:spacing w:after="0" w:line="273" w:lineRule="auto"/>
        <w:tabs>
          <w:tab w:leader="none" w:pos="255" w:val="left"/>
        </w:tabs>
        <w:numPr>
          <w:ilvl w:val="0"/>
          <w:numId w:val="167"/>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Not Liquidation</w:t>
      </w:r>
      <w:r>
        <w:rPr>
          <w:rFonts w:ascii="Arial" w:cs="Arial" w:eastAsia="Arial" w:hAnsi="Arial"/>
          <w:sz w:val="17"/>
          <w:szCs w:val="17"/>
          <w:color w:val="auto"/>
        </w:rPr>
        <w:t>. For purposes of this Section 4, the merger or consolidation of the Corporation with any other corporation or other entity, including a merger or consolidation in which the holders of the Series 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 but only to the extent that the holders of the Series D Preferred Stock receive in such transaction an amount equal to at least the sum of (i) the Liquidation Amount per share and (ii) except as otherwise provided below, any accrued and unpaid dividends (including, if applicable as provided in Section 3(a) above, dividends on such amount).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Optional Redemption</w:t>
      </w:r>
      <w:r>
        <w:rPr>
          <w:rFonts w:ascii="Arial" w:cs="Arial" w:eastAsia="Arial" w:hAnsi="Arial"/>
          <w:sz w:val="18"/>
          <w:szCs w:val="18"/>
          <w:color w:val="auto"/>
        </w:rPr>
        <w:t>. The Series D Preferred Stock may not be redeemed prior to either (i) the third anniversary of the Closing Date or</w:t>
      </w:r>
    </w:p>
    <w:p>
      <w:pPr>
        <w:spacing w:after="0" w:line="23" w:lineRule="exact"/>
        <w:rPr>
          <w:sz w:val="20"/>
          <w:szCs w:val="20"/>
          <w:color w:val="auto"/>
        </w:rPr>
      </w:pPr>
    </w:p>
    <w:p>
      <w:pPr>
        <w:ind w:right="360" w:firstLine="8"/>
        <w:spacing w:after="0" w:line="292" w:lineRule="auto"/>
        <w:tabs>
          <w:tab w:leader="none" w:pos="26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September 30, 2014, as determined by the Board of Directors in its sole discretion (the “</w:t>
      </w:r>
      <w:r>
        <w:rPr>
          <w:rFonts w:ascii="Arial" w:cs="Arial" w:eastAsia="Arial" w:hAnsi="Arial"/>
          <w:sz w:val="16"/>
          <w:szCs w:val="16"/>
          <w:u w:val="single" w:color="auto"/>
          <w:color w:val="auto"/>
        </w:rPr>
        <w:t>Optional Redemption Date</w:t>
      </w:r>
      <w:r>
        <w:rPr>
          <w:rFonts w:ascii="Arial" w:cs="Arial" w:eastAsia="Arial" w:hAnsi="Arial"/>
          <w:sz w:val="16"/>
          <w:szCs w:val="16"/>
          <w:color w:val="auto"/>
        </w:rPr>
        <w:t>”). On or after the Optional Redemption Date, the Corporation, at its option may redeem, in whole but not in part, at any time, out of funds legally available therefor, shares of the Series 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dividends are actually declared) to, but excluding, the date fixed for redemption.</w:t>
      </w:r>
    </w:p>
    <w:p>
      <w:pPr>
        <w:spacing w:after="0" w:line="1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redemption price for any shares of the Series D Preferred Stock shall be payable on the redemption date to the holder of such shares against surrender of the certificate(s) evidencing such shares to the Corporation or its agent, or for uncertificated shares that are issued in book-entry form on the books of the Corporation, against surrender on the books of the Corporation in accordance with the Corporation’s applicable direct registration system.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51" w:lineRule="exact"/>
        <w:rPr>
          <w:sz w:val="20"/>
          <w:szCs w:val="20"/>
          <w:color w:val="auto"/>
        </w:rPr>
      </w:pPr>
    </w:p>
    <w:p>
      <w:pPr>
        <w:ind w:right="200" w:firstLine="8"/>
        <w:spacing w:after="0" w:line="308" w:lineRule="auto"/>
        <w:tabs>
          <w:tab w:leader="none" w:pos="255"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No Sinking Fund</w:t>
      </w:r>
      <w:r>
        <w:rPr>
          <w:rFonts w:ascii="Arial" w:cs="Arial" w:eastAsia="Arial" w:hAnsi="Arial"/>
          <w:sz w:val="17"/>
          <w:szCs w:val="17"/>
          <w:color w:val="auto"/>
        </w:rPr>
        <w:t>. The Series D Preferred Stock will not be subject to any mandatory redemption, sinking fund or other similar provisions. Holders of the Series D Preferred Stock will have no right to require redemption or repurchase of any shares of the Series D Preferred Stock.</w:t>
      </w:r>
    </w:p>
    <w:p>
      <w:pPr>
        <w:spacing w:after="0" w:line="105" w:lineRule="exact"/>
        <w:rPr>
          <w:rFonts w:ascii="Arial" w:cs="Arial" w:eastAsia="Arial" w:hAnsi="Arial"/>
          <w:sz w:val="17"/>
          <w:szCs w:val="17"/>
          <w:color w:val="auto"/>
        </w:rPr>
      </w:pPr>
    </w:p>
    <w:p>
      <w:pPr>
        <w:ind w:firstLine="8"/>
        <w:spacing w:after="0" w:line="288" w:lineRule="auto"/>
        <w:tabs>
          <w:tab w:leader="none" w:pos="244"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Notice of Redemption</w:t>
      </w:r>
      <w:r>
        <w:rPr>
          <w:rFonts w:ascii="Arial" w:cs="Arial" w:eastAsia="Arial" w:hAnsi="Arial"/>
          <w:sz w:val="16"/>
          <w:szCs w:val="16"/>
          <w:color w:val="auto"/>
        </w:rPr>
        <w:t>. Notice of every redemption of shares of the Series 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the Series D Preferred Stock designated for redemption shall not affect the validity of the proceedings for the redemption of any other shares of the Series D Preferred Stock. Notwithstanding the foregoing, if shares of the Series D Preferred Stock are issued in book-entry form through The Depository Trust Company or any other similar facility, notice of redemption may be given to the holders of the Series D Preferred Stock at such time and in any manner permitted by such facility. Each notice of redemption given to a holder shall state: (1) the redemption date; (2) the number of shares of the Series D Preferred Stock to be redeemed; (3) the redemption price; and (4) the place or places where certificates for any such shares issued in certificated form are to be surrendered for payment of the redemption price.</w:t>
      </w:r>
    </w:p>
    <w:p>
      <w:pPr>
        <w:spacing w:after="0" w:line="127" w:lineRule="exact"/>
        <w:rPr>
          <w:rFonts w:ascii="Arial" w:cs="Arial" w:eastAsia="Arial" w:hAnsi="Arial"/>
          <w:sz w:val="16"/>
          <w:szCs w:val="16"/>
          <w:color w:val="auto"/>
        </w:rPr>
      </w:pPr>
    </w:p>
    <w:p>
      <w:pPr>
        <w:ind w:firstLine="8"/>
        <w:spacing w:after="0" w:line="270" w:lineRule="auto"/>
        <w:tabs>
          <w:tab w:leader="none" w:pos="255"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Effectiveness of Redemption</w:t>
      </w:r>
      <w:r>
        <w:rPr>
          <w:rFonts w:ascii="Arial" w:cs="Arial" w:eastAsia="Arial" w:hAnsi="Arial"/>
          <w:sz w:val="17"/>
          <w:szCs w:val="17"/>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benefit of the holders of the shares called for redemption, with a bank or trust company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53" w:lineRule="exact"/>
        <w:rPr>
          <w:rFonts w:ascii="Arial" w:cs="Arial" w:eastAsia="Arial" w:hAnsi="Arial"/>
          <w:sz w:val="17"/>
          <w:szCs w:val="17"/>
          <w:color w:val="auto"/>
        </w:rPr>
      </w:pPr>
    </w:p>
    <w:p>
      <w:pPr>
        <w:ind w:right="20" w:firstLine="8"/>
        <w:spacing w:after="0" w:line="263" w:lineRule="auto"/>
        <w:tabs>
          <w:tab w:leader="none" w:pos="244"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Shares of the Series D Preferred Stock that are redeemed, repurchased or otherwise acquired by the Corporation shall revert to authorized but unissued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cancelled shares of the Series D Preferred Stock may be reissued only as shares of any series of Preferred Stock other than the Series D Preferred Stock).</w:t>
      </w:r>
    </w:p>
    <w:p>
      <w:pPr>
        <w:sectPr>
          <w:pgSz w:w="11900" w:h="16838" w:orient="portrait"/>
          <w:cols w:equalWidth="0" w:num="1">
            <w:col w:w="11240"/>
          </w:cols>
          <w:pgMar w:left="320" w:top="1070" w:right="33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Conversion</w:t>
      </w:r>
      <w:r>
        <w:rPr>
          <w:rFonts w:ascii="Arial" w:cs="Arial" w:eastAsia="Arial" w:hAnsi="Arial"/>
          <w:sz w:val="16"/>
          <w:szCs w:val="16"/>
          <w:color w:val="auto"/>
        </w:rPr>
        <w:t>. Holders of the Series D Preferred Stock shares shall have no right to exchange or convert such shares into any other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85" w:lineRule="exact"/>
        <w:rPr>
          <w:sz w:val="20"/>
          <w:szCs w:val="20"/>
          <w:color w:val="auto"/>
        </w:rPr>
      </w:pPr>
    </w:p>
    <w:p>
      <w:pPr>
        <w:ind w:right="100" w:firstLine="8"/>
        <w:spacing w:after="0" w:line="263" w:lineRule="auto"/>
        <w:tabs>
          <w:tab w:leader="none" w:pos="244"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the Series D Preferred Stock shall not have any voting rights except as set forth below or as otherwise from time to time required by law. In exercising the voting rights set forth below, each holder shall be entitled to one vote for each share of the Series D Preferred Stock held by such holder.</w:t>
      </w:r>
    </w:p>
    <w:p>
      <w:pPr>
        <w:spacing w:after="0" w:line="143" w:lineRule="exact"/>
        <w:rPr>
          <w:rFonts w:ascii="Arial" w:cs="Arial" w:eastAsia="Arial" w:hAnsi="Arial"/>
          <w:sz w:val="18"/>
          <w:szCs w:val="18"/>
          <w:color w:val="auto"/>
        </w:rPr>
      </w:pPr>
    </w:p>
    <w:p>
      <w:pPr>
        <w:jc w:val="both"/>
        <w:ind w:right="240" w:firstLine="8"/>
        <w:spacing w:after="0" w:line="259" w:lineRule="auto"/>
        <w:tabs>
          <w:tab w:leader="none" w:pos="255"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Class Voting Rights as to Particular Matters</w:t>
      </w:r>
      <w:r>
        <w:rPr>
          <w:rFonts w:ascii="Arial" w:cs="Arial" w:eastAsia="Arial" w:hAnsi="Arial"/>
          <w:sz w:val="18"/>
          <w:szCs w:val="18"/>
          <w:color w:val="auto"/>
        </w:rPr>
        <w:t>. So long as any shares of the Series D Preferred Stock are outstanding, in addition to any other vote or consent of stockholders required by law or by the Articles of Incorporation, the vote or consent of the holders of at least a majority of the shares of the Series D Preferred Stock at the time outstanding, voting as a separate class, given in person or by proxy, either in writing without a meeting or by vote at any meeting called for the purpose, shall be necessary for effecting or validating:</w:t>
      </w:r>
    </w:p>
    <w:p>
      <w:pPr>
        <w:spacing w:after="0" w:line="160" w:lineRule="exact"/>
        <w:rPr>
          <w:sz w:val="20"/>
          <w:szCs w:val="20"/>
          <w:color w:val="auto"/>
        </w:rPr>
      </w:pPr>
    </w:p>
    <w:p>
      <w:pPr>
        <w:ind w:right="80" w:firstLine="8"/>
        <w:spacing w:after="0" w:line="279" w:lineRule="auto"/>
        <w:tabs>
          <w:tab w:leader="none" w:pos="215"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Authorization of Senior Stock</w:t>
      </w:r>
      <w:r>
        <w:rPr>
          <w:rFonts w:ascii="Arial" w:cs="Arial" w:eastAsia="Arial" w:hAnsi="Arial"/>
          <w:sz w:val="17"/>
          <w:szCs w:val="17"/>
          <w:color w:val="auto"/>
        </w:rPr>
        <w:t>. Any amendment or alteration of the Certificate of Designation for the Series D Preferred Stock or the Articles of Incorporation to authorize or create or increase the authorized amount of, or any issuance of, any shares of, or any securities convertible into or exchangeable or exercisable for shares of, any class or series of capital stock of the Corporation ranking senior to the Series D Preferred Stock with respect to either or both the payment of dividends and/or the distribution of assets on any liquidation, dissolution or winding up of the Corporation;</w:t>
      </w:r>
    </w:p>
    <w:p>
      <w:pPr>
        <w:spacing w:after="0" w:line="130" w:lineRule="exact"/>
        <w:rPr>
          <w:rFonts w:ascii="Arial" w:cs="Arial" w:eastAsia="Arial" w:hAnsi="Arial"/>
          <w:sz w:val="17"/>
          <w:szCs w:val="17"/>
          <w:color w:val="auto"/>
        </w:rPr>
      </w:pPr>
    </w:p>
    <w:p>
      <w:pPr>
        <w:ind w:firstLine="8"/>
        <w:spacing w:after="0" w:line="259" w:lineRule="auto"/>
        <w:tabs>
          <w:tab w:leader="none" w:pos="265"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Amendment of the Series D Preferred Stock</w:t>
      </w:r>
      <w:r>
        <w:rPr>
          <w:rFonts w:ascii="Arial" w:cs="Arial" w:eastAsia="Arial" w:hAnsi="Arial"/>
          <w:sz w:val="18"/>
          <w:szCs w:val="18"/>
          <w:color w:val="auto"/>
        </w:rPr>
        <w:t>. Any amendment, alteration or repeal of any provision of the Certificate of Designations for the Series D Preferred Stock or the Articles of Incorporation (including, unless no vote on such merger or consolidation is required by Section 7(b)(iii) below, any amendment, alteration or repeal by means of a merger, consolidation or otherwise) so as to materially and adversely affect the rights, preferences, privileges or voting powers of the Series D Preferred Stock; or</w:t>
      </w:r>
    </w:p>
    <w:p>
      <w:pPr>
        <w:spacing w:after="0" w:line="146" w:lineRule="exact"/>
        <w:rPr>
          <w:rFonts w:ascii="Arial" w:cs="Arial" w:eastAsia="Arial" w:hAnsi="Arial"/>
          <w:sz w:val="18"/>
          <w:szCs w:val="18"/>
          <w:color w:val="auto"/>
        </w:rPr>
      </w:pPr>
    </w:p>
    <w:p>
      <w:pPr>
        <w:ind w:right="20" w:firstLine="8"/>
        <w:spacing w:after="0" w:line="289" w:lineRule="auto"/>
        <w:tabs>
          <w:tab w:leader="none" w:pos="315"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Share Exchanges, Reclassifications, Mergers and Consolidations</w:t>
      </w:r>
      <w:r>
        <w:rPr>
          <w:rFonts w:ascii="Arial" w:cs="Arial" w:eastAsia="Arial" w:hAnsi="Arial"/>
          <w:sz w:val="16"/>
          <w:szCs w:val="16"/>
          <w:color w:val="auto"/>
        </w:rPr>
        <w:t>. Any consummation of a binding share exchange or reclassification involving the Series D Preferred Stock, or of a merger or consolidation of the Corporation with another corporation or other entity, unless in each case (x) the shares of the Series D Preferred Stock remain outstanding (and there shall not have been any adverse effect to the rights, privileges, preferences or otherwise of such Series D Preferred Stock)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are securities in an issuer with a credit rating of at least as high a quality as the credit rating of the Corporation on the date immediately prior to the consummation of such transaction and further have such rights, preferences, privileges and voting powers, and limitations and restrictions thereof, taken as a whole, as are at least as favorable to the holders thereof than the rights, preferences, privileges and voting powers, and limitations and restrictions thereof, of the Series D Preferred Stock immediately prior to such consummation, taken as a whole;</w:t>
      </w:r>
    </w:p>
    <w:p>
      <w:pPr>
        <w:spacing w:after="0" w:line="13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for all purposes of this Section 7(b), any increase in the amount of the authorized Preferred Stock, or the creation and issuance, or</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the Series 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Series D Preferred Stock.</w:t>
      </w:r>
    </w:p>
    <w:p>
      <w:pPr>
        <w:spacing w:after="0" w:line="124" w:lineRule="exact"/>
        <w:rPr>
          <w:sz w:val="20"/>
          <w:szCs w:val="20"/>
          <w:color w:val="auto"/>
        </w:rPr>
      </w:pPr>
    </w:p>
    <w:p>
      <w:pPr>
        <w:ind w:right="80" w:firstLine="8"/>
        <w:spacing w:after="0" w:line="259" w:lineRule="auto"/>
        <w:tabs>
          <w:tab w:leader="none" w:pos="244"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the Series D Preferred Stock shall be required pursuant to Section 7(b) above if, at or prior to the time when any such vote or consent would otherwise be required pursuant to such Section, all outstanding shares of the Series D Preferred Stock shall have been redeemed, or shall have been called for redemption upon proper notice and sufficient funds shall have been deposited in trust for such redemption, in each case pursuant to Section 5 above.</w:t>
      </w:r>
    </w:p>
    <w:p>
      <w:pPr>
        <w:spacing w:after="0" w:line="146" w:lineRule="exact"/>
        <w:rPr>
          <w:rFonts w:ascii="Arial" w:cs="Arial" w:eastAsia="Arial" w:hAnsi="Arial"/>
          <w:sz w:val="18"/>
          <w:szCs w:val="18"/>
          <w:color w:val="auto"/>
        </w:rPr>
      </w:pPr>
    </w:p>
    <w:p>
      <w:pPr>
        <w:ind w:right="140" w:firstLine="8"/>
        <w:spacing w:after="0" w:line="257" w:lineRule="auto"/>
        <w:tabs>
          <w:tab w:leader="none" w:pos="255"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Procedures for Voting and Consents</w:t>
      </w:r>
      <w:r>
        <w:rPr>
          <w:rFonts w:ascii="Arial" w:cs="Arial" w:eastAsia="Arial" w:hAnsi="Arial"/>
          <w:sz w:val="18"/>
          <w:szCs w:val="18"/>
          <w:color w:val="auto"/>
        </w:rPr>
        <w:t>. The rules and procedures for calling and conducting any meeting of the holders of the Series 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w:t>
      </w:r>
    </w:p>
    <w:p>
      <w:pPr>
        <w:sectPr>
          <w:pgSz w:w="11900" w:h="16838" w:orient="portrait"/>
          <w:cols w:equalWidth="0" w:num="1">
            <w:col w:w="11240"/>
          </w:cols>
          <w:pgMar w:left="320" w:top="1070" w:right="339" w:bottom="1440" w:gutter="0" w:footer="0" w:header="0"/>
        </w:sectPr>
      </w:pPr>
    </w:p>
    <w:bookmarkStart w:id="137" w:name="page138"/>
    <w:bookmarkEnd w:id="137"/>
    <w:p>
      <w:pPr>
        <w:ind w:right="200"/>
        <w:spacing w:after="0" w:line="277" w:lineRule="auto"/>
        <w:rPr>
          <w:sz w:val="20"/>
          <w:szCs w:val="20"/>
          <w:color w:val="auto"/>
        </w:rPr>
      </w:pPr>
      <w:r>
        <w:rPr>
          <w:rFonts w:ascii="Arial" w:cs="Arial" w:eastAsia="Arial" w:hAnsi="Arial"/>
          <w:sz w:val="18"/>
          <w:szCs w:val="18"/>
          <w:color w:val="auto"/>
        </w:rPr>
        <w:t>Articles of Incorporation, the Bylaws, and applicable law and the rules of any national securities exchange or other trading facility on which the Series D Preferred Stock is listed or traded at the time.</w:t>
      </w:r>
    </w:p>
    <w:p>
      <w:pPr>
        <w:spacing w:after="0" w:line="14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Record Holders</w:t>
      </w:r>
      <w:r>
        <w:rPr>
          <w:rFonts w:ascii="Arial" w:cs="Arial" w:eastAsia="Arial" w:hAnsi="Arial"/>
          <w:sz w:val="18"/>
          <w:szCs w:val="18"/>
          <w:color w:val="auto"/>
        </w:rPr>
        <w:t>. To the fullest extent permitted by applicable law, the Corporation and the transfer agent for the Series D Preferred Stock may deem and treat the record holder of any share of the Series D Preferred Stock as the true and lawful owner thereof for all purposes, and neither the Corporation nor such transfer agent shall be affected by any notice to the contrary.</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communications in respect of the Series D Preferred Stock shall be sufficiently given if given in writing and delivered in person or by first class mail, postage prepaid, or recognized courier service, if given by electronic mail or if given in such other manner as may be permitted in this Certificate of Designations, in the Articles of Incorporation or Bylaws or by applicable law. Notwithstanding the foregoing, if shares of the Series D Preferred Stock are issued in book-entry form through The Depository Trust Corporation or any similar facility, such notices may be given to the holders of the Series D Preferred Stock in any manner permitted by such facility.</w:t>
      </w:r>
    </w:p>
    <w:p>
      <w:pPr>
        <w:spacing w:after="0" w:line="13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the Series 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146"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the Series D Preferred Stock shall not have any rights, preferences, privileges or voting powers or relative, participating, optional or other special rights, or qualifications, limitations or restrictions thereof, other than as set forth herein or in the Articles of Incorporation or as provided by applicable law.</w:t>
      </w:r>
    </w:p>
    <w:p>
      <w:pPr>
        <w:sectPr>
          <w:pgSz w:w="11900" w:h="16838" w:orient="portrait"/>
          <w:cols w:equalWidth="0" w:num="1">
            <w:col w:w="11220"/>
          </w:cols>
          <w:pgMar w:left="320" w:top="1070" w:right="35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RIGHTS AND PREFERENCES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C CONVERTIBLE PREFERRED STOCK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April 1, 2010</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Section 14-2-602 of the Georgia Business Corporation Code and Article V of the Restated Articles of Incorporation, as amended, of United Community Banks, Inc., a corporation organized and existing under the laws of the State of Georgia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the following resolution was duly adopted by the Board of Directors of the Company effective as of March 26, 2010 pursuant to authority conferred upon the Board of Directors by the Restated Articles of Incorporation of the Company, as amended, which authorize the issuance of up to Ten Million (10,000,000) shares of preferred stock, par value $1.00 per share.</w:t>
      </w:r>
    </w:p>
    <w:p>
      <w:pPr>
        <w:spacing w:after="0" w:line="147" w:lineRule="exact"/>
        <w:rPr>
          <w:sz w:val="20"/>
          <w:szCs w:val="20"/>
          <w:color w:val="auto"/>
        </w:rPr>
      </w:pPr>
    </w:p>
    <w:p>
      <w:pPr>
        <w:jc w:val="both"/>
        <w:ind w:right="160"/>
        <w:spacing w:after="0" w:line="275" w:lineRule="auto"/>
        <w:rPr>
          <w:sz w:val="20"/>
          <w:szCs w:val="20"/>
          <w:color w:val="auto"/>
        </w:rPr>
      </w:pPr>
      <w:r>
        <w:rPr>
          <w:rFonts w:ascii="Arial" w:cs="Arial" w:eastAsia="Arial" w:hAnsi="Arial"/>
          <w:sz w:val="17"/>
          <w:szCs w:val="17"/>
          <w:color w:val="auto"/>
        </w:rPr>
        <w:t>RESOLVED, that pursuant to authority expressly granted to and vested in the Board of Directors of the Company and pursuant to the provisions of the Articles of Incorporation, the Board of Directors hereby creates a series of preferred stock, herein designated and authorized as the Series C Convertible Preferred Stock, par value $1.00 per share, which shall consist of Sixty-Five Thousand (65,000) of the shares of preferred stock which the Company now has authority to issue, and the Board of Directors hereby fixes the powers, designations and preferences and the relative, participating, optional and other special rights of the shares of such series, and the qualifications, limitations and restrictions thereof as follows:</w:t>
      </w:r>
    </w:p>
    <w:p>
      <w:pPr>
        <w:spacing w:after="0" w:line="136" w:lineRule="exact"/>
        <w:rPr>
          <w:sz w:val="20"/>
          <w:szCs w:val="20"/>
          <w:color w:val="auto"/>
        </w:rPr>
      </w:pPr>
    </w:p>
    <w:p>
      <w:pPr>
        <w:ind w:right="240" w:firstLine="8"/>
        <w:spacing w:after="0" w:line="277" w:lineRule="auto"/>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The number of shares constituting the Series C Convertible Preferred Stock shall be Sixty-Five Thousand (65,000), all of which are issuable solely under the Agreement.</w:t>
      </w:r>
    </w:p>
    <w:p>
      <w:pPr>
        <w:spacing w:after="0" w:line="143" w:lineRule="exact"/>
        <w:rPr>
          <w:rFonts w:ascii="Arial" w:cs="Arial" w:eastAsia="Arial" w:hAnsi="Arial"/>
          <w:sz w:val="18"/>
          <w:szCs w:val="18"/>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otherwise requires, when used herein the following terms shall have the meaning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Consideration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6(f)(iii)(C)</w:t>
      </w:r>
      <w:r>
        <w:rPr>
          <w:rFonts w:ascii="Arial" w:cs="Arial" w:eastAsia="Arial" w:hAnsi="Arial"/>
          <w:sz w:val="18"/>
          <w:szCs w:val="18"/>
          <w:color w:val="auto"/>
        </w:rPr>
        <w: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the Securities Purchase Agreement dated as of April 1, 2010, by and between the Company and Fletcher pursuant to which Sixty-Five Thousand (65,000) shares of Series C Preferred Stock and a warrant are to be issued by the Company, including all schedules, annexes and exhibits thereto, and as such agreement may be amended from time to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means the Restated Articles of Incorporation of the Company,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the Common Stock may be traded on the Nasdaq, or if not admitted for trading on the Nasdaq, on any day other than a Saturday, Sunday or holiday on which banks in New York City are required or permitted to be closed.</w:t>
      </w:r>
    </w:p>
    <w:p>
      <w:pPr>
        <w:spacing w:after="0" w:line="130"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(i) with respect to any Person that is a corporation, any and all shares, interests, participations or other equivalents (however designated) of capital or capital stock of such Person and (ii) with respect to any Person that is not a corporation, any and all partnership, limited partnership, limited liability company or other equity interests of such Person.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Rights and Preference</w:t>
      </w:r>
      <w:r>
        <w:rPr>
          <w:rFonts w:ascii="Arial" w:cs="Arial" w:eastAsia="Arial" w:hAnsi="Arial"/>
          <w:sz w:val="18"/>
          <w:szCs w:val="18"/>
          <w:color w:val="auto"/>
        </w:rPr>
        <w:t>s” means this Certificate of Rights and Preferences of the Series C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w:t>
      </w:r>
      <w:r>
        <w:rPr>
          <w:rFonts w:ascii="Arial" w:cs="Arial" w:eastAsia="Arial" w:hAnsi="Arial"/>
          <w:sz w:val="18"/>
          <w:szCs w:val="18"/>
          <w:color w:val="auto"/>
        </w:rPr>
        <w:t>.</w:t>
      </w:r>
    </w:p>
    <w:p>
      <w:pPr>
        <w:sectPr>
          <w:pgSz w:w="11900" w:h="16838" w:orient="portrait"/>
          <w:cols w:equalWidth="0" w:num="1">
            <w:col w:w="11200"/>
          </w:cols>
          <w:pgMar w:left="320" w:top="1440" w:right="379" w:bottom="1440" w:gutter="0" w:footer="0" w:header="0"/>
        </w:sectPr>
      </w:pPr>
    </w:p>
    <w:bookmarkStart w:id="139" w:name="page140"/>
    <w:bookmarkEnd w:id="139"/>
    <w:p>
      <w:pPr>
        <w:ind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 Junior Preferred Stock</w:t>
      </w:r>
      <w:r>
        <w:rPr>
          <w:rFonts w:ascii="Arial" w:cs="Arial" w:eastAsia="Arial" w:hAnsi="Arial"/>
          <w:sz w:val="18"/>
          <w:szCs w:val="18"/>
          <w:color w:val="auto"/>
        </w:rPr>
        <w:t>” means the Company’s Common Stock Equivalent Junior Preferred Stock, par value $1.00 per share, issuable pursuant to Section 6 of the Agreement, and any Capital Stock for or into which such Common Stock Equivalent Junior Preferred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 par value $1.00 per share, and any Capital Stock for or into which such common stock hereafter is exchanged, converted, reclassified or recapitalized by the Company or pursuant to a Change of Control (or, at the election of the Holder, the Capital Stock of any Acquiring Person from and after the consummation of a Change of Control).</w:t>
      </w:r>
    </w:p>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United Community Banks, Inc., a Georgia corporation (or any Acquiring Person from and after the consummation of a Change of Control).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6(f)(iii)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Price</w:t>
      </w:r>
      <w:r>
        <w:rPr>
          <w:rFonts w:ascii="Arial" w:cs="Arial" w:eastAsia="Arial" w:hAnsi="Arial"/>
          <w:sz w:val="18"/>
          <w:szCs w:val="18"/>
          <w:color w:val="auto"/>
        </w:rPr>
        <w:t>” means Six Dollars and Two Cents ($6.02), subject to adjustment as set forth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Stock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6(a)(ii)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Market Price</w:t>
      </w:r>
      <w:r>
        <w:rPr>
          <w:rFonts w:ascii="Arial" w:cs="Arial" w:eastAsia="Arial" w:hAnsi="Arial"/>
          <w:sz w:val="18"/>
          <w:szCs w:val="18"/>
          <w:color w:val="auto"/>
        </w:rPr>
        <w:t>” has the meaning set forth in the Agreement.</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Rate</w:t>
      </w:r>
      <w:r>
        <w:rPr>
          <w:rFonts w:ascii="Arial" w:cs="Arial" w:eastAsia="Arial" w:hAnsi="Arial"/>
          <w:sz w:val="16"/>
          <w:szCs w:val="16"/>
          <w:color w:val="auto"/>
        </w:rPr>
        <w:t>” means (i) prior to receipt of the Stockholder Consent, a rate equal to One Thousand Dollars ($1,000) per share multiplied by the lesser of</w:t>
      </w:r>
    </w:p>
    <w:p>
      <w:pPr>
        <w:spacing w:after="0" w:line="46" w:lineRule="exact"/>
        <w:rPr>
          <w:sz w:val="20"/>
          <w:szCs w:val="20"/>
          <w:color w:val="auto"/>
        </w:rPr>
      </w:pPr>
    </w:p>
    <w:p>
      <w:pPr>
        <w:ind w:firstLine="8"/>
        <w:spacing w:after="0" w:line="281" w:lineRule="auto"/>
        <w:tabs>
          <w:tab w:leader="none" w:pos="24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twelve percent (12%) per annum and (b) the sum of the three (3)-month London Interbank Offer Rate (LIBOR) determined as of the first day of the Dividend Period (or if the first day of the Dividend Period is not a Business Day, then the first Business Day after the first day of the Dividend Period) plus eight percent (8%) per annum, subject to </w:t>
      </w:r>
      <w:r>
        <w:rPr>
          <w:rFonts w:ascii="Arial" w:cs="Arial" w:eastAsia="Arial" w:hAnsi="Arial"/>
          <w:sz w:val="16"/>
          <w:szCs w:val="16"/>
          <w:u w:val="single" w:color="auto"/>
          <w:color w:val="auto"/>
        </w:rPr>
        <w:t>Section 3(c)</w:t>
      </w:r>
      <w:r>
        <w:rPr>
          <w:rFonts w:ascii="Arial" w:cs="Arial" w:eastAsia="Arial" w:hAnsi="Arial"/>
          <w:sz w:val="16"/>
          <w:szCs w:val="16"/>
          <w:color w:val="auto"/>
        </w:rPr>
        <w:t>; and (ii) after receipt of the Stockholder Consent, a rate equal to One Thousand Dollars ($1,000) per share multiplied by the lesser of (a) eight percent (8%) per annum and (b) the sum of the three (3)-month London Interbank Offer Rate</w:t>
      </w:r>
    </w:p>
    <w:p>
      <w:pPr>
        <w:spacing w:after="0" w:line="2" w:lineRule="exact"/>
        <w:rPr>
          <w:rFonts w:ascii="Arial" w:cs="Arial" w:eastAsia="Arial" w:hAnsi="Arial"/>
          <w:sz w:val="16"/>
          <w:szCs w:val="16"/>
          <w:color w:val="auto"/>
        </w:rPr>
      </w:pPr>
    </w:p>
    <w:p>
      <w:pPr>
        <w:ind w:right="6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(LIBOR) determined as of the first day of the Dividend Period (or if the first day of the Dividend Period is not a Business Day, then the first Business Day after the first day of the Dividend Period) plus four percent (4%) per annum, subject to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Fletcher</w:t>
      </w:r>
      <w:r>
        <w:rPr>
          <w:rFonts w:ascii="Arial" w:cs="Arial" w:eastAsia="Arial" w:hAnsi="Arial"/>
          <w:sz w:val="18"/>
          <w:szCs w:val="18"/>
          <w:color w:val="auto"/>
        </w:rPr>
        <w:t>” means Fletcher International, Ltd. a company domiciled in Bermuda, together with its successors.</w:t>
      </w:r>
    </w:p>
    <w:p>
      <w:pPr>
        <w:spacing w:after="0" w:line="18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mean Fletcher and any one or more Persons to whom Fletcher sells, exchanges, transfers, assigns, gives, pledges, encumbers, hypothecates, alienates or distributes, whether directly or indirectly, any or all the Series C Preferred Stock or all or any portion of the right to purchase the Series C Preferred Stock under the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Period</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 Date</w:t>
      </w:r>
      <w:r>
        <w:rPr>
          <w:rFonts w:ascii="Arial" w:cs="Arial" w:eastAsia="Arial" w:hAnsi="Arial"/>
          <w:sz w:val="17"/>
          <w:szCs w:val="17"/>
          <w:color w:val="auto"/>
        </w:rPr>
        <w:t>” means with respect to any shares of Series C Preferred Stock the original date of issuance of such shares of Series C Preferred Stock.</w:t>
      </w:r>
    </w:p>
    <w:p>
      <w:pPr>
        <w:spacing w:after="0" w:line="1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Securities</w:t>
      </w:r>
      <w:r>
        <w:rPr>
          <w:rFonts w:ascii="Arial" w:cs="Arial" w:eastAsia="Arial" w:hAnsi="Arial"/>
          <w:sz w:val="18"/>
          <w:szCs w:val="18"/>
          <w:color w:val="auto"/>
        </w:rPr>
        <w:t>” means Capital Stock that, with respect to dividends and distributions upon Liquidation, ranks junior to the Series C Preferred Stock, including but not limited to Common Stock, Common Stock Equivalent Junior Preferred Stock and</w:t>
      </w:r>
    </w:p>
    <w:p>
      <w:pPr>
        <w:sectPr>
          <w:pgSz w:w="11900" w:h="16838" w:orient="portrait"/>
          <w:cols w:equalWidth="0" w:num="1">
            <w:col w:w="11180"/>
          </w:cols>
          <w:pgMar w:left="320" w:top="1070" w:right="399" w:bottom="1440" w:gutter="0" w:footer="0" w:header="0"/>
        </w:sectPr>
      </w:pPr>
    </w:p>
    <w:bookmarkStart w:id="140" w:name="page141"/>
    <w:bookmarkEnd w:id="140"/>
    <w:p>
      <w:pPr>
        <w:ind w:right="80"/>
        <w:spacing w:after="0" w:line="259" w:lineRule="auto"/>
        <w:rPr>
          <w:sz w:val="20"/>
          <w:szCs w:val="20"/>
          <w:color w:val="auto"/>
        </w:rPr>
      </w:pPr>
      <w:r>
        <w:rPr>
          <w:rFonts w:ascii="Arial" w:cs="Arial" w:eastAsia="Arial" w:hAnsi="Arial"/>
          <w:sz w:val="18"/>
          <w:szCs w:val="18"/>
          <w:color w:val="auto"/>
        </w:rPr>
        <w:t>any other class or series of Capital Stock issued by the Company or any Subsidiary of the Company on or after the date of the Agreement, but excluding any Parity Securities and Senior Securities issued (i) to Fletcher or its authorized assignees under the Agreement, (ii) with the approval of the Holders of a Majority of the Series C Preferred Stock or (iii) upon the conversion, redemption or exercise of securities described in clause (i) or (ii) in accordance with the terms thereof.</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means the voluntary or involuntary liquidation, dissolution or winding up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consolidation, merger or share exchange shall not be deemed a Liquidation, nor shall a sale, assignment, conveyance, transfer, lease or other disposition by the Company of all or substantially all of its assets, which does not involve a distribution by the Company of cash or other property to the holders of Common Stock and Common Stock Equivalent Junior Preferred Stock, be deemed to be a Liquidation.</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of the Series C Preferred Stock</w:t>
      </w:r>
      <w:r>
        <w:rPr>
          <w:rFonts w:ascii="Arial" w:cs="Arial" w:eastAsia="Arial" w:hAnsi="Arial"/>
          <w:sz w:val="18"/>
          <w:szCs w:val="18"/>
          <w:color w:val="auto"/>
        </w:rPr>
        <w:t>” means more than fifty percent (50%) of the then outstanding shares of Series C Preferred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Cash Dividend</w:t>
      </w:r>
      <w:r>
        <w:rPr>
          <w:rFonts w:ascii="Arial" w:cs="Arial" w:eastAsia="Arial" w:hAnsi="Arial"/>
          <w:sz w:val="16"/>
          <w:szCs w:val="16"/>
          <w:color w:val="auto"/>
        </w:rPr>
        <w:t>” means all quarterly cash dividends out of capital surplus or retained earnings legally available therefore (determined in accordance with generally accepted accounting principles, consistently applied), in an amount and frequency consistent with past practice.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as to any Acquiring Person, any Person that (i) controls the Acquiring Person directly or indirectly through one or more intermediaries,</w:t>
      </w:r>
    </w:p>
    <w:p>
      <w:pPr>
        <w:spacing w:after="0" w:line="46" w:lineRule="exact"/>
        <w:rPr>
          <w:sz w:val="20"/>
          <w:szCs w:val="20"/>
          <w:color w:val="auto"/>
        </w:rPr>
      </w:pPr>
    </w:p>
    <w:p>
      <w:pPr>
        <w:ind w:right="200" w:firstLine="8"/>
        <w:spacing w:after="0" w:line="253" w:lineRule="auto"/>
        <w:tabs>
          <w:tab w:leader="none" w:pos="26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is required to include the Acquiring Person in the consolidated financial statements contained in such Parent’s Annual Report on Form 10-K (if the Parent is required to file such a report) or would be required to so include the Acquiring Person in such Parent’s consolidated financial statements if they were prepared in accordance with U.S. generally accepted accounting principles and (iii) is not itself included in the consolidated financial statements of any other Person (other than its consolidated subsidiaries).</w:t>
      </w:r>
    </w:p>
    <w:p>
      <w:pPr>
        <w:spacing w:after="0" w:line="1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Securities</w:t>
      </w:r>
      <w:r>
        <w:rPr>
          <w:rFonts w:ascii="Arial" w:cs="Arial" w:eastAsia="Arial" w:hAnsi="Arial"/>
          <w:sz w:val="18"/>
          <w:szCs w:val="18"/>
          <w:color w:val="auto"/>
        </w:rPr>
        <w:t xml:space="preserve">” means any class or series of Capital Stock that, with respect to dividends or distributions upon Liquidation,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C Preferred Stock.</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 corporation, partnership, trust, incorporated or unincorporated association, limited liability company, joint venture, joint stock company, government (or an agency or political subdivision thereof) or other entity of any kind.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Company’s preferred stock authorized pursuant to the provisions of the Articles of Incorporation.</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Prevailing Market Price</w:t>
      </w:r>
      <w:r>
        <w:rPr>
          <w:rFonts w:ascii="Arial" w:cs="Arial" w:eastAsia="Arial" w:hAnsi="Arial"/>
          <w:sz w:val="16"/>
          <w:szCs w:val="16"/>
          <w:color w:val="auto"/>
        </w:rPr>
        <w:t xml:space="preserve">” means, with respect to any reference date, the average of the Daily Market Prices of the Common Stock (or, for purposes of determining the Prevailing Market Price of the common stock of an Acquiring Person or its Parent under </w:t>
      </w:r>
      <w:r>
        <w:rPr>
          <w:rFonts w:ascii="Arial" w:cs="Arial" w:eastAsia="Arial" w:hAnsi="Arial"/>
          <w:sz w:val="16"/>
          <w:szCs w:val="16"/>
          <w:u w:val="single" w:color="auto"/>
          <w:color w:val="auto"/>
        </w:rPr>
        <w:t>Section 6(f)</w:t>
      </w:r>
      <w:r>
        <w:rPr>
          <w:rFonts w:ascii="Arial" w:cs="Arial" w:eastAsia="Arial" w:hAnsi="Arial"/>
          <w:sz w:val="16"/>
          <w:szCs w:val="16"/>
          <w:color w:val="auto"/>
        </w:rPr>
        <w:t>, the common stock of such Acquiring Person or such Parent) for the twenty-five (25) Business Days ending on and including the third (3rd) Business Day before such reference date.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Closing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means Five Dollars and Twenty-Five Cents ($5.25), subject to adjustment as set forth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Stock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6(b)(ii)</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70" w:right="3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Securities Act</w:t>
      </w:r>
      <w:r>
        <w:rPr>
          <w:rFonts w:ascii="Arial" w:cs="Arial" w:eastAsia="Arial" w:hAnsi="Arial"/>
          <w:sz w:val="17"/>
          <w:szCs w:val="17"/>
          <w:color w:val="auto"/>
        </w:rPr>
        <w:t>” means the Securities Act of 1933, as amended, or any successor statute, and the rules and regulations promulgated thereunder.</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Securities</w:t>
      </w:r>
      <w:r>
        <w:rPr>
          <w:rFonts w:ascii="Arial" w:cs="Arial" w:eastAsia="Arial" w:hAnsi="Arial"/>
          <w:sz w:val="18"/>
          <w:szCs w:val="18"/>
          <w:color w:val="auto"/>
        </w:rPr>
        <w:t>” means any class or series of Capital Stock that, with respect to dividends or distributions upon Liquidation, ranks senior to the Series C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 xml:space="preserve">” means the Series C Convertible Preferred Stock of the Company or successor as contemplated by </w:t>
      </w:r>
      <w:r>
        <w:rPr>
          <w:rFonts w:ascii="Arial" w:cs="Arial" w:eastAsia="Arial" w:hAnsi="Arial"/>
          <w:sz w:val="18"/>
          <w:szCs w:val="18"/>
          <w:u w:val="single" w:color="auto"/>
          <w:color w:val="auto"/>
        </w:rPr>
        <w:t>Section 6(f)</w:t>
      </w:r>
      <w:r>
        <w:rPr>
          <w:rFonts w:ascii="Arial" w:cs="Arial" w:eastAsia="Arial" w:hAnsi="Arial"/>
          <w:sz w:val="18"/>
          <w:szCs w:val="18"/>
          <w:color w:val="auto"/>
        </w:rPr>
        <w:t>.</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Stated Value</w:t>
      </w:r>
      <w:r>
        <w:rPr>
          <w:rFonts w:ascii="Arial" w:cs="Arial" w:eastAsia="Arial" w:hAnsi="Arial"/>
          <w:sz w:val="17"/>
          <w:szCs w:val="17"/>
          <w:color w:val="auto"/>
        </w:rPr>
        <w:t xml:space="preserve">” is an amount equal to One Thousand Dollars ($1,000) per share of Series C Preferred Stock plus (x) any unpaid dividends on the Series C Preferred Stock (as of the date of determination, which for purposes of </w:t>
      </w:r>
      <w:r>
        <w:rPr>
          <w:rFonts w:ascii="Arial" w:cs="Arial" w:eastAsia="Arial" w:hAnsi="Arial"/>
          <w:sz w:val="17"/>
          <w:szCs w:val="17"/>
          <w:u w:val="single" w:color="auto"/>
          <w:color w:val="auto"/>
        </w:rPr>
        <w:t>Sections 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6(b)</w:t>
      </w:r>
      <w:r>
        <w:rPr>
          <w:rFonts w:ascii="Arial" w:cs="Arial" w:eastAsia="Arial" w:hAnsi="Arial"/>
          <w:sz w:val="17"/>
          <w:szCs w:val="17"/>
          <w:color w:val="auto"/>
        </w:rPr>
        <w:t xml:space="preserve"> shall be the Conversion Closing Date and Redemption Closing Date, respectively), whether or not declared and whether or not earnings are available in respect of such dividends (i.e., the Stated Value shall increase in each Dividend Period by the Dividend Rate if and to the extent that dividends for such Dividend Period are not declared and paid by the respective Dividend Payment Date) and (y) any unpaid dividends declared on the Common Stock and Common Stock Equivalent Junior Preferred Stock in an amount equal to the product of (A) the per-share dividend other than the Ordinary Cash Dividend paid on Common Stock and Common Stock Equivalent Junior Preferred Stock multiplied by (B) the number of shares of Common Stock and/or the number of one-hundredths of a share of Common Stock Equivalent Junior Preferred Stock issuable upon redemption or conversion (whichever number of shares is greater) of a share of Series C Preferred Stock on the date such dividend is declared on the Common Stock and Common Stock Equivalent Junior Preferred Stock. In the event the Company shall declare a distribution on the Common Stock and Common Stock Equivalent Junior Preferred Stock payable in securities or property other than cash, the value of such securities or property will be the fair market value. Any securities shall be valued as follows: (i) if traded on a national securities exchange (as defined in the Exchange Act), the value shall be deemed to be the average of the closing prices of the securities on such exchange or system over the twenty-five (25) Business Day period ending three (3) calendar days prior to such declaration; (ii) if actively traded over-the-counter, the value shall be deemed to be the average of the closing bid or sale prices (whichever is applicable) over the twenty-five (25) Business Day period ending three (3) calendar days prior to such declaration; and (iii) if there is no active public market, the value shall be the fair market value thereof, as determined in good faith by the Board.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w:t>
      </w:r>
      <w:r>
        <w:rPr>
          <w:rFonts w:ascii="Arial" w:cs="Arial" w:eastAsia="Arial" w:hAnsi="Arial"/>
          <w:sz w:val="18"/>
          <w:szCs w:val="18"/>
          <w:color w:val="auto"/>
        </w:rPr>
        <w:t>” has the meaning set forth in the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Consent Date</w:t>
      </w:r>
      <w:r>
        <w:rPr>
          <w:rFonts w:ascii="Arial" w:cs="Arial" w:eastAsia="Arial" w:hAnsi="Arial"/>
          <w:sz w:val="18"/>
          <w:szCs w:val="18"/>
          <w:color w:val="auto"/>
        </w:rPr>
        <w:t>” has the meaning set forth in the Agreement.</w:t>
      </w:r>
    </w:p>
    <w:p>
      <w:pPr>
        <w:spacing w:after="0" w:line="18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(i) a corporation, a majority of whose stock with voting power, under ordinary circumstances, to elect directors is at the time of determination, directly or indirectly, owned by such Person or by one or more Subsidiaries of such Person, or (ii) any other entity (other than a corporation) in which such Person or one or more Subsidiaries of such Person, directly or indirectly, at the date of determination thereof has a least a majority ownership interest.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definitions will be equally applicable to both the singular and plural forms of the defined terms.</w:t>
      </w:r>
    </w:p>
    <w:p>
      <w:pPr>
        <w:spacing w:after="0" w:line="198" w:lineRule="exact"/>
        <w:rPr>
          <w:sz w:val="20"/>
          <w:szCs w:val="20"/>
          <w:color w:val="auto"/>
        </w:rPr>
      </w:pPr>
    </w:p>
    <w:p>
      <w:pPr>
        <w:ind w:left="180" w:hanging="172"/>
        <w:spacing w:after="0"/>
        <w:tabs>
          <w:tab w:leader="none" w:pos="18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85" w:lineRule="exact"/>
        <w:rPr>
          <w:sz w:val="20"/>
          <w:szCs w:val="20"/>
          <w:color w:val="auto"/>
        </w:rPr>
      </w:pPr>
    </w:p>
    <w:p>
      <w:pPr>
        <w:ind w:right="20" w:firstLine="8"/>
        <w:spacing w:after="0" w:line="272" w:lineRule="auto"/>
        <w:tabs>
          <w:tab w:leader="none" w:pos="24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Holders shall be entitled to receive out of the assets of the Company legally available for that purpose, cash dividends at the Dividend Rate to be paid in accordance with the terms of this </w:t>
      </w:r>
      <w:r>
        <w:rPr>
          <w:rFonts w:ascii="Arial" w:cs="Arial" w:eastAsia="Arial" w:hAnsi="Arial"/>
          <w:sz w:val="17"/>
          <w:szCs w:val="17"/>
          <w:u w:val="single" w:color="auto"/>
          <w:color w:val="auto"/>
        </w:rPr>
        <w:t>Section 3</w:t>
      </w:r>
      <w:r>
        <w:rPr>
          <w:rFonts w:ascii="Arial" w:cs="Arial" w:eastAsia="Arial" w:hAnsi="Arial"/>
          <w:sz w:val="17"/>
          <w:szCs w:val="17"/>
          <w:color w:val="auto"/>
        </w:rPr>
        <w:t>. In addition, Holders for each share of Series C Preferred Stock then owned by such Holder shall be entitled to receive out of the assets of the Company legally available for that purpose, dividends or other distributions declared on the Common Stock and Common Stock Equivalent Junior Preferred Stock in the same form as such dividends or distributions in an amount equal to the product of (x) the amount of any per-share dividend or distribution other than the Ordinary Cash Dividends paid on the Common Stock and Common Stock Equivalent Junior Preferred Stock multiplied by (y) the number of shares of Common Stock and/or the number of one-hundredths of a share of Common Stock Equivalent Junior Preferred Stock issuable upon redemption or conversion (whichever number of</w:t>
      </w:r>
    </w:p>
    <w:p>
      <w:pPr>
        <w:sectPr>
          <w:pgSz w:w="11900" w:h="16838" w:orient="portrait"/>
          <w:cols w:equalWidth="0" w:num="1">
            <w:col w:w="11240"/>
          </w:cols>
          <w:pgMar w:left="320" w:top="1286" w:right="339" w:bottom="1440" w:gutter="0" w:footer="0" w:header="0"/>
        </w:sectPr>
      </w:pPr>
    </w:p>
    <w:bookmarkStart w:id="142" w:name="page143"/>
    <w:bookmarkEnd w:id="142"/>
    <w:p>
      <w:pPr>
        <w:spacing w:after="0" w:line="285" w:lineRule="auto"/>
        <w:rPr>
          <w:sz w:val="20"/>
          <w:szCs w:val="20"/>
          <w:color w:val="auto"/>
        </w:rPr>
      </w:pPr>
      <w:r>
        <w:rPr>
          <w:rFonts w:ascii="Arial" w:cs="Arial" w:eastAsia="Arial" w:hAnsi="Arial"/>
          <w:sz w:val="16"/>
          <w:szCs w:val="16"/>
          <w:color w:val="auto"/>
        </w:rPr>
        <w:t xml:space="preserve">shares is greater) of a share of the Series C Preferred Shares on the date such dividend is declared, to be paid in accordance with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Such dividends shall be payable quarterly in arrears, when and as declared by the Board (or a duly appointed committee of directors), on April 15, July 15, October 15 and January 15 of each year commencing on April 15, 2010 and, in the case of dividends resulting from dividends or distributions declared on Common Stock and Common Stock Equivalent Junior Preferred Stock, no later than the date on which such dividends or distributions are paid to holders of the Common Stock and Common Stock Equivalent Junior Preferred Stock (each such date being herein referred to as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 period from the Issue Date to March 31, 2010, and each quarterly period between consecutive Dividend Payment Dates shall hereinafter be referred to as a “</w:t>
      </w:r>
      <w:r>
        <w:rPr>
          <w:rFonts w:ascii="Arial" w:cs="Arial" w:eastAsia="Arial" w:hAnsi="Arial"/>
          <w:sz w:val="16"/>
          <w:szCs w:val="16"/>
          <w:u w:val="single" w:color="auto"/>
          <w:color w:val="auto"/>
        </w:rPr>
        <w:t>Dividend Period</w:t>
      </w:r>
      <w:r>
        <w:rPr>
          <w:rFonts w:ascii="Arial" w:cs="Arial" w:eastAsia="Arial" w:hAnsi="Arial"/>
          <w:sz w:val="16"/>
          <w:szCs w:val="16"/>
          <w:color w:val="auto"/>
        </w:rPr>
        <w:t>.” The dividend for any Dividend Period for any share of Series C Preferred Stock that is not outstanding on every calendar day of the Dividend Period shall be prorated based on the number of calendar days such share was outstanding during the period. Each such dividend shall be paid to the Holders of record of the Series C Preferred Stock as their names appear on the share register of the Company on the Dividend Payment Date. Dividends on account of arrears for any past Dividend Periods may be declared and paid at any time, without reference to any Dividend Payment Date (including, without limitation, for purposes of computing the Stated Value of any shares of Series C Preferred Stock in connection with the conversion or redemption thereof or any Liquidation of the Company), to Holders of record on a date designated by the Board, not exceeding thirty (30) calendar days preceding the payment date thereof, as may be fixed by the Board. For purposes of determining the amount of dividends accrued as of the first Dividend Payment Date and as of any date that is not a Dividend Payment Date, such amount shall be calculated on the basis of the Dividend Rate for the actual number of calendar days elapsed from and including the Issue Date (in case of the first Dividend Payment Date and any date prior to the first Dividend Payment Date) or the last preceding Dividend Payment Date (in case of any other date) to the date as of which such determination is to be made, based on a three hundred sixty five (365) day year.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376" w:lineRule="exact"/>
        <w:rPr>
          <w:sz w:val="20"/>
          <w:szCs w:val="20"/>
          <w:color w:val="auto"/>
        </w:rPr>
      </w:pPr>
    </w:p>
    <w:p>
      <w:pPr>
        <w:ind w:right="180" w:firstLine="8"/>
        <w:spacing w:after="0" w:line="272" w:lineRule="auto"/>
        <w:tabs>
          <w:tab w:leader="none" w:pos="25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So long as any shares of the Series C Preferred Stock shall be outstanding, (i) the Company shall not and shall not allow its Subsidiaries (other than direct or indirect wholly-owned Subsidiaries) to declare or pay any dividend whatsoever, whether in cash, property or otherwise, set aside any cash or property for the payment of any dividends, or make any other distribution on any Junior Securities or Parity Securities and (ii) the Company shall not and shall not allow its Subsidiaries to repurchase, redeem or otherwise acquire for value or set aside any cash or property for the repurchase or redemption of any Junior Securities or Parity Securities, unless in each such case all dividends to which the Holders of the Series C Preferred Stock shall have been entitled to receive for all previous Dividend Periods shall have been paid and dividends on the Series C Preferred Stock for the subsequent four Dividend Periods shall have been designated and set aside in cash.</w:t>
      </w:r>
    </w:p>
    <w:p>
      <w:pPr>
        <w:spacing w:after="0" w:line="136" w:lineRule="exact"/>
        <w:rPr>
          <w:rFonts w:ascii="Arial" w:cs="Arial" w:eastAsia="Arial" w:hAnsi="Arial"/>
          <w:sz w:val="17"/>
          <w:szCs w:val="17"/>
          <w:color w:val="auto"/>
        </w:rPr>
      </w:pPr>
    </w:p>
    <w:p>
      <w:pPr>
        <w:ind w:right="80" w:firstLine="8"/>
        <w:spacing w:after="0" w:line="257" w:lineRule="auto"/>
        <w:tabs>
          <w:tab w:leader="none" w:pos="24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whenever, at any time or times after the Company has obtained the approval of the stockholders of the Company to increase the authorized number of shares of Common Stock, the Company shall fail to redeem any Series C Preferred Stock by the date it is obligated to do so under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hereof and such failure is ongoing, then (x) the Dividend Rate with respect to such Series C Preferred Stock that is subject to such redemption shall mean a rate equal to twenty two percent (22%) per annum times the Stated Value until such date that the failure to redeem no longer exists.</w:t>
      </w:r>
    </w:p>
    <w:p>
      <w:pPr>
        <w:spacing w:after="0" w:line="147" w:lineRule="exact"/>
        <w:rPr>
          <w:rFonts w:ascii="Arial" w:cs="Arial" w:eastAsia="Arial" w:hAnsi="Arial"/>
          <w:sz w:val="18"/>
          <w:szCs w:val="18"/>
          <w:color w:val="auto"/>
        </w:rPr>
      </w:pPr>
    </w:p>
    <w:p>
      <w:pPr>
        <w:jc w:val="both"/>
        <w:ind w:right="160" w:firstLine="8"/>
        <w:spacing w:after="0" w:line="263" w:lineRule="auto"/>
        <w:tabs>
          <w:tab w:leader="none" w:pos="2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shall be entitled to deduct and withhold from any dividend on the Series C Preferred Stock such amounts as the Company is required to deduct and withhold with respect to such dividend under the Internal Revenue Code of 1986, as amended, or any other provision of state, local or foreign tax law.</w:t>
      </w:r>
    </w:p>
    <w:p>
      <w:pPr>
        <w:spacing w:after="0" w:line="157" w:lineRule="exact"/>
        <w:rPr>
          <w:sz w:val="20"/>
          <w:szCs w:val="20"/>
          <w:color w:val="auto"/>
        </w:rPr>
      </w:pPr>
    </w:p>
    <w:p>
      <w:pPr>
        <w:ind w:right="80" w:firstLine="8"/>
        <w:spacing w:after="0" w:line="286" w:lineRule="auto"/>
        <w:tabs>
          <w:tab w:leader="none" w:pos="18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In the event of any Liquidation, after payment or provision for payment by the Company of the debts and other liabilities of the Company and the liquidation preference of any Senior Securities that rank senior to the Series C Preferred Stock with respect to distributions upon Liquidation, each Holder shall be entitled to receive an amount in cash for each share of the then outstanding Series C Preferred Stock held by such Holder equal to the greater of (a) the Stated Value per share to and including the date full payment is tendered to the Holders with respect to such Liquidation and</w:t>
      </w:r>
    </w:p>
    <w:p>
      <w:pPr>
        <w:spacing w:after="0" w:line="1" w:lineRule="exact"/>
        <w:rPr>
          <w:rFonts w:ascii="Arial" w:cs="Arial" w:eastAsia="Arial" w:hAnsi="Arial"/>
          <w:sz w:val="16"/>
          <w:szCs w:val="16"/>
          <w:color w:val="auto"/>
        </w:rPr>
      </w:pPr>
    </w:p>
    <w:p>
      <w:pPr>
        <w:ind w:right="4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(b) the amount the Holders would have received if the Holders had converted all outstanding shares of Series C Preferred Stock into Common Stock and/or Common Stock Equivalent Junior Preferred Stock in accordance with the provisions of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hereof or redeemed all outstanding shares of Series C Preferred Stock into Common Stock and/or Common Stock Equivalent Junior Preferred Stock under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hereof (whichever is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70" w:right="3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color w:val="auto"/>
        </w:rPr>
        <w:t>greater), in each case as of the Business Day immediately preceding the date of such Liquidation (such greater amount being referred to herein as the</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 xml:space="preserve">”), before any distribution shall be made to the holders of any Junior Securities (and any Senior Securities or Parity Securities that, with respect to distributions upon Liquidation, rank junior to the Series C Preferred Stock) upon the Liquidation of the Company. In case the assets of the Company available for payment to the Holders are insufficient to pay the full Liquidation Preference on all outstanding shares of the Series C Preferred Stock and all outstanding shares of Parity Securities and Senior Securities that, with respect to distributions upon Liquidation, are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Series C Preferred Stock in the amounts to which the holders of such shares are entitled, then the entire assets of the Company available for payment to the Holders and to the holders of such Parity Securities and Senior Securities shall be distributed ratably among the Holders of the Series C Preferred Stock and the holders of such Parity Securities and Senior Securities, based upon the aggregate amount due on such shares upon Liquidation. Written notice of any Liquidation of the Company, stating a payment date and the place where the distributable amounts shall be payable, shall be given by facsimile and overnight delivery not less than ten (10) calendar days prior to the payment date stated therein, to the Holders of record of the Series C Preferred Stock, if any, at their respective addresses as the same shall appear on the books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shall have the following voting rights with respect to the Series C Preferred Stock:</w:t>
      </w:r>
    </w:p>
    <w:p>
      <w:pPr>
        <w:spacing w:after="0" w:line="198" w:lineRule="exact"/>
        <w:rPr>
          <w:sz w:val="20"/>
          <w:szCs w:val="20"/>
          <w:color w:val="auto"/>
        </w:rPr>
      </w:pPr>
    </w:p>
    <w:p>
      <w:pPr>
        <w:ind w:right="160" w:firstLine="8"/>
        <w:spacing w:after="0" w:line="277" w:lineRule="auto"/>
        <w:tabs>
          <w:tab w:leader="none" w:pos="24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Each share of Series C Preferred Stock shall entitle the holder thereof to the voting rights specified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and no other voting rights except as required by law.</w:t>
      </w:r>
    </w:p>
    <w:p>
      <w:pPr>
        <w:spacing w:after="0" w:line="129" w:lineRule="exact"/>
        <w:rPr>
          <w:rFonts w:ascii="Arial" w:cs="Arial" w:eastAsia="Arial" w:hAnsi="Arial"/>
          <w:sz w:val="18"/>
          <w:szCs w:val="18"/>
          <w:color w:val="auto"/>
        </w:rPr>
      </w:pPr>
    </w:p>
    <w:p>
      <w:pPr>
        <w:ind w:right="20" w:firstLine="8"/>
        <w:spacing w:after="0" w:line="275" w:lineRule="auto"/>
        <w:tabs>
          <w:tab w:leader="none" w:pos="252"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consent of the Holders of at least a Majority of the Series C Preferred Stock, voting separately as a single class with one vote per share, in person or by proxy, either in writing without a meeting or at an annual or a special meeting of such Holders called for the purpose, shall be necessary to amend, alter or repeal, by way of merger or otherwise, any of the provisions of the Articles of Incorporation, including the Certificate of Rights and Preferences, or Bylaws of the Company so as to significantly and adversely affect any of the rights or preferences of the Holders of the Series C Preferred Stock. Without limiting the generality of the preceding sentence, such change includes any action that would:</w:t>
      </w:r>
    </w:p>
    <w:p>
      <w:pPr>
        <w:spacing w:after="0" w:line="136" w:lineRule="exact"/>
        <w:rPr>
          <w:sz w:val="20"/>
          <w:szCs w:val="20"/>
          <w:color w:val="auto"/>
        </w:rPr>
      </w:pPr>
    </w:p>
    <w:p>
      <w:pPr>
        <w:ind w:right="160" w:firstLine="8"/>
        <w:spacing w:after="0" w:line="263" w:lineRule="auto"/>
        <w:tabs>
          <w:tab w:leader="none" w:pos="2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Reduce the Dividend Rate on the Series C Preferred Stock or defer the date from which dividends will accrue, or cancel accrued and unpaid dividends, or change the relative seniority rights of the holders of Series C Preferred Stock as to the payment of dividends in relation to the holders of any other Capital Stock of the Company;</w:t>
      </w:r>
    </w:p>
    <w:p>
      <w:pPr>
        <w:spacing w:after="0" w:line="156" w:lineRule="exact"/>
        <w:rPr>
          <w:rFonts w:ascii="Arial" w:cs="Arial" w:eastAsia="Arial" w:hAnsi="Arial"/>
          <w:sz w:val="18"/>
          <w:szCs w:val="18"/>
          <w:color w:val="auto"/>
        </w:rPr>
      </w:pPr>
    </w:p>
    <w:p>
      <w:pPr>
        <w:jc w:val="both"/>
        <w:ind w:right="160" w:firstLine="8"/>
        <w:spacing w:after="0" w:line="263" w:lineRule="auto"/>
        <w:tabs>
          <w:tab w:leader="none" w:pos="26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Reduce the amount payable to the holders of the Series C Preferred Stock upon the voluntary or involuntary liquidation, dissolution, or winding up of the Company, or change the relative seniority of the liquidation preferences of the holders of the Series C Preferred Stock to the rights upon liquidation of the holders of any other Capital Stock of the Company;</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1" w:lineRule="exact"/>
        <w:rPr>
          <w:sz w:val="20"/>
          <w:szCs w:val="20"/>
          <w:color w:val="auto"/>
        </w:rPr>
      </w:pPr>
    </w:p>
    <w:p>
      <w:pPr>
        <w:ind w:left="320" w:hanging="312"/>
        <w:spacing w:after="0"/>
        <w:tabs>
          <w:tab w:leader="none" w:pos="3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Make the Series C Preferred Stock redeemable at the option of the Company;</w:t>
      </w:r>
    </w:p>
    <w:p>
      <w:pPr>
        <w:spacing w:after="0" w:line="184" w:lineRule="exact"/>
        <w:rPr>
          <w:rFonts w:ascii="Arial" w:cs="Arial" w:eastAsia="Arial" w:hAnsi="Arial"/>
          <w:sz w:val="18"/>
          <w:szCs w:val="18"/>
          <w:color w:val="auto"/>
        </w:rPr>
      </w:pPr>
    </w:p>
    <w:p>
      <w:pPr>
        <w:ind w:right="120" w:firstLine="8"/>
        <w:spacing w:after="0" w:line="277" w:lineRule="auto"/>
        <w:tabs>
          <w:tab w:leader="none" w:pos="2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Authorize, create or issue any shares of Senior Securities (or amend the provisions of any existing class of Capital Stock to make such class of Capital Stock a class of Senior Securities); or</w:t>
      </w:r>
    </w:p>
    <w:p>
      <w:pPr>
        <w:spacing w:after="0" w:line="129" w:lineRule="exact"/>
        <w:rPr>
          <w:rFonts w:ascii="Arial" w:cs="Arial" w:eastAsia="Arial" w:hAnsi="Arial"/>
          <w:sz w:val="18"/>
          <w:szCs w:val="18"/>
          <w:color w:val="auto"/>
        </w:rPr>
      </w:pPr>
    </w:p>
    <w:p>
      <w:pPr>
        <w:ind w:left="260" w:hanging="252"/>
        <w:spacing w:after="0"/>
        <w:tabs>
          <w:tab w:leader="none" w:pos="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Decrease (other than by redemption or conversion) the total number of authorized shares of Series C Preferred Stock.</w:t>
      </w:r>
    </w:p>
    <w:p>
      <w:pPr>
        <w:spacing w:after="0" w:line="198" w:lineRule="exact"/>
        <w:rPr>
          <w:sz w:val="20"/>
          <w:szCs w:val="20"/>
          <w:color w:val="auto"/>
        </w:rPr>
      </w:pPr>
    </w:p>
    <w:p>
      <w:pPr>
        <w:ind w:left="180" w:hanging="172"/>
        <w:spacing w:after="0"/>
        <w:tabs>
          <w:tab w:leader="none" w:pos="18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Conversion and Redemption</w:t>
      </w:r>
      <w:r>
        <w:rPr>
          <w:rFonts w:ascii="Arial" w:cs="Arial" w:eastAsia="Arial" w:hAnsi="Arial"/>
          <w:sz w:val="18"/>
          <w:szCs w:val="18"/>
          <w:color w:val="auto"/>
        </w:rPr>
        <w:t>.</w:t>
      </w:r>
    </w:p>
    <w:p>
      <w:pPr>
        <w:spacing w:after="0" w:line="185" w:lineRule="exact"/>
        <w:rPr>
          <w:sz w:val="20"/>
          <w:szCs w:val="20"/>
          <w:color w:val="auto"/>
        </w:rPr>
      </w:pPr>
    </w:p>
    <w:p>
      <w:pPr>
        <w:ind w:left="260" w:hanging="252"/>
        <w:spacing w:after="0"/>
        <w:tabs>
          <w:tab w:leader="none" w:pos="26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Procedure for Conversion at the Option of the Company</w:t>
      </w:r>
      <w:r>
        <w:rPr>
          <w:rFonts w:ascii="Arial" w:cs="Arial" w:eastAsia="Arial" w:hAnsi="Arial"/>
          <w:sz w:val="18"/>
          <w:szCs w:val="18"/>
          <w:color w:val="auto"/>
        </w:rPr>
        <w:t>.</w:t>
      </w:r>
    </w:p>
    <w:p>
      <w:pPr>
        <w:spacing w:after="0" w:line="185" w:lineRule="exact"/>
        <w:rPr>
          <w:sz w:val="20"/>
          <w:szCs w:val="20"/>
          <w:color w:val="auto"/>
        </w:rPr>
      </w:pPr>
    </w:p>
    <w:p>
      <w:pPr>
        <w:ind w:right="40" w:firstLine="8"/>
        <w:spacing w:after="0" w:line="254" w:lineRule="auto"/>
        <w:tabs>
          <w:tab w:leader="none" w:pos="21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6(c)</w:t>
      </w:r>
      <w:r>
        <w:rPr>
          <w:rFonts w:ascii="Arial" w:cs="Arial" w:eastAsia="Arial" w:hAnsi="Arial"/>
          <w:sz w:val="18"/>
          <w:szCs w:val="18"/>
          <w:color w:val="auto"/>
        </w:rPr>
        <w:t xml:space="preserve"> hereof, on or after the three year anniversary of the Stockholder Consent Date, on any date on which the Prevailing Market Price exceeds the Conversion Price by one hundred and fifty percent (150%) or more, the Company shall have the option to convert all, but not less than all, of the then outstanding shares of Series C Preferred Stock by delivering a duly executed written Preferred Stock conversion notice, substantially in the form attached as Annex F to the Agreement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and the date such notice is deemed delivered hereunder, the “</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by facsimile, mail or overnight courier delivery, to the Holder. The closing of such conversion shall take place, subject to the satisfaction or waiver of the conditions set forth in </w:t>
      </w:r>
      <w:r>
        <w:rPr>
          <w:rFonts w:ascii="Arial" w:cs="Arial" w:eastAsia="Arial" w:hAnsi="Arial"/>
          <w:sz w:val="18"/>
          <w:szCs w:val="18"/>
          <w:u w:val="single" w:color="auto"/>
          <w:color w:val="auto"/>
        </w:rPr>
        <w:t>Section 6(a)(iii)</w:t>
      </w:r>
      <w:r>
        <w:rPr>
          <w:rFonts w:ascii="Arial" w:cs="Arial" w:eastAsia="Arial" w:hAnsi="Arial"/>
          <w:sz w:val="18"/>
          <w:szCs w:val="18"/>
          <w:color w:val="auto"/>
        </w:rPr>
        <w:t>, (a) on the twentieth (20th) Business Day following and excluding the Conversion Notice Date or (b) any other date upon which the exercising Holder and the Company mutually agree (the “</w:t>
      </w:r>
      <w:r>
        <w:rPr>
          <w:rFonts w:ascii="Arial" w:cs="Arial" w:eastAsia="Arial" w:hAnsi="Arial"/>
          <w:sz w:val="18"/>
          <w:szCs w:val="18"/>
          <w:u w:val="single" w:color="auto"/>
          <w:color w:val="auto"/>
        </w:rPr>
        <w:t>Conversion Closing Date</w:t>
      </w:r>
      <w:r>
        <w:rPr>
          <w:rFonts w:ascii="Arial" w:cs="Arial" w:eastAsia="Arial" w:hAnsi="Arial"/>
          <w:sz w:val="18"/>
          <w:szCs w:val="18"/>
          <w:color w:val="auto"/>
        </w:rPr>
        <w:t>”). The Conversion Notice shall apply only to shares of Series C Preferred Stock for which no</w:t>
      </w:r>
    </w:p>
    <w:p>
      <w:pPr>
        <w:sectPr>
          <w:pgSz w:w="11900" w:h="16838" w:orient="portrait"/>
          <w:cols w:equalWidth="0" w:num="1">
            <w:col w:w="11240"/>
          </w:cols>
          <w:pgMar w:left="320" w:top="1138" w:right="339" w:bottom="1440" w:gutter="0" w:footer="0" w:header="0"/>
        </w:sectPr>
      </w:pPr>
    </w:p>
    <w:bookmarkStart w:id="144" w:name="page145"/>
    <w:bookmarkEnd w:id="144"/>
    <w:p>
      <w:pPr>
        <w:ind w:right="140"/>
        <w:spacing w:after="0" w:line="277" w:lineRule="auto"/>
        <w:rPr>
          <w:sz w:val="20"/>
          <w:szCs w:val="20"/>
          <w:color w:val="auto"/>
        </w:rPr>
      </w:pPr>
      <w:r>
        <w:rPr>
          <w:rFonts w:ascii="Arial" w:cs="Arial" w:eastAsia="Arial" w:hAnsi="Arial"/>
          <w:sz w:val="18"/>
          <w:szCs w:val="18"/>
          <w:color w:val="auto"/>
        </w:rPr>
        <w:t>Redemption Notice has been tendered to the Company before the twentieth (20th) Business Day after the Conversion Notice Date, regardless of when the applicable redemption is consummated.</w:t>
      </w:r>
    </w:p>
    <w:p>
      <w:pPr>
        <w:spacing w:after="0" w:line="143" w:lineRule="exact"/>
        <w:rPr>
          <w:sz w:val="20"/>
          <w:szCs w:val="20"/>
          <w:color w:val="auto"/>
        </w:rPr>
      </w:pPr>
    </w:p>
    <w:p>
      <w:pPr>
        <w:ind w:right="100" w:firstLine="8"/>
        <w:spacing w:after="0" w:line="293" w:lineRule="auto"/>
        <w:tabs>
          <w:tab w:leader="none" w:pos="265"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Conversion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stock shall be converted into that number of shares of Common Stock and/or number of one-hundredths (1/100th) of a share of Common Stock Equivalent Junior Preferred Stock equal to (a) the aggregate Stated Value of such shares divided by (b) the Conversion Price (the “</w:t>
      </w:r>
      <w:r>
        <w:rPr>
          <w:rFonts w:ascii="Arial" w:cs="Arial" w:eastAsia="Arial" w:hAnsi="Arial"/>
          <w:sz w:val="16"/>
          <w:szCs w:val="16"/>
          <w:u w:val="single" w:color="auto"/>
          <w:color w:val="auto"/>
        </w:rPr>
        <w:t>Conversion Stock Amount</w:t>
      </w:r>
      <w:r>
        <w:rPr>
          <w:rFonts w:ascii="Arial" w:cs="Arial" w:eastAsia="Arial" w:hAnsi="Arial"/>
          <w:sz w:val="16"/>
          <w:szCs w:val="16"/>
          <w:color w:val="auto"/>
        </w:rPr>
        <w:t>”). On the Conversion Closing Date, the Holder shall surrender the certificate representing the shares of Series C Preferred Stock to be converted to the Company at the address set forth for notices to the Company specified in Section 18 of the Agreement, and the Company shall deliver to such Holder as specified in the Conversion Notice the Conversion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376" w:lineRule="exact"/>
        <w:rPr>
          <w:sz w:val="20"/>
          <w:szCs w:val="20"/>
          <w:color w:val="auto"/>
        </w:rPr>
      </w:pPr>
    </w:p>
    <w:p>
      <w:pPr>
        <w:ind w:right="40" w:firstLine="8"/>
        <w:spacing w:after="0" w:line="277" w:lineRule="auto"/>
        <w:tabs>
          <w:tab w:leader="none" w:pos="315"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 It shall be a condition of the converting Holder’s obligation to close that each of the following is satisfied, unless expressly waived by such Holder in writing (which Holder may do or refrain from doing in its sole discretion):</w:t>
      </w:r>
    </w:p>
    <w:p>
      <w:pPr>
        <w:spacing w:after="0" w:line="130" w:lineRule="exact"/>
        <w:rPr>
          <w:sz w:val="20"/>
          <w:szCs w:val="20"/>
          <w:color w:val="auto"/>
        </w:rPr>
      </w:pPr>
    </w:p>
    <w:p>
      <w:pPr>
        <w:ind w:left="300" w:hanging="292"/>
        <w:spacing w:after="0"/>
        <w:tabs>
          <w:tab w:leader="none" w:pos="3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 the representations and warranties made by the Company in the Agreement shall be true and correct as of the Conversion Closing Date, except</w:t>
      </w:r>
    </w:p>
    <w:p>
      <w:pPr>
        <w:spacing w:after="0" w:line="46"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conversion shall be duly listed and admitted to trading on the Nasdaq Global Select Market, the Nasdaq Global Market or the New York Stock Exchange; and (z) such Holder shall have received a certificate of the Chief Executive Officer and the Chief Financial Officer of the Company dated such date and to the effect of clauses (x), (y) and (z).</w:t>
      </w:r>
    </w:p>
    <w:p>
      <w:pPr>
        <w:spacing w:after="0" w:line="163" w:lineRule="exact"/>
        <w:rPr>
          <w:rFonts w:ascii="Arial" w:cs="Arial" w:eastAsia="Arial" w:hAnsi="Arial"/>
          <w:sz w:val="16"/>
          <w:szCs w:val="16"/>
          <w:color w:val="auto"/>
        </w:rPr>
      </w:pPr>
    </w:p>
    <w:p>
      <w:pPr>
        <w:ind w:right="60" w:firstLine="8"/>
        <w:spacing w:after="0" w:line="277" w:lineRule="auto"/>
        <w:tabs>
          <w:tab w:leader="none" w:pos="2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On the Conversion Closing Date, the Company shall have delivered to the Holder (x) a Conversion Notice, substantially in the form attached as Annex G to the Agreement and (y) the legal opinion described in Section 12(b) of the Agreement.</w:t>
      </w:r>
    </w:p>
    <w:p>
      <w:pPr>
        <w:spacing w:after="0" w:line="129" w:lineRule="exact"/>
        <w:rPr>
          <w:rFonts w:ascii="Arial" w:cs="Arial" w:eastAsia="Arial" w:hAnsi="Arial"/>
          <w:sz w:val="18"/>
          <w:szCs w:val="18"/>
          <w:color w:val="auto"/>
        </w:rPr>
      </w:pPr>
    </w:p>
    <w:p>
      <w:pPr>
        <w:ind w:right="140" w:firstLine="8"/>
        <w:spacing w:after="0" w:line="254" w:lineRule="auto"/>
        <w:tabs>
          <w:tab w:leader="none" w:pos="28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Series C Preferred Stock or provide or recognize any other preferences, limitations, powers or other rights provided by this Certificate of Rights and Preferences to the extent that, if the Series C Preferred Stock would have been converted, the Holder would beneficially own Common Stock and Common Stock Equivalent Junior Preferred Securities that would exceed the Maximum Number.</w:t>
      </w:r>
    </w:p>
    <w:p>
      <w:pPr>
        <w:spacing w:after="0" w:line="15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The Company shall use its best efforts to cause each of the foregoing conditions to be satisfied at the earliest practicable date after a Conversion Notice. If such conditions are not satisfied or waived prior to the twentieth (20th) Business Day following and excluding the date the Conversion Notice is delivered, then the Company may, at its sole option, and at any time, withdraw the Conversion Notice by written notice to the Holder regardless of whether such conditions have been satisfied or waived as of the withdrawal date and, after such withdrawal, shall have no further obligations with respect to such Conversion Notice and may submit a Conversion Notice with respect to the shares referenced in the withdrawn Conversion Notice pursuant to </w:t>
      </w:r>
      <w:r>
        <w:rPr>
          <w:rFonts w:ascii="Arial" w:cs="Arial" w:eastAsia="Arial" w:hAnsi="Arial"/>
          <w:sz w:val="16"/>
          <w:szCs w:val="16"/>
          <w:u w:val="single" w:color="auto"/>
          <w:color w:val="auto"/>
        </w:rPr>
        <w:t>Section 6(a)</w:t>
      </w:r>
    </w:p>
    <w:p>
      <w:pPr>
        <w:spacing w:after="0" w:line="2" w:lineRule="exact"/>
        <w:rPr>
          <w:sz w:val="20"/>
          <w:szCs w:val="20"/>
          <w:color w:val="auto"/>
        </w:rPr>
      </w:pPr>
    </w:p>
    <w:p>
      <w:pPr>
        <w:ind w:left="220" w:hanging="212"/>
        <w:spacing w:after="0"/>
        <w:tabs>
          <w:tab w:leader="none" w:pos="220" w:val="left"/>
        </w:tabs>
        <w:numPr>
          <w:ilvl w:val="0"/>
          <w:numId w:val="189"/>
        </w:numPr>
        <w:rPr>
          <w:rFonts w:ascii="Arial" w:cs="Arial" w:eastAsia="Arial" w:hAnsi="Arial"/>
          <w:sz w:val="18"/>
          <w:szCs w:val="18"/>
          <w:u w:val="single" w:color="auto"/>
          <w:color w:val="auto"/>
        </w:rPr>
      </w:pPr>
      <w:r>
        <w:rPr>
          <w:rFonts w:ascii="Arial" w:cs="Arial" w:eastAsia="Arial" w:hAnsi="Arial"/>
          <w:sz w:val="18"/>
          <w:szCs w:val="18"/>
          <w:color w:val="auto"/>
        </w:rPr>
        <w:t xml:space="preserve">hereof, subject to the closing conditions in this </w:t>
      </w:r>
      <w:r>
        <w:rPr>
          <w:rFonts w:ascii="Arial" w:cs="Arial" w:eastAsia="Arial" w:hAnsi="Arial"/>
          <w:sz w:val="18"/>
          <w:szCs w:val="18"/>
          <w:u w:val="single" w:color="auto"/>
          <w:color w:val="auto"/>
        </w:rPr>
        <w:t>Section 6(a)(iii)</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0" w:lineRule="exact"/>
        <w:rPr>
          <w:sz w:val="20"/>
          <w:szCs w:val="20"/>
          <w:color w:val="auto"/>
        </w:rPr>
      </w:pPr>
    </w:p>
    <w:p>
      <w:pPr>
        <w:spacing w:after="0" w:line="376" w:lineRule="exact"/>
        <w:rPr>
          <w:sz w:val="20"/>
          <w:szCs w:val="20"/>
          <w:color w:val="auto"/>
        </w:rPr>
      </w:pPr>
    </w:p>
    <w:p>
      <w:pPr>
        <w:ind w:right="160" w:firstLine="8"/>
        <w:spacing w:after="0" w:line="257" w:lineRule="auto"/>
        <w:tabs>
          <w:tab w:leader="none" w:pos="305"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Holder of record</w:t>
      </w:r>
      <w:r>
        <w:rPr>
          <w:rFonts w:ascii="Arial" w:cs="Arial" w:eastAsia="Arial" w:hAnsi="Arial"/>
          <w:sz w:val="18"/>
          <w:szCs w:val="18"/>
          <w:color w:val="auto"/>
        </w:rPr>
        <w:t xml:space="preserve">. Each conversion of Series C Preferred Stock shall be deemed to have been effected immediately before the close of business on the Business Day on which the Conversion Notice is delivered (except, that, for purposes of calculation of the Stated Value, dividends shall accrue until and including the Conversion Closing Date), and at such time the Person or Persons in whose name or names any certificate or certificates for shares of Common Stock or Common Stock Equivalent Junior Preferred Securities shall be issuable upon such conversion as provided in </w:t>
      </w:r>
      <w:r>
        <w:rPr>
          <w:rFonts w:ascii="Arial" w:cs="Arial" w:eastAsia="Arial" w:hAnsi="Arial"/>
          <w:sz w:val="18"/>
          <w:szCs w:val="18"/>
          <w:u w:val="single" w:color="auto"/>
          <w:color w:val="auto"/>
        </w:rPr>
        <w:t>Section 6(a)(ii)</w:t>
      </w:r>
      <w:r>
        <w:rPr>
          <w:rFonts w:ascii="Arial" w:cs="Arial" w:eastAsia="Arial" w:hAnsi="Arial"/>
          <w:sz w:val="18"/>
          <w:szCs w:val="18"/>
          <w:color w:val="auto"/>
        </w:rPr>
        <w:t xml:space="preserve"> shall be deemed to have become the holder or holders of record thereof.</w:t>
      </w:r>
    </w:p>
    <w:p>
      <w:pPr>
        <w:sectPr>
          <w:pgSz w:w="11900" w:h="16838" w:orient="portrait"/>
          <w:cols w:equalWidth="0" w:num="1">
            <w:col w:w="11220"/>
          </w:cols>
          <w:pgMar w:left="320" w:top="1070" w:right="359" w:bottom="1440" w:gutter="0" w:footer="0" w:header="0"/>
        </w:sectPr>
      </w:pPr>
    </w:p>
    <w:bookmarkStart w:id="145" w:name="page146"/>
    <w:bookmarkEnd w:id="145"/>
    <w:p>
      <w:pPr>
        <w:ind w:left="252" w:hanging="252"/>
        <w:spacing w:after="0"/>
        <w:tabs>
          <w:tab w:leader="none" w:pos="25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Procedure for Redemption at the Option of the Holder</w:t>
      </w:r>
      <w:r>
        <w:rPr>
          <w:rFonts w:ascii="Arial" w:cs="Arial" w:eastAsia="Arial" w:hAnsi="Arial"/>
          <w:sz w:val="18"/>
          <w:szCs w:val="18"/>
          <w:color w:val="auto"/>
        </w:rPr>
        <w:t>.</w:t>
      </w:r>
    </w:p>
    <w:p>
      <w:pPr>
        <w:spacing w:after="0" w:line="198" w:lineRule="exact"/>
        <w:rPr>
          <w:sz w:val="20"/>
          <w:szCs w:val="20"/>
          <w:color w:val="auto"/>
        </w:rPr>
      </w:pPr>
    </w:p>
    <w:p>
      <w:pPr>
        <w:ind w:left="-8" w:right="60" w:firstLine="8"/>
        <w:spacing w:after="0" w:line="269" w:lineRule="auto"/>
        <w:tabs>
          <w:tab w:leader="none" w:pos="207"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hereof, at any time after the Company has obtained the approval of the stockholders of the Company to increase the authorized number of shares of Common Stock, a Holder of Series C Preferred Stock may at the option of the Holder require the Company to redeem any or all shares of Series C Preferred Stock held by such Holder for Common Stock and/or Common Stock Equivalent Junior Preferred Stock on one or more occasions by delivering an optional redemption notice (a “</w:t>
      </w:r>
      <w:r>
        <w:rPr>
          <w:rFonts w:ascii="Arial" w:cs="Arial" w:eastAsia="Arial" w:hAnsi="Arial"/>
          <w:sz w:val="17"/>
          <w:szCs w:val="17"/>
          <w:u w:val="single" w:color="auto"/>
          <w:color w:val="auto"/>
        </w:rPr>
        <w:t>Redemption Notice</w:t>
      </w:r>
      <w:r>
        <w:rPr>
          <w:rFonts w:ascii="Arial" w:cs="Arial" w:eastAsia="Arial" w:hAnsi="Arial"/>
          <w:sz w:val="17"/>
          <w:szCs w:val="17"/>
          <w:color w:val="auto"/>
        </w:rPr>
        <w:t xml:space="preserve">”) to the Company substantially in the form attached as Annex H to the Agreement; provided, however, that until the Company has obtained the approval of the stockholders of the Company to increase the authorized number of shares of Common Stock, a Holder of Series C Preferred Stock may require the Company to redeem any or all of such shares of Series C Preferred Stock for Common Stock Equivalent Junior Preferred Stock. The closing of such redemption shall take place, subject to the satisfaction or waiver of the conditions set forth in </w:t>
      </w:r>
      <w:r>
        <w:rPr>
          <w:rFonts w:ascii="Arial" w:cs="Arial" w:eastAsia="Arial" w:hAnsi="Arial"/>
          <w:sz w:val="17"/>
          <w:szCs w:val="17"/>
          <w:u w:val="single" w:color="auto"/>
          <w:color w:val="auto"/>
        </w:rPr>
        <w:t>Section 6(b)(iii)</w:t>
      </w:r>
      <w:r>
        <w:rPr>
          <w:rFonts w:ascii="Arial" w:cs="Arial" w:eastAsia="Arial" w:hAnsi="Arial"/>
          <w:sz w:val="17"/>
          <w:szCs w:val="17"/>
          <w:color w:val="auto"/>
        </w:rPr>
        <w:t xml:space="preserve"> (a) on the second (2nd) Business Day, or if the Holder so elects, the third (3rd) Business Day, following and excluding the date the Redemption Notice is delivered or (b) any other date upon which the exercising Holder and the Company mutually agree (the “</w:t>
      </w:r>
      <w:r>
        <w:rPr>
          <w:rFonts w:ascii="Arial" w:cs="Arial" w:eastAsia="Arial" w:hAnsi="Arial"/>
          <w:sz w:val="17"/>
          <w:szCs w:val="17"/>
          <w:u w:val="single" w:color="auto"/>
          <w:color w:val="auto"/>
        </w:rPr>
        <w:t>Redemption Closing Date</w:t>
      </w:r>
      <w:r>
        <w:rPr>
          <w:rFonts w:ascii="Arial" w:cs="Arial" w:eastAsia="Arial" w:hAnsi="Arial"/>
          <w:sz w:val="17"/>
          <w:szCs w:val="17"/>
          <w:color w:val="auto"/>
        </w:rPr>
        <w:t>”).</w:t>
      </w:r>
    </w:p>
    <w:p>
      <w:pPr>
        <w:spacing w:after="0" w:line="144" w:lineRule="exact"/>
        <w:rPr>
          <w:rFonts w:ascii="Arial" w:cs="Arial" w:eastAsia="Arial" w:hAnsi="Arial"/>
          <w:sz w:val="17"/>
          <w:szCs w:val="17"/>
          <w:color w:val="auto"/>
        </w:rPr>
      </w:pPr>
    </w:p>
    <w:p>
      <w:pPr>
        <w:ind w:left="-8" w:firstLine="8"/>
        <w:spacing w:after="0" w:line="293" w:lineRule="auto"/>
        <w:tabs>
          <w:tab w:leader="none" w:pos="257"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Redemption for stock</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such shares of Series C Preferred Stock shall be redeemed into that number of shares of Common Stock and/or number of one-hundredths (1/100th) of a share of Common Stock Equivalent Junior Preferred Stock equal to (a) the aggregate Stated Value of such shares divided by (b) the Redemption Price (the “</w:t>
      </w:r>
      <w:r>
        <w:rPr>
          <w:rFonts w:ascii="Arial" w:cs="Arial" w:eastAsia="Arial" w:hAnsi="Arial"/>
          <w:sz w:val="16"/>
          <w:szCs w:val="16"/>
          <w:u w:val="single" w:color="auto"/>
          <w:color w:val="auto"/>
        </w:rPr>
        <w:t>Redemption Stock Amount</w:t>
      </w:r>
      <w:r>
        <w:rPr>
          <w:rFonts w:ascii="Arial" w:cs="Arial" w:eastAsia="Arial" w:hAnsi="Arial"/>
          <w:sz w:val="16"/>
          <w:szCs w:val="16"/>
          <w:color w:val="auto"/>
        </w:rPr>
        <w:t>”). On the Redemption Closing Date, the Holder shall surrender the certificate representing the shares of Series C Preferred Stock to be redeemed to the Company at the address set forth for notices to the Company specified in Section 18 of the Agreement and the Company shall deliver to such Holder as specified in the Redemption Notice the Redemption Stock Amount of duly authorized, validly issued, fully paid and nonassessable shares of Common Stock and/or Common Stock Equivalent Junior Preferred Stock.</w:t>
      </w: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right="80" w:firstLine="8"/>
        <w:spacing w:after="0" w:line="277" w:lineRule="auto"/>
        <w:tabs>
          <w:tab w:leader="none" w:pos="307"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r>
        <w:rPr>
          <w:rFonts w:ascii="Arial" w:cs="Arial" w:eastAsia="Arial" w:hAnsi="Arial"/>
          <w:sz w:val="18"/>
          <w:szCs w:val="18"/>
          <w:color w:val="auto"/>
        </w:rPr>
        <w:t>. It shall be a condition of the redeeming Holder’s obligation to close that each of the following is satisfied, unless expressly waived by such Holder in writing:</w:t>
      </w:r>
    </w:p>
    <w:p>
      <w:pPr>
        <w:spacing w:after="0" w:line="143" w:lineRule="exact"/>
        <w:rPr>
          <w:sz w:val="20"/>
          <w:szCs w:val="20"/>
          <w:color w:val="auto"/>
        </w:rPr>
      </w:pPr>
    </w:p>
    <w:p>
      <w:pPr>
        <w:ind w:left="-8" w:right="80" w:firstLine="8"/>
        <w:spacing w:after="0" w:line="255" w:lineRule="auto"/>
        <w:tabs>
          <w:tab w:leader="none" w:pos="28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 the representations and warranties made by the Company in the Agreement shall be true and correct as of the Redemption Closing Date, except those representations and warranties that address matters only as of a particular date, which shall be true and correct as of such date; (x) the Company shall have complied fully with all of the covenants and agreements in the Agreement; (y) all shares of Common Stock to be issued upon such redemption shall be duly listed and admitted to trading on the Nasdaq Global Select Market, the Nasdaq Global Market or the New York Stock Exchange; and such Holder shall have received a certificate of the Chief Executive Officer and (z) the Chief Financial Officer of the Company dated such date and to the effect of clauses (w), (x) and (y).</w:t>
      </w:r>
    </w:p>
    <w:p>
      <w:pPr>
        <w:spacing w:after="0" w:line="151" w:lineRule="exact"/>
        <w:rPr>
          <w:rFonts w:ascii="Arial" w:cs="Arial" w:eastAsia="Arial" w:hAnsi="Arial"/>
          <w:sz w:val="18"/>
          <w:szCs w:val="18"/>
          <w:color w:val="auto"/>
        </w:rPr>
      </w:pPr>
    </w:p>
    <w:p>
      <w:pPr>
        <w:ind w:left="-8" w:right="40" w:firstLine="8"/>
        <w:spacing w:after="0" w:line="277" w:lineRule="auto"/>
        <w:tabs>
          <w:tab w:leader="none" w:pos="27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On the Redemption Closing Date, the Company shall have delivered to the Holder (x) a Preferred Stock redemption delivery notice, substantially in the form attached as Annex I to the Agreement and (y) the legal opinion described in Section 12(b) of the Agreement.</w:t>
      </w:r>
    </w:p>
    <w:p>
      <w:pPr>
        <w:spacing w:after="0" w:line="129" w:lineRule="exact"/>
        <w:rPr>
          <w:rFonts w:ascii="Arial" w:cs="Arial" w:eastAsia="Arial" w:hAnsi="Arial"/>
          <w:sz w:val="18"/>
          <w:szCs w:val="18"/>
          <w:color w:val="auto"/>
        </w:rPr>
      </w:pPr>
    </w:p>
    <w:p>
      <w:pPr>
        <w:ind w:left="272" w:hanging="272"/>
        <w:spacing w:after="0"/>
        <w:tabs>
          <w:tab w:leader="none" w:pos="27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of the Redemption Closing Date, the Company shall have notified the Holder of all Restatements.</w:t>
      </w:r>
    </w:p>
    <w:p>
      <w:pPr>
        <w:spacing w:after="0" w:line="198" w:lineRule="exact"/>
        <w:rPr>
          <w:rFonts w:ascii="Arial" w:cs="Arial" w:eastAsia="Arial" w:hAnsi="Arial"/>
          <w:sz w:val="18"/>
          <w:szCs w:val="18"/>
          <w:color w:val="auto"/>
        </w:rPr>
      </w:pPr>
    </w:p>
    <w:p>
      <w:pPr>
        <w:ind w:left="-8" w:right="20" w:firstLine="8"/>
        <w:spacing w:after="0" w:line="254" w:lineRule="auto"/>
        <w:tabs>
          <w:tab w:leader="none" w:pos="28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issuance of Common Stock or Common Stock Equivalent Junior Preferred Stock would cause the number of shares of Common Stock and Common Stock Equivalent Junior Preferred Stock held by any Holder to exceed the Maximum Number then delivery of such shares of Common Stock or Common Stock Equivalent Junior Preferred Stock shall be deferred pursuant to Section 6(d) of the Agreement. Notwithstanding anything herein to the contrary, in such event, the Company shall no longer be obligated to pay any dividend on the Preferred Stock or provide or recognize any other preferences, limitations, powers or other rights provided by this Certificate of Rights and Preferences to the extent that, if the Series C Preferred Stock would have been redeemed, the Holder would beneficially own Common Stock and Common Stock Equivalent Junior Preferred Securities that would exceed the Maximum Number.</w:t>
      </w: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32"/>
          </w:cols>
          <w:pgMar w:left="328" w:top="1070" w:right="339" w:bottom="1440" w:gutter="0" w:footer="0" w:header="0"/>
        </w:sectPr>
      </w:pPr>
    </w:p>
    <w:bookmarkStart w:id="146" w:name="page147"/>
    <w:bookmarkEnd w:id="146"/>
    <w:p>
      <w:pPr>
        <w:ind w:right="160" w:firstLine="8"/>
        <w:spacing w:after="0" w:line="273" w:lineRule="auto"/>
        <w:tabs>
          <w:tab w:leader="none" w:pos="305"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Holder of record</w:t>
      </w:r>
      <w:r>
        <w:rPr>
          <w:rFonts w:ascii="Arial" w:cs="Arial" w:eastAsia="Arial" w:hAnsi="Arial"/>
          <w:sz w:val="17"/>
          <w:szCs w:val="17"/>
          <w:color w:val="auto"/>
        </w:rPr>
        <w:t xml:space="preserve">. Each redemption of Series C Preferred Stock shall be deemed to have been effected immediately before the close of business on the Business Day on which the Redemption Notice is delivered (except, that, for the purposes of calculation of the Stated Value, dividends shall accrue until and including the Redemption Closing Date), and at such time the Person or Persons in whose name or names any certificate or certificates for shares of Common Stock (or Other Securities) shall be issuable upon such redemption as provided in </w:t>
      </w:r>
      <w:r>
        <w:rPr>
          <w:rFonts w:ascii="Arial" w:cs="Arial" w:eastAsia="Arial" w:hAnsi="Arial"/>
          <w:sz w:val="17"/>
          <w:szCs w:val="17"/>
          <w:u w:val="single" w:color="auto"/>
          <w:color w:val="auto"/>
        </w:rPr>
        <w:t>Section 6(b)(ii)</w:t>
      </w:r>
      <w:r>
        <w:rPr>
          <w:rFonts w:ascii="Arial" w:cs="Arial" w:eastAsia="Arial" w:hAnsi="Arial"/>
          <w:sz w:val="17"/>
          <w:szCs w:val="17"/>
          <w:color w:val="auto"/>
        </w:rPr>
        <w:t xml:space="preserve"> shall be deemed to have become the holder or holders of record thereof. The foregoing notwithstanding, such redemption shall not be deemed effective if and as of the date that the Holder delivers written notice of withdrawal to the Company as set forth in </w:t>
      </w:r>
      <w:r>
        <w:rPr>
          <w:rFonts w:ascii="Arial" w:cs="Arial" w:eastAsia="Arial" w:hAnsi="Arial"/>
          <w:sz w:val="17"/>
          <w:szCs w:val="17"/>
          <w:u w:val="single" w:color="auto"/>
          <w:color w:val="auto"/>
        </w:rPr>
        <w:t>Section 6(b)(v)</w:t>
      </w:r>
      <w:r>
        <w:rPr>
          <w:rFonts w:ascii="Arial" w:cs="Arial" w:eastAsia="Arial" w:hAnsi="Arial"/>
          <w:sz w:val="17"/>
          <w:szCs w:val="17"/>
          <w:color w:val="auto"/>
        </w:rPr>
        <w:t xml:space="preserve"> below.</w:t>
      </w:r>
    </w:p>
    <w:p>
      <w:pPr>
        <w:spacing w:after="0" w:line="150" w:lineRule="exact"/>
        <w:rPr>
          <w:rFonts w:ascii="Arial" w:cs="Arial" w:eastAsia="Arial" w:hAnsi="Arial"/>
          <w:sz w:val="17"/>
          <w:szCs w:val="17"/>
          <w:color w:val="auto"/>
        </w:rPr>
      </w:pPr>
    </w:p>
    <w:p>
      <w:pPr>
        <w:ind w:right="40" w:firstLine="8"/>
        <w:spacing w:after="0" w:line="284" w:lineRule="auto"/>
        <w:tabs>
          <w:tab w:leader="none" w:pos="255"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Withdrawal of Redemption Notice</w:t>
      </w:r>
      <w:r>
        <w:rPr>
          <w:rFonts w:ascii="Arial" w:cs="Arial" w:eastAsia="Arial" w:hAnsi="Arial"/>
          <w:sz w:val="16"/>
          <w:szCs w:val="16"/>
          <w:color w:val="auto"/>
        </w:rPr>
        <w:t xml:space="preserve">. If the conditions set forth in </w:t>
      </w:r>
      <w:r>
        <w:rPr>
          <w:rFonts w:ascii="Arial" w:cs="Arial" w:eastAsia="Arial" w:hAnsi="Arial"/>
          <w:sz w:val="16"/>
          <w:szCs w:val="16"/>
          <w:u w:val="single" w:color="auto"/>
          <w:color w:val="auto"/>
        </w:rPr>
        <w:t>Section 6(b)(iii)</w:t>
      </w:r>
      <w:r>
        <w:rPr>
          <w:rFonts w:ascii="Arial" w:cs="Arial" w:eastAsia="Arial" w:hAnsi="Arial"/>
          <w:sz w:val="16"/>
          <w:szCs w:val="16"/>
          <w:color w:val="auto"/>
        </w:rPr>
        <w:t xml:space="preserve"> are not satisfied or waived on or prior to the Redemption Closing Date or if the Company fails to perform its obligations on any Redemption Closing Date (including delivery of all shares of Series C Preferred Stock issuable on such date), then in addition to all remedies available to Holder at law or in equity, Holder may, at its sole option, and at any time, withdraw the Redemption Notice by written notice to the Company regardless of whether such conditions have been satisfied or waived as of the withdrawal date and, after such withdrawal, shall have no further obligations with respect to such Redemption Notice and may submit a Redemption Notice on any future date with respect to such Series C Preferred Stock and the Redemption Price for such subsequent Redemption Notice shall be the lesser of (x) the Redemption Price in the withdrawn Redemption Notice and (y) the Redemption Price in effect as of the date of the subsequent Redemption Notice. If the Company fails to deliver</w:t>
      </w:r>
    </w:p>
    <w:p>
      <w:pPr>
        <w:spacing w:after="0" w:line="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(A) shares of Common Stock as provided in </w:t>
      </w:r>
      <w:r>
        <w:rPr>
          <w:rFonts w:ascii="Arial" w:cs="Arial" w:eastAsia="Arial" w:hAnsi="Arial"/>
          <w:sz w:val="18"/>
          <w:szCs w:val="18"/>
          <w:u w:val="single" w:color="auto"/>
          <w:color w:val="auto"/>
        </w:rPr>
        <w:t>Section 6(b)</w:t>
      </w:r>
      <w:r>
        <w:rPr>
          <w:rFonts w:ascii="Arial" w:cs="Arial" w:eastAsia="Arial" w:hAnsi="Arial"/>
          <w:sz w:val="18"/>
          <w:szCs w:val="18"/>
          <w:color w:val="auto"/>
        </w:rPr>
        <w:t xml:space="preserve"> on or before the later of the twentieth (20th) Business Day following and excluding (1) the Redemption Closing Date or (2) three (3) Business Days after the Stockholder Consent Date (if and to the extent such approval is required to issue such shares of Common Stock) or (B) shares of Common Stock Equivalent Junior Preferred Stock on or before the twentieth (20th) Business Day following and excluding the Redemption Closing Date, then the Redemption Price shall equal the lesser of Four Dollars and Forty-One Cents ($4.41) and the Redemption Price in effect immediately before such date.</w:t>
      </w:r>
    </w:p>
    <w:p>
      <w:pPr>
        <w:spacing w:after="0" w:line="150" w:lineRule="exact"/>
        <w:rPr>
          <w:rFonts w:ascii="Arial" w:cs="Arial" w:eastAsia="Arial" w:hAnsi="Arial"/>
          <w:sz w:val="16"/>
          <w:szCs w:val="16"/>
          <w:color w:val="auto"/>
        </w:rPr>
      </w:pPr>
    </w:p>
    <w:p>
      <w:pPr>
        <w:ind w:right="320" w:firstLine="8"/>
        <w:spacing w:after="0" w:line="263" w:lineRule="auto"/>
        <w:tabs>
          <w:tab w:leader="none" w:pos="305"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Partial redemption</w:t>
      </w:r>
      <w:r>
        <w:rPr>
          <w:rFonts w:ascii="Arial" w:cs="Arial" w:eastAsia="Arial" w:hAnsi="Arial"/>
          <w:sz w:val="18"/>
          <w:szCs w:val="18"/>
          <w:color w:val="auto"/>
        </w:rPr>
        <w:t>. If any redemption is for only part of the shares represented by the certificate surrendered, the Company shall deliver on the Redemption Closing Date a new Series C Preferred Stock certificate of like tenor, calling in the aggregate on the face or faces thereof for the number of shares of Series C Preferred Stock in the name and to an address specified by the Holder.</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0" w:lineRule="exact"/>
        <w:rPr>
          <w:sz w:val="20"/>
          <w:szCs w:val="20"/>
          <w:color w:val="auto"/>
        </w:rPr>
      </w:pPr>
    </w:p>
    <w:p>
      <w:pPr>
        <w:spacing w:after="0" w:line="349" w:lineRule="exact"/>
        <w:rPr>
          <w:sz w:val="20"/>
          <w:szCs w:val="20"/>
          <w:color w:val="auto"/>
        </w:rPr>
      </w:pPr>
    </w:p>
    <w:p>
      <w:pPr>
        <w:ind w:firstLine="8"/>
        <w:spacing w:after="0" w:line="270" w:lineRule="auto"/>
        <w:tabs>
          <w:tab w:leader="none" w:pos="244"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Maximum Voting Stock Amount</w:t>
      </w:r>
      <w:r>
        <w:rPr>
          <w:rFonts w:ascii="Arial" w:cs="Arial" w:eastAsia="Arial" w:hAnsi="Arial"/>
          <w:sz w:val="17"/>
          <w:szCs w:val="17"/>
          <w:color w:val="auto"/>
        </w:rPr>
        <w:t>. The Company shall not effect any conversion or redemption of the Series C Preferred Stock, and the Holders shall not have the right to convert or redeem any portion of the Series C Preferred Stock, into Common Stock to the extent such conversion, redemption or exercise would result in aggregate issuances upon conversion or redemption of the Series C Preferred Stock in excess of nine and seventy-five one hundredths percent (9.75%)(the “</w:t>
      </w:r>
      <w:r>
        <w:rPr>
          <w:rFonts w:ascii="Arial" w:cs="Arial" w:eastAsia="Arial" w:hAnsi="Arial"/>
          <w:sz w:val="17"/>
          <w:szCs w:val="17"/>
          <w:u w:val="single" w:color="auto"/>
          <w:color w:val="auto"/>
        </w:rPr>
        <w:t>Maximum Voting Stock Amount</w:t>
      </w:r>
      <w:r>
        <w:rPr>
          <w:rFonts w:ascii="Arial" w:cs="Arial" w:eastAsia="Arial" w:hAnsi="Arial"/>
          <w:sz w:val="17"/>
          <w:szCs w:val="17"/>
          <w:color w:val="auto"/>
        </w:rPr>
        <w:t>”) of the number of shares of Common Stock that would be outstanding after giving effect to such conversion or redemption. Holders of a Majority of the Series C Preferred Stock shall have the right to permanently reduce the percentage used in the determination of the Maximum Voting Stock Amount to four and seventy-five one hundredths percent (4.75%) at any time, effective upon delivery of written notice of such election to the Company. In the event that the Company cannot effect a conversion or redemption of the Series C Preferred Stock into Common Stock pursuant to the terms of this Section 6(c), the conversion or redemption shall be effected into an equal number of shares of Common Stock Equivalent Junior Preferred Stock of the Company.</w:t>
      </w:r>
    </w:p>
    <w:p>
      <w:pPr>
        <w:spacing w:after="0" w:line="153" w:lineRule="exact"/>
        <w:rPr>
          <w:rFonts w:ascii="Arial" w:cs="Arial" w:eastAsia="Arial" w:hAnsi="Arial"/>
          <w:sz w:val="17"/>
          <w:szCs w:val="17"/>
          <w:color w:val="auto"/>
        </w:rPr>
      </w:pPr>
    </w:p>
    <w:p>
      <w:pPr>
        <w:ind w:right="20" w:firstLine="8"/>
        <w:spacing w:after="0" w:line="288" w:lineRule="auto"/>
        <w:tabs>
          <w:tab w:leader="none" w:pos="25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shall at all times reserve for issuance such number of its shares of Common Stock and Common Stock Equivalent Junior Preferred Stock as shall be required under the Agreement. The Company will procure, at its sole expense, the listing of the Common Stock issuable upon conversion or redemption of the Series C Preferred Stock (including upon the conversion of Common Stock Equivalent Junior Preferred Stock issuable upon the conversion or redemption of the Series C Preferred Stock) and shares issuable as dividends hereunder, subject to issuance or notice of issuance, on all stock exchanges and quotation systems on which the Common Stock is then listed or quoted, no later than the date on which such Series C Preferred Stock is issued to the Holder and thereafter shall use its best efforts to prevent delisting or removal from quotation of such shares. The Company will pay any and all documentary stamp or similar issue or transfer taxes that may be payable in respect of the issuance or delivery of shares of Common Stock and/or Common Stock Equivalent Junior Preferred Stock on conversion or redemption of shares of the Series C Preferred Stock. The Company shall not, however, be required to pay any tax which may be payable in respect of any transfer involving the issue and delivery of shares of Common Stock and/or Common Stock Equivalent Junior Preferred Stock in a name other than that in which the shares of Series C Preferred Stock so</w:t>
      </w:r>
    </w:p>
    <w:p>
      <w:pPr>
        <w:sectPr>
          <w:pgSz w:w="11900" w:h="16838" w:orient="portrait"/>
          <w:cols w:equalWidth="0" w:num="1">
            <w:col w:w="11240"/>
          </w:cols>
          <w:pgMar w:left="320" w:top="1313" w:right="339" w:bottom="1440" w:gutter="0" w:footer="0" w:header="0"/>
        </w:sectPr>
      </w:pPr>
    </w:p>
    <w:bookmarkStart w:id="147" w:name="page148"/>
    <w:bookmarkEnd w:id="147"/>
    <w:p>
      <w:pPr>
        <w:ind w:right="480"/>
        <w:spacing w:after="0" w:line="342" w:lineRule="auto"/>
        <w:rPr>
          <w:sz w:val="20"/>
          <w:szCs w:val="20"/>
          <w:color w:val="auto"/>
        </w:rPr>
      </w:pPr>
      <w:r>
        <w:rPr>
          <w:rFonts w:ascii="Arial" w:cs="Arial" w:eastAsia="Arial" w:hAnsi="Arial"/>
          <w:sz w:val="16"/>
          <w:szCs w:val="16"/>
          <w:color w:val="auto"/>
        </w:rPr>
        <w:t>converted or redeemed were registered, and no such issue and delivery shall be made unless and until the person requesting such issue has paid to the Company the amount of any such tax, or has established, to the reasonable satisfaction of the Company, that such tax has been paid.</w:t>
      </w:r>
    </w:p>
    <w:p>
      <w:pPr>
        <w:spacing w:after="0" w:line="97" w:lineRule="exact"/>
        <w:rPr>
          <w:sz w:val="20"/>
          <w:szCs w:val="20"/>
          <w:color w:val="auto"/>
        </w:rPr>
      </w:pPr>
    </w:p>
    <w:p>
      <w:pPr>
        <w:ind w:firstLine="8"/>
        <w:spacing w:after="0" w:line="271" w:lineRule="auto"/>
        <w:tabs>
          <w:tab w:leader="none" w:pos="24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No fractional shares or scrip representing fractional shares of Common Stock or, other than fractional shares in increments of one-hundredth (1/100th) of a share, of Common Stock Equivalent Junior Preferred Stock shall be issued upon the conversion or redemption of the Series C Preferred Stock. If any such conversion or redemption would otherwise require the issuance of a fractional share of Common Stock or, other than fractional shares in increments of one-hundredth (1/100th) of a share, of Common Stock Equivalent Junior Preferred Stock, an amount equal to such fraction multiplied by the current Daily Market Price per share of Common Stock on the date of conversion or redemption shall be paid to the Holder in cash by the Company. If more than one share of Series C Preferred Stock shall be surrendered for conversion or redemption at one time by or for the same Holder, the number of shares of Common Stock and/or Common Stock Equivalent Junior Preferred Stock issuable upon conversion or redemption thereof shall be computed on the basis of the aggregate number of shares of Series C Preferred Stock so surrendered.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0" w:lineRule="exact"/>
        <w:rPr>
          <w:sz w:val="20"/>
          <w:szCs w:val="20"/>
          <w:color w:val="auto"/>
        </w:rPr>
      </w:pPr>
    </w:p>
    <w:p>
      <w:pPr>
        <w:spacing w:after="0" w:line="376" w:lineRule="exact"/>
        <w:rPr>
          <w:sz w:val="20"/>
          <w:szCs w:val="20"/>
          <w:color w:val="auto"/>
        </w:rPr>
      </w:pPr>
    </w:p>
    <w:p>
      <w:pPr>
        <w:ind w:left="240" w:hanging="232"/>
        <w:spacing w:after="0"/>
        <w:tabs>
          <w:tab w:leader="none" w:pos="24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w:t>
      </w:r>
    </w:p>
    <w:p>
      <w:pPr>
        <w:spacing w:after="0" w:line="185" w:lineRule="exact"/>
        <w:rPr>
          <w:sz w:val="20"/>
          <w:szCs w:val="20"/>
          <w:color w:val="auto"/>
        </w:rPr>
      </w:pPr>
    </w:p>
    <w:p>
      <w:pPr>
        <w:ind w:right="100" w:firstLine="8"/>
        <w:spacing w:after="0" w:line="286" w:lineRule="auto"/>
        <w:tabs>
          <w:tab w:leader="none" w:pos="21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the Company on or after the date of the Agreement is party to any Change of Control, proper provision shall be made so that, upon the basis and the terms and in the manner provided herein, the Holder of each unconverted and unredeemed share of Series C Preferred Stock, upon conversion or redemption thereof at any time after the consummation of such Change of Control, shall be entitled to, and appropriate adjustments will be made to ensure that the Holder will receive, equivalent rights as those provided in this Certificate of Rights and Preferences, including, without limitation, the voting, dividend, conversion, redemption and liquidation rights contained herein with respect to the Acquiring Person. The Company shall, prior to the consummation of any Change of Control, provide that each Person (other than the Company) that may be required to deliver any stock, securities, cash or property upon conversion of Series C Preferred Stock as provided herein shall assume, by written instrument delivered to, and reasonably satisfactory to, the Holders of a Majority of the Series C Preferred Stock, (a) the obligations of the Company under this Certificate of Rights and Preferences (and if the Company shall survive the consummation of such transaction, such assumption shall be in addition to, and shall not release the Company from, any continuing obligations of the Company under this Certificate of Rights and Preferences) and (b) the obligation to deliver to the Holders of Series C Preferred Stock such shares of stock, securities, cash or property as, in accordance with the provisions of this Certificate of Rights and Preferences, such Holders may be entitled to receive, and such Person shall have similarly delivered to such Holders an opinion of counsel for such Person, which counsel shall be reasonably satisfactory to Holders of a Majority of the Series C Preferred Stock, stating that the rights of such Holders under this Certificate of Rights and Preferences shall thereafter continue in full force and effect with respect to such Acquiring Person in accordance with the terms hereof.</w:t>
      </w:r>
    </w:p>
    <w:p>
      <w:pPr>
        <w:spacing w:after="0" w:line="143" w:lineRule="exact"/>
        <w:rPr>
          <w:rFonts w:ascii="Arial" w:cs="Arial" w:eastAsia="Arial" w:hAnsi="Arial"/>
          <w:sz w:val="16"/>
          <w:szCs w:val="16"/>
          <w:color w:val="auto"/>
        </w:rPr>
      </w:pPr>
    </w:p>
    <w:p>
      <w:pPr>
        <w:jc w:val="both"/>
        <w:ind w:right="140" w:firstLine="8"/>
        <w:spacing w:after="0" w:line="263" w:lineRule="auto"/>
        <w:tabs>
          <w:tab w:leader="none" w:pos="2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 the event of a Change of Control, all references to the Conversion Price or the Redemption Price herein shall be references to the Stock Adjustment Measuring Price. “</w:t>
      </w:r>
      <w:r>
        <w:rPr>
          <w:rFonts w:ascii="Arial" w:cs="Arial" w:eastAsia="Arial" w:hAnsi="Arial"/>
          <w:sz w:val="18"/>
          <w:szCs w:val="18"/>
          <w:u w:val="single" w:color="auto"/>
          <w:color w:val="auto"/>
        </w:rPr>
        <w:t>Stock Adjustment Measuring Price</w:t>
      </w:r>
      <w:r>
        <w:rPr>
          <w:rFonts w:ascii="Arial" w:cs="Arial" w:eastAsia="Arial" w:hAnsi="Arial"/>
          <w:sz w:val="18"/>
          <w:szCs w:val="18"/>
          <w:color w:val="auto"/>
        </w:rPr>
        <w:t>” means an amount equal to the Conversion Price or the Redemption Price, as applicable, multiplied by a fraction,</w:t>
      </w:r>
    </w:p>
    <w:p>
      <w:pPr>
        <w:spacing w:after="0" w:line="143" w:lineRule="exact"/>
        <w:rPr>
          <w:sz w:val="20"/>
          <w:szCs w:val="20"/>
          <w:color w:val="auto"/>
        </w:rPr>
      </w:pPr>
    </w:p>
    <w:p>
      <w:pPr>
        <w:ind w:right="100" w:firstLine="8"/>
        <w:spacing w:after="0" w:line="263" w:lineRule="auto"/>
        <w:tabs>
          <w:tab w:leader="none" w:pos="2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numerator of which is the Daily Market Price of the securities for Common Stock is exchanged in the Change of Control (or if none, the most widely-held class of voting securities of the Acquiring Person) determined as of the Business Day immediately preceding and excluding the date on which the Change of Control is consummated; and</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376" w:lineRule="exact"/>
        <w:rPr>
          <w:sz w:val="20"/>
          <w:szCs w:val="20"/>
          <w:color w:val="auto"/>
        </w:rPr>
      </w:pPr>
    </w:p>
    <w:p>
      <w:pPr>
        <w:ind w:right="160" w:firstLine="8"/>
        <w:spacing w:after="0" w:line="277" w:lineRule="auto"/>
        <w:tabs>
          <w:tab w:leader="none" w:pos="28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denominator of which is the Daily Market Price of the Common Stock of the Company determined as of the Business Day immediately preceding and excluding the date on which the Change of Control is consummated.</w:t>
      </w:r>
    </w:p>
    <w:p>
      <w:pPr>
        <w:spacing w:after="0" w:line="143" w:lineRule="exact"/>
        <w:rPr>
          <w:sz w:val="20"/>
          <w:szCs w:val="20"/>
          <w:color w:val="auto"/>
        </w:rPr>
      </w:pPr>
    </w:p>
    <w:p>
      <w:pPr>
        <w:ind w:right="100" w:firstLine="8"/>
        <w:spacing w:after="0" w:line="259" w:lineRule="auto"/>
        <w:tabs>
          <w:tab w:leader="none" w:pos="31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Prior to the effective date of a Change of Control, the Company shall continue to have the right to submit to each Holder Conversion Notices and each Holder shall continue to have the right to submit to the Company Redemption Notices and consummate closings of any such conversions or redemptions, in each party’s sole discretion, in accordance with the terms and conditions of this Certificate of Rights and Preferences. In addition, the Holder at its sole option may elect to submit to the</w:t>
      </w:r>
    </w:p>
    <w:p>
      <w:pPr>
        <w:sectPr>
          <w:pgSz w:w="11900" w:h="16838" w:orient="portrait"/>
          <w:cols w:equalWidth="0" w:num="1">
            <w:col w:w="11240"/>
          </w:cols>
          <w:pgMar w:left="320" w:top="1070" w:right="339" w:bottom="1440" w:gutter="0" w:footer="0" w:header="0"/>
        </w:sectPr>
      </w:pPr>
    </w:p>
    <w:bookmarkStart w:id="148" w:name="page149"/>
    <w:bookmarkEnd w:id="148"/>
    <w:p>
      <w:pPr>
        <w:spacing w:after="0" w:line="263" w:lineRule="auto"/>
        <w:rPr>
          <w:sz w:val="20"/>
          <w:szCs w:val="20"/>
          <w:color w:val="auto"/>
        </w:rPr>
      </w:pPr>
      <w:r>
        <w:rPr>
          <w:rFonts w:ascii="Arial" w:cs="Arial" w:eastAsia="Arial" w:hAnsi="Arial"/>
          <w:sz w:val="18"/>
          <w:szCs w:val="18"/>
          <w:color w:val="auto"/>
        </w:rPr>
        <w:t>Company a special notice (a “</w:t>
      </w:r>
      <w:r>
        <w:rPr>
          <w:rFonts w:ascii="Arial" w:cs="Arial" w:eastAsia="Arial" w:hAnsi="Arial"/>
          <w:sz w:val="18"/>
          <w:szCs w:val="18"/>
          <w:u w:val="single" w:color="auto"/>
          <w:color w:val="auto"/>
        </w:rPr>
        <w:t>Contingent Notice</w:t>
      </w:r>
      <w:r>
        <w:rPr>
          <w:rFonts w:ascii="Arial" w:cs="Arial" w:eastAsia="Arial" w:hAnsi="Arial"/>
          <w:sz w:val="18"/>
          <w:szCs w:val="18"/>
          <w:color w:val="auto"/>
        </w:rPr>
        <w:t>”) to redeem the Series C Preferred Stock (including any Series C Preferred Stock issued pursuant to a Contingent Investment Notice (as defined in the Agreement) under the Agreement) in whole or in part in connection with such Change of Control; in which case, notwithstanding anything to the contrary herein:</w:t>
      </w:r>
    </w:p>
    <w:p>
      <w:pPr>
        <w:spacing w:after="0" w:line="157" w:lineRule="exact"/>
        <w:rPr>
          <w:sz w:val="20"/>
          <w:szCs w:val="20"/>
          <w:color w:val="auto"/>
        </w:rPr>
      </w:pPr>
    </w:p>
    <w:p>
      <w:pPr>
        <w:ind w:left="300" w:hanging="292"/>
        <w:spacing w:after="0"/>
        <w:tabs>
          <w:tab w:leader="none" w:pos="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effectiveness of such contingent redemption shall be conditional upon the effectiveness of the Change of Control;</w:t>
      </w:r>
    </w:p>
    <w:p>
      <w:pPr>
        <w:spacing w:after="0" w:line="184" w:lineRule="exact"/>
        <w:rPr>
          <w:rFonts w:ascii="Arial" w:cs="Arial" w:eastAsia="Arial" w:hAnsi="Arial"/>
          <w:sz w:val="18"/>
          <w:szCs w:val="18"/>
          <w:color w:val="auto"/>
        </w:rPr>
      </w:pPr>
    </w:p>
    <w:p>
      <w:pPr>
        <w:ind w:left="300" w:hanging="292"/>
        <w:spacing w:after="0"/>
        <w:tabs>
          <w:tab w:leader="none" w:pos="3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until the effective date of such Change of Control, the Holder shall have the right to deliver a notice to withdraw such Contingent Notice; and</w:t>
      </w:r>
    </w:p>
    <w:p>
      <w:pPr>
        <w:spacing w:after="0" w:line="196" w:lineRule="exact"/>
        <w:rPr>
          <w:rFonts w:ascii="Arial" w:cs="Arial" w:eastAsia="Arial" w:hAnsi="Arial"/>
          <w:sz w:val="17"/>
          <w:szCs w:val="17"/>
          <w:color w:val="auto"/>
        </w:rPr>
      </w:pPr>
    </w:p>
    <w:p>
      <w:pPr>
        <w:ind w:left="300" w:hanging="292"/>
        <w:spacing w:after="0"/>
        <w:tabs>
          <w:tab w:leader="none" w:pos="3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if such Contingent Notice shall not have been withdrawn, then on the effective date of such Change of Control, such Holder shall receive the same</w:t>
      </w:r>
    </w:p>
    <w:p>
      <w:pPr>
        <w:spacing w:after="0" w:line="46" w:lineRule="exact"/>
        <w:rPr>
          <w:rFonts w:ascii="Arial" w:cs="Arial" w:eastAsia="Arial" w:hAnsi="Arial"/>
          <w:sz w:val="16"/>
          <w:szCs w:val="16"/>
          <w:color w:val="auto"/>
        </w:rPr>
      </w:pP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consideration, in the form of cash, securities or other assets (the “</w:t>
      </w:r>
      <w:r>
        <w:rPr>
          <w:rFonts w:ascii="Arial" w:cs="Arial" w:eastAsia="Arial" w:hAnsi="Arial"/>
          <w:sz w:val="18"/>
          <w:szCs w:val="18"/>
          <w:u w:val="single" w:color="auto"/>
          <w:color w:val="auto"/>
        </w:rPr>
        <w:t>Acquisition Consideration</w:t>
      </w:r>
      <w:r>
        <w:rPr>
          <w:rFonts w:ascii="Arial" w:cs="Arial" w:eastAsia="Arial" w:hAnsi="Arial"/>
          <w:sz w:val="18"/>
          <w:szCs w:val="18"/>
          <w:color w:val="auto"/>
        </w:rPr>
        <w:t>”) per share of Common Stock and Common Stock Equivalent Junior Preferred Stock issuable to any other holder of shares of Common Stock and Common Stock Equivalent Junior Preferred Stock in connection with such Change of Control based upon the number of shares of Common Stock and Common Stock Equivalent Junior Preferred Stock which the Holder would have held if the Holder had consummated such redemption on the Business Day immediately preceding the date on which such Change of Control occurs.</w:t>
      </w:r>
    </w:p>
    <w:p>
      <w:pPr>
        <w:spacing w:after="0" w:line="164" w:lineRule="exact"/>
        <w:rPr>
          <w:sz w:val="20"/>
          <w:szCs w:val="20"/>
          <w:color w:val="auto"/>
        </w:rPr>
      </w:pPr>
    </w:p>
    <w:p>
      <w:pPr>
        <w:ind w:right="120" w:firstLine="8"/>
        <w:spacing w:after="0" w:line="296" w:lineRule="auto"/>
        <w:tabs>
          <w:tab w:leader="none" w:pos="180"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Status of Converted and Redeemed Shares; Limitations on Series C Preferred Stock</w:t>
      </w:r>
      <w:r>
        <w:rPr>
          <w:rFonts w:ascii="Arial" w:cs="Arial" w:eastAsia="Arial" w:hAnsi="Arial"/>
          <w:sz w:val="16"/>
          <w:szCs w:val="16"/>
          <w:color w:val="auto"/>
        </w:rPr>
        <w:t xml:space="preserve">. The Company shall return to the status of unauthorized and undesignated shares of Preferred Stock each share of Series C Preferred Stock which shall be converted, redeemed or for any other reason acquired by the Company, and such shares thereafter may have such characteristics and designations as the Board may determine (subject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share of Series C Preferred Stock which shall be converted, redeemed or otherwise acquired by the Company shall thereafter be reissued, sold or transferred by the Company as Series C Preferred Stock. The Company will not issue any further shares of Series C Preferred Stock.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0" w:lineRule="exact"/>
        <w:rPr>
          <w:sz w:val="20"/>
          <w:szCs w:val="20"/>
          <w:color w:val="auto"/>
        </w:rPr>
      </w:pPr>
    </w:p>
    <w:p>
      <w:pPr>
        <w:spacing w:after="0" w:line="376" w:lineRule="exact"/>
        <w:rPr>
          <w:sz w:val="20"/>
          <w:szCs w:val="20"/>
          <w:color w:val="auto"/>
        </w:rPr>
      </w:pPr>
    </w:p>
    <w:p>
      <w:pPr>
        <w:ind w:right="200" w:firstLine="8"/>
        <w:spacing w:after="0" w:line="257" w:lineRule="auto"/>
        <w:tabs>
          <w:tab w:leader="none" w:pos="1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Subdivision of Common Stock</w:t>
      </w:r>
      <w:r>
        <w:rPr>
          <w:rFonts w:ascii="Arial" w:cs="Arial" w:eastAsia="Arial" w:hAnsi="Arial"/>
          <w:sz w:val="18"/>
          <w:szCs w:val="18"/>
          <w:color w:val="auto"/>
        </w:rPr>
        <w:t>. Notwithstanding anything herein to the contrary, if the Company at any time subdivides (by any stock split, stock dividend, recapitalization, reorganization, reclassification or otherwise) the shares of Common Stock and/or Common Stock Equivalent Junior Preferred Stock into a greater number of shares, then, after the date of record for effecting each such subdivision, all measurements and references herein related to share prices for such securities will be proportionately decreased and all references to share numbers for such securities herein will be proportionately increased.</w:t>
      </w:r>
    </w:p>
    <w:p>
      <w:pPr>
        <w:spacing w:after="0" w:line="147" w:lineRule="exact"/>
        <w:rPr>
          <w:rFonts w:ascii="Arial" w:cs="Arial" w:eastAsia="Arial" w:hAnsi="Arial"/>
          <w:sz w:val="18"/>
          <w:szCs w:val="18"/>
          <w:color w:val="auto"/>
        </w:rPr>
      </w:pPr>
    </w:p>
    <w:p>
      <w:pPr>
        <w:ind w:firstLine="8"/>
        <w:spacing w:after="0" w:line="270" w:lineRule="auto"/>
        <w:tabs>
          <w:tab w:leader="none" w:pos="18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Nonperformance</w:t>
      </w:r>
      <w:r>
        <w:rPr>
          <w:rFonts w:ascii="Arial" w:cs="Arial" w:eastAsia="Arial" w:hAnsi="Arial"/>
          <w:sz w:val="17"/>
          <w:szCs w:val="17"/>
          <w:color w:val="auto"/>
        </w:rPr>
        <w:t>. If the Company, shall (i) at any time fail to deliver the shares of Common Stock Equivalent Junior Preferred Stock required to be delivered to the Holder pursuant hereto or (ii) at any time after the Company has obtained the approval of the stockholders of the Company to increase the authorized number of shares of Common Stock, fail to deliver the shares of Common Stock or required to be delivered to the Holder pursuant hereto, for any reason other than the failure of any condition precedent to the Company’s obligations hereunder or the failure by the Holder to comply with its obligations hereunder, then the Company shall (without limitation to the Holder’s other remedies at law or in equity): (i) indemnify and hold the Holder harmless against any loss, claim or damage arising from or as a result of such failure by the Company (regardless of whether any of the foregoing results from a third-party claim or otherwise) and (ii) reimburse the Holder for all of its reasonable out-of-pocket expenses (which includes fees and expenses of its counsel) incurred by the Holder in connection herewith and the transactions contemplated herein (regardless of whether any of the foregoing results from a third-party claim or otherwise).</w:t>
      </w:r>
    </w:p>
    <w:p>
      <w:pPr>
        <w:spacing w:after="0" w:line="153" w:lineRule="exact"/>
        <w:rPr>
          <w:rFonts w:ascii="Arial" w:cs="Arial" w:eastAsia="Arial" w:hAnsi="Arial"/>
          <w:sz w:val="17"/>
          <w:szCs w:val="17"/>
          <w:color w:val="auto"/>
        </w:rPr>
      </w:pPr>
    </w:p>
    <w:p>
      <w:pPr>
        <w:ind w:left="280" w:hanging="272"/>
        <w:spacing w:after="0"/>
        <w:tabs>
          <w:tab w:leader="none" w:pos="2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Holder may, in its sole discretion, freely assign, pledge, hypothecate or transfer all shares of Series C Preferred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rest of this page is intentionally left blank.]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70" w:right="339" w:bottom="1440" w:gutter="0" w:footer="0" w:header="0"/>
        </w:sectPr>
      </w:pPr>
    </w:p>
    <w:bookmarkStart w:id="149" w:name="page150"/>
    <w:bookmarkEnd w:id="149"/>
    <w:p>
      <w:pPr>
        <w:spacing w:after="0" w:line="277" w:lineRule="auto"/>
        <w:rPr>
          <w:sz w:val="20"/>
          <w:szCs w:val="20"/>
          <w:color w:val="auto"/>
        </w:rPr>
      </w:pPr>
      <w:r>
        <w:rPr>
          <w:rFonts w:ascii="Arial" w:cs="Arial" w:eastAsia="Arial" w:hAnsi="Arial"/>
          <w:sz w:val="18"/>
          <w:szCs w:val="18"/>
          <w:color w:val="auto"/>
        </w:rPr>
        <w:t>IN WITNESS WHEREOF, this Certificate of Rights and Preferences has been signed on behalf of the Company by its Chief Financial Officer and attested to by its Corporate Secretary, all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UNITED COMMUNITY BANKS, INC.</w:t>
      </w:r>
    </w:p>
    <w:p>
      <w:pPr>
        <w:spacing w:after="0" w:line="33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31750</wp:posOffset>
            </wp:positionV>
            <wp:extent cx="34290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27" w:lineRule="exact"/>
        <w:rPr>
          <w:sz w:val="20"/>
          <w:szCs w:val="20"/>
          <w:color w:val="auto"/>
        </w:rPr>
      </w:pPr>
    </w:p>
    <w:tbl>
      <w:tblPr>
        <w:tblLayout w:type="fixed"/>
        <w:tblInd w:w="4420" w:type="dxa"/>
        <w:tblCellMar>
          <w:top w:w="0" w:type="dxa"/>
          <w:left w:w="0" w:type="dxa"/>
          <w:bottom w:w="0" w:type="dxa"/>
          <w:right w:w="0" w:type="dxa"/>
        </w:tblCellMar>
      </w:tblPr>
      <w:tr>
        <w:trPr>
          <w:trHeight w:val="230"/>
        </w:trPr>
        <w:tc>
          <w:tcPr>
            <w:tcW w:w="1280" w:type="dxa"/>
            <w:vAlign w:val="bottom"/>
          </w:tcPr>
          <w:p>
            <w:pPr>
              <w:ind w:left="20"/>
              <w:spacing w:after="0"/>
              <w:rPr>
                <w:sz w:val="20"/>
                <w:szCs w:val="20"/>
                <w:color w:val="auto"/>
              </w:rPr>
            </w:pPr>
            <w:r>
              <w:rPr>
                <w:rFonts w:ascii="Arial" w:cs="Arial" w:eastAsia="Arial" w:hAnsi="Arial"/>
                <w:sz w:val="18"/>
                <w:szCs w:val="18"/>
                <w:color w:val="auto"/>
              </w:rPr>
              <w:t>Name:</w:t>
            </w:r>
          </w:p>
        </w:tc>
        <w:tc>
          <w:tcPr>
            <w:tcW w:w="4120" w:type="dxa"/>
            <w:vAlign w:val="bottom"/>
          </w:tcPr>
          <w:p>
            <w:pPr>
              <w:ind w:left="140"/>
              <w:spacing w:after="0"/>
              <w:rPr>
                <w:sz w:val="20"/>
                <w:szCs w:val="20"/>
                <w:color w:val="auto"/>
              </w:rPr>
            </w:pPr>
            <w:r>
              <w:rPr>
                <w:rFonts w:ascii="Arial" w:cs="Arial" w:eastAsia="Arial" w:hAnsi="Arial"/>
                <w:sz w:val="18"/>
                <w:szCs w:val="18"/>
                <w:color w:val="auto"/>
              </w:rPr>
              <w:t>Rex S. Schuette</w:t>
            </w:r>
          </w:p>
        </w:tc>
      </w:tr>
      <w:tr>
        <w:trPr>
          <w:trHeight w:val="270"/>
        </w:trPr>
        <w:tc>
          <w:tcPr>
            <w:tcW w:w="1280" w:type="dxa"/>
            <w:vAlign w:val="bottom"/>
          </w:tcPr>
          <w:p>
            <w:pPr>
              <w:ind w:left="20"/>
              <w:spacing w:after="0"/>
              <w:rPr>
                <w:sz w:val="20"/>
                <w:szCs w:val="20"/>
                <w:color w:val="auto"/>
              </w:rPr>
            </w:pPr>
            <w:r>
              <w:rPr>
                <w:rFonts w:ascii="Arial" w:cs="Arial" w:eastAsia="Arial" w:hAnsi="Arial"/>
                <w:sz w:val="18"/>
                <w:szCs w:val="18"/>
                <w:color w:val="auto"/>
              </w:rPr>
              <w:t>Title:</w:t>
            </w:r>
          </w:p>
        </w:tc>
        <w:tc>
          <w:tcPr>
            <w:tcW w:w="41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540"/>
        </w:trPr>
        <w:tc>
          <w:tcPr>
            <w:tcW w:w="1280" w:type="dxa"/>
            <w:vAlign w:val="bottom"/>
          </w:tcPr>
          <w:p>
            <w:pPr>
              <w:ind w:left="20"/>
              <w:spacing w:after="0"/>
              <w:rPr>
                <w:sz w:val="20"/>
                <w:szCs w:val="20"/>
                <w:color w:val="auto"/>
              </w:rPr>
            </w:pPr>
            <w:r>
              <w:rPr>
                <w:rFonts w:ascii="Arial" w:cs="Arial" w:eastAsia="Arial" w:hAnsi="Arial"/>
                <w:sz w:val="18"/>
                <w:szCs w:val="18"/>
                <w:color w:val="auto"/>
              </w:rPr>
              <w:t>/s/ Lori McKay</w:t>
            </w:r>
          </w:p>
        </w:tc>
        <w:tc>
          <w:tcPr>
            <w:tcW w:w="4120" w:type="dxa"/>
            <w:vAlign w:val="bottom"/>
          </w:tcPr>
          <w:p>
            <w:pPr>
              <w:spacing w:after="0"/>
              <w:rPr>
                <w:sz w:val="24"/>
                <w:szCs w:val="24"/>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ind w:left="20"/>
              <w:spacing w:after="0"/>
              <w:rPr>
                <w:sz w:val="20"/>
                <w:szCs w:val="20"/>
                <w:color w:val="auto"/>
              </w:rPr>
            </w:pPr>
            <w:r>
              <w:rPr>
                <w:rFonts w:ascii="Arial" w:cs="Arial" w:eastAsia="Arial" w:hAnsi="Arial"/>
                <w:sz w:val="18"/>
                <w:szCs w:val="18"/>
                <w:color w:val="auto"/>
              </w:rPr>
              <w:t>Name:</w:t>
            </w:r>
          </w:p>
        </w:tc>
        <w:tc>
          <w:tcPr>
            <w:tcW w:w="4120" w:type="dxa"/>
            <w:vAlign w:val="bottom"/>
          </w:tcPr>
          <w:p>
            <w:pPr>
              <w:ind w:left="140"/>
              <w:spacing w:after="0"/>
              <w:rPr>
                <w:sz w:val="20"/>
                <w:szCs w:val="20"/>
                <w:color w:val="auto"/>
              </w:rPr>
            </w:pPr>
            <w:r>
              <w:rPr>
                <w:rFonts w:ascii="Arial" w:cs="Arial" w:eastAsia="Arial" w:hAnsi="Arial"/>
                <w:sz w:val="18"/>
                <w:szCs w:val="18"/>
                <w:color w:val="auto"/>
              </w:rPr>
              <w:t>Lori McKay</w:t>
            </w:r>
          </w:p>
        </w:tc>
      </w:tr>
      <w:tr>
        <w:trPr>
          <w:trHeight w:val="270"/>
        </w:trPr>
        <w:tc>
          <w:tcPr>
            <w:tcW w:w="1280" w:type="dxa"/>
            <w:vAlign w:val="bottom"/>
          </w:tcPr>
          <w:p>
            <w:pPr>
              <w:ind w:left="20"/>
              <w:spacing w:after="0"/>
              <w:rPr>
                <w:sz w:val="20"/>
                <w:szCs w:val="20"/>
                <w:color w:val="auto"/>
              </w:rPr>
            </w:pPr>
            <w:r>
              <w:rPr>
                <w:rFonts w:ascii="Arial" w:cs="Arial" w:eastAsia="Arial" w:hAnsi="Arial"/>
                <w:sz w:val="18"/>
                <w:szCs w:val="18"/>
                <w:color w:val="auto"/>
              </w:rPr>
              <w:t>Title:</w:t>
            </w:r>
          </w:p>
        </w:tc>
        <w:tc>
          <w:tcPr>
            <w:tcW w:w="4120" w:type="dxa"/>
            <w:vAlign w:val="bottom"/>
          </w:tcPr>
          <w:p>
            <w:pPr>
              <w:ind w:left="140"/>
              <w:spacing w:after="0"/>
              <w:rPr>
                <w:sz w:val="20"/>
                <w:szCs w:val="20"/>
                <w:color w:val="auto"/>
              </w:rPr>
            </w:pPr>
            <w:r>
              <w:rPr>
                <w:rFonts w:ascii="Arial" w:cs="Arial" w:eastAsia="Arial" w:hAnsi="Arial"/>
                <w:sz w:val="18"/>
                <w:szCs w:val="18"/>
                <w:color w:val="auto"/>
              </w:rPr>
              <w:t>Corporate Secretary</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Certificate of Rights and Preferences]</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1435" w:right="439" w:bottom="1440" w:gutter="0" w:footer="0" w:header="0"/>
        </w:sectPr>
      </w:pPr>
    </w:p>
    <w:bookmarkStart w:id="150" w:name="page151"/>
    <w:bookmarkEnd w:id="150"/>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DESIGNATION</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EQUIVALENT JUNIOR PREFERRED STOCK</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Section 14-2-602 of the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Georgia Business Corporation Code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United Community Banks, Inc., a corporation organized under the laws of the State of Georgia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 that:</w:t>
      </w:r>
    </w:p>
    <w:p>
      <w:pPr>
        <w:spacing w:after="0" w:line="196" w:lineRule="exact"/>
        <w:rPr>
          <w:sz w:val="20"/>
          <w:szCs w:val="20"/>
          <w:color w:val="auto"/>
        </w:rPr>
      </w:pPr>
    </w:p>
    <w:p>
      <w:pPr>
        <w:ind w:right="100" w:firstLine="453"/>
        <w:spacing w:after="0" w:line="263" w:lineRule="auto"/>
        <w:tabs>
          <w:tab w:leader="none" w:pos="61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At a meeting duly convened and held on March 26, 2010,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duly adopted the following resolutions authorizing the issuance and sale by the Corporation of a series of the Corporation’s preferred stock, $1.00 par value per share, to be known as the Common Stock Equivalent Junior Preferred Stock:</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the powers, preferences, participation and other special rights, qualifications, limitations, restrictions and other designations of the Corporation’s Common Stock Equivalent Junior Preferred Stock, including those established by the Board and the number of authorized shares thereof, are authorized and approved as set forth in the Certificate of Designation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which is incorporated herein and made a part of these resolutions by reference.”</w:t>
      </w:r>
    </w:p>
    <w:p>
      <w:pPr>
        <w:spacing w:after="0" w:line="157" w:lineRule="exact"/>
        <w:rPr>
          <w:sz w:val="20"/>
          <w:szCs w:val="20"/>
          <w:color w:val="auto"/>
        </w:rPr>
      </w:pPr>
    </w:p>
    <w:p>
      <w:pPr>
        <w:ind w:right="580" w:firstLine="8"/>
        <w:spacing w:after="0" w:line="277" w:lineRule="auto"/>
        <w:tabs>
          <w:tab w:leader="none" w:pos="17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Attached hereto, and thereby made a part hereof, is such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from the Board’s resolution designating the Common Stock Equivalent Junior Preferred Stock.</w:t>
      </w:r>
    </w:p>
    <w:p>
      <w:pPr>
        <w:spacing w:after="0" w:line="126" w:lineRule="exact"/>
        <w:rPr>
          <w:sz w:val="20"/>
          <w:szCs w:val="20"/>
          <w:color w:val="auto"/>
        </w:rPr>
      </w:pPr>
    </w:p>
    <w:p>
      <w:pPr>
        <w:ind w:right="220" w:firstLine="44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Designation is executed on behalf of the Corporation by its duly authorized officer this 31st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2010.</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UNITED COMMUNITY BANKS, INC.</w:t>
      </w:r>
    </w:p>
    <w:p>
      <w:pPr>
        <w:spacing w:after="0" w:line="337"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Pr>
          <w:p>
            <w:pPr>
              <w:ind w:left="20"/>
              <w:spacing w:after="0"/>
              <w:rPr>
                <w:sz w:val="20"/>
                <w:szCs w:val="20"/>
                <w:color w:val="auto"/>
              </w:rPr>
            </w:pPr>
            <w:r>
              <w:rPr>
                <w:rFonts w:ascii="Arial" w:cs="Arial" w:eastAsia="Arial" w:hAnsi="Arial"/>
                <w:sz w:val="18"/>
                <w:szCs w:val="18"/>
                <w:color w:val="auto"/>
              </w:rPr>
              <w:t>/s/ Rex S. Schuette</w:t>
            </w:r>
          </w:p>
        </w:tc>
      </w:tr>
      <w:tr>
        <w:trPr>
          <w:trHeight w:val="27"/>
        </w:trPr>
        <w:tc>
          <w:tcPr>
            <w:tcW w:w="16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50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4360" w:type="dxa"/>
            <w:vAlign w:val="bottom"/>
          </w:tcPr>
          <w:p>
            <w:pPr>
              <w:ind w:left="20"/>
              <w:spacing w:after="0"/>
              <w:rPr>
                <w:sz w:val="20"/>
                <w:szCs w:val="20"/>
                <w:color w:val="auto"/>
              </w:rPr>
            </w:pPr>
            <w:r>
              <w:rPr>
                <w:rFonts w:ascii="Arial" w:cs="Arial" w:eastAsia="Arial" w:hAnsi="Arial"/>
                <w:sz w:val="18"/>
                <w:szCs w:val="18"/>
                <w:color w:val="auto"/>
              </w:rPr>
              <w:t>Rex S. Schuette</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Executive Vice President &amp; CFO</w:t>
            </w:r>
          </w:p>
        </w:tc>
      </w:tr>
      <w:tr>
        <w:trPr>
          <w:trHeight w:val="756"/>
        </w:trPr>
        <w:tc>
          <w:tcPr>
            <w:tcW w:w="1600" w:type="dxa"/>
            <w:vAlign w:val="bottom"/>
          </w:tcPr>
          <w:p>
            <w:pPr>
              <w:spacing w:after="0"/>
              <w:rPr>
                <w:sz w:val="24"/>
                <w:szCs w:val="24"/>
                <w:color w:val="auto"/>
              </w:rPr>
            </w:pPr>
          </w:p>
        </w:tc>
        <w:tc>
          <w:tcPr>
            <w:tcW w:w="4360" w:type="dxa"/>
            <w:vAlign w:val="bottom"/>
          </w:tcPr>
          <w:p>
            <w:pPr>
              <w:ind w:left="4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1200"/>
          </w:cols>
          <w:pgMar w:left="320" w:top="1440" w:right="379" w:bottom="1440" w:gutter="0" w:footer="0" w:header="0"/>
        </w:sectPr>
      </w:pPr>
    </w:p>
    <w:bookmarkStart w:id="151" w:name="page152"/>
    <w:bookmarkEnd w:id="151"/>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EQUIVALENT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JUNIOR PREFERRED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Pursuant to the authority vested in the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by the Restated Articles of Incorporation of United Community Banks,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as amended (the “</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the Board does hereby designate, create, authorize and provide for the issue of a series of preferred stock, $1.00 par value per share, which shall be designated as “Common Stock Equivalent Junior Preferred Stock” (the “</w:t>
      </w:r>
      <w:r>
        <w:rPr>
          <w:rFonts w:ascii="Arial" w:cs="Arial" w:eastAsia="Arial" w:hAnsi="Arial"/>
          <w:sz w:val="18"/>
          <w:szCs w:val="18"/>
          <w:u w:val="single" w:color="auto"/>
          <w:color w:val="auto"/>
        </w:rPr>
        <w:t>Junior Preferred Stock</w:t>
      </w:r>
      <w:r>
        <w:rPr>
          <w:rFonts w:ascii="Arial" w:cs="Arial" w:eastAsia="Arial" w:hAnsi="Arial"/>
          <w:sz w:val="18"/>
          <w:szCs w:val="18"/>
          <w:color w:val="auto"/>
        </w:rPr>
        <w:t>”), consisting of 1,000,000 shares having the following powers, preferences, participation and other special rights, qualifications, limitations, restrictions and other designations: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Definitions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has the meaning specified in Section VI(c).</w:t>
      </w:r>
    </w:p>
    <w:p>
      <w:pPr>
        <w:spacing w:after="0" w:line="19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Conversion Rate</w:t>
      </w:r>
      <w:r>
        <w:rPr>
          <w:rFonts w:ascii="Arial" w:cs="Arial" w:eastAsia="Arial" w:hAnsi="Arial"/>
          <w:sz w:val="18"/>
          <w:szCs w:val="18"/>
          <w:color w:val="auto"/>
        </w:rPr>
        <w:t>” means the Initial Conversion Rate, subject to adjustment pursuant to Section II(b), as applicable, for any such event occurring subsequent to the initial determination of such rate.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has the meaning specified in the preamble.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has the meaning specified in the preamble.</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Capacity Amendment</w:t>
      </w:r>
      <w:r>
        <w:rPr>
          <w:rFonts w:ascii="Arial" w:cs="Arial" w:eastAsia="Arial" w:hAnsi="Arial"/>
          <w:sz w:val="18"/>
          <w:szCs w:val="18"/>
          <w:color w:val="auto"/>
        </w:rPr>
        <w:t>” means an amendment to the Articles of Incorporation increasing the number of shares of Common Stock that the Corporation is authorized to issue to more than 100,000,000.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specified in Section VI(b).</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Dividend Equivalent Amount</w:t>
      </w:r>
      <w:r>
        <w:rPr>
          <w:rFonts w:ascii="Arial" w:cs="Arial" w:eastAsia="Arial" w:hAnsi="Arial"/>
          <w:sz w:val="18"/>
          <w:szCs w:val="18"/>
          <w:color w:val="auto"/>
        </w:rPr>
        <w:t>” has the meaning specified in Section III(a).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$1.00 par value per share, of the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means, with respect to a share of Junior Preferred Stock, the date on which such share is converted into Common Stock.</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Holder</w:t>
      </w:r>
      <w:r>
        <w:rPr>
          <w:rFonts w:ascii="Arial" w:cs="Arial" w:eastAsia="Arial" w:hAnsi="Arial"/>
          <w:sz w:val="18"/>
          <w:szCs w:val="18"/>
          <w:color w:val="auto"/>
        </w:rPr>
        <w:t>” means a Holder, other than the initial Holder or an affiliate thereof, who acquires one or more shares of Junior Preferred Stock following a Permitted Transfer.</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shall mean the notice given by a Convertible Holder to the Corporation, specifying the number of shares of Junior Preferred Stock to be converted into Common Stock and certifying that such Person is a Convertible Holder.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specified in the preamble.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Property</w:t>
      </w:r>
      <w:r>
        <w:rPr>
          <w:rFonts w:ascii="Arial" w:cs="Arial" w:eastAsia="Arial" w:hAnsi="Arial"/>
          <w:sz w:val="18"/>
          <w:szCs w:val="18"/>
          <w:color w:val="auto"/>
        </w:rPr>
        <w:t>” has the meaning specified in Section VI(a).</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any shares of Junior Preferred Stock are registered, which may be treated by the Corporation as the absolute owner of such shares for all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Conversion Rate</w:t>
      </w:r>
      <w:r>
        <w:rPr>
          <w:rFonts w:ascii="Arial" w:cs="Arial" w:eastAsia="Arial" w:hAnsi="Arial"/>
          <w:sz w:val="18"/>
          <w:szCs w:val="18"/>
          <w:color w:val="auto"/>
        </w:rPr>
        <w:t>” means, for each share of Junior Preferred Stock, one hundred (100) shares of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the date that the Junior Preferred Stock is first issued.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Preferred Stock</w:t>
      </w:r>
      <w:r>
        <w:rPr>
          <w:rFonts w:ascii="Arial" w:cs="Arial" w:eastAsia="Arial" w:hAnsi="Arial"/>
          <w:sz w:val="18"/>
          <w:szCs w:val="18"/>
          <w:color w:val="auto"/>
        </w:rPr>
        <w:t>” has the meaning specified in the preamble.</w:t>
      </w:r>
    </w:p>
    <w:p>
      <w:pPr>
        <w:spacing w:after="0" w:line="18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shall mean any class of capital stock or series of Preferred Stock of the Corporation established by the Board after the Issue Date, the terms of which do not expressly provide that such class or series ranks senior to or on parity with the Junior Preferred Stock as to dividend rights or rights upon the liquidation, winding-up or dissolution of the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Event</w:t>
      </w:r>
      <w:r>
        <w:rPr>
          <w:rFonts w:ascii="Arial" w:cs="Arial" w:eastAsia="Arial" w:hAnsi="Arial"/>
          <w:sz w:val="18"/>
          <w:szCs w:val="18"/>
          <w:color w:val="auto"/>
        </w:rPr>
        <w:t>” has the meaning specified in Section V(a).</w:t>
      </w:r>
    </w:p>
    <w:p>
      <w:pPr>
        <w:spacing w:after="0" w:line="19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shall mean any class of capital stock or series of Preferred Stock established by the Board after the Issue Date, the terms of which expressly provide that such class or series will rank on parity with the Junior Preferred Stock as to dividend rights or rights upon the liquidation, winding-up or dissolution of the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Transfer</w:t>
      </w:r>
      <w:r>
        <w:rPr>
          <w:rFonts w:ascii="Arial" w:cs="Arial" w:eastAsia="Arial" w:hAnsi="Arial"/>
          <w:sz w:val="17"/>
          <w:szCs w:val="17"/>
          <w:color w:val="auto"/>
        </w:rPr>
        <w:t>” means a sale or other transfer (i) to an affiliate of the initial Holder or to the Corporation; (ii) in a widespread public distribution;</w:t>
      </w:r>
    </w:p>
    <w:p>
      <w:pPr>
        <w:spacing w:after="0" w:line="35" w:lineRule="exact"/>
        <w:rPr>
          <w:sz w:val="20"/>
          <w:szCs w:val="20"/>
          <w:color w:val="auto"/>
        </w:rPr>
      </w:pPr>
    </w:p>
    <w:p>
      <w:pPr>
        <w:ind w:right="140" w:firstLine="8"/>
        <w:spacing w:after="0" w:line="255" w:lineRule="auto"/>
        <w:tabs>
          <w:tab w:leader="none" w:pos="31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transfer in which no transferee (or group of associated transferees) would receive 2 percent or more of any class of voting securities of the Corporation; or (iv) to a transferee that would control more than 50 percent of the voting securities of the Corporation without any transfer from the initial Holder.</w:t>
      </w:r>
    </w:p>
    <w:p>
      <w:pPr>
        <w:spacing w:after="0" w:line="1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means, with respect to any dividend, distribution or other transaction or event in which the holders of the Common Stock (or other applicable security) have the right to receive any cash, securities or other property or in which the Common Stock (or other applicable security) is exchanged for or converted into any combination of cash, securities or other property, the date fixed for determination of holders of the Common Stock (or other applicable security) entitled to receive such cash, securities or other property (whether such date is fixed by the Board or a duly authorized committee of the Board or by statute, contract or otherwise).</w:t>
      </w:r>
    </w:p>
    <w:p>
      <w:pPr>
        <w:spacing w:after="0" w:line="14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Stock</w:t>
      </w:r>
      <w:r>
        <w:rPr>
          <w:rFonts w:ascii="Arial" w:cs="Arial" w:eastAsia="Arial" w:hAnsi="Arial"/>
          <w:sz w:val="18"/>
          <w:szCs w:val="18"/>
          <w:color w:val="auto"/>
        </w:rPr>
        <w:t>” shall mean each class of capital stock or series of Preferred Stock established by the Board after the Issue Date, the terms of which expressly provide that such class or series will rank senior to the Junior Preferred Stock as to dividend rights or rights upon the liquidation, winding-up or dissolution of the Corporation.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means the requisite approval by the stockholders of the Corporation of the Capacity Amendment.</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shall mean the Corporation’s duly appointed transfer agent, registrar, redemption, conversion and dividend disbursing agent for the Junior Preferred Stock and transfer agent and registrar for any Common Stock issued upon conversion of the Junior Preferred Stock, or any successor duly appointed by the Corporation.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Conversion</w:t>
      </w:r>
    </w:p>
    <w:p>
      <w:pPr>
        <w:spacing w:after="0" w:line="189" w:lineRule="exact"/>
        <w:rPr>
          <w:sz w:val="20"/>
          <w:szCs w:val="20"/>
          <w:color w:val="auto"/>
        </w:rPr>
      </w:pPr>
    </w:p>
    <w:p>
      <w:pPr>
        <w:jc w:val="both"/>
        <w:ind w:firstLine="453"/>
        <w:spacing w:after="0" w:line="296" w:lineRule="auto"/>
        <w:tabs>
          <w:tab w:leader="none" w:pos="69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 share of Junior Preferred Stock (or fraction thereof) may be converted into Common Stock unless held by a Convertible Holder. Each share of Junior Preferred Stock (or fraction thereof) held by a Convertible Holder shall be convertible at any time following the Stockholder Approval into a number of shares of Common Stock equal to the product of (i) the fraction of a share of Junior Preferred Stock converted and (ii) the Applicable Conversion Rate in effect on the Conversion Date, plus cash in lieu of any fractional shares of Common Stock pursuant to Section II(c)(iv). For all purposes with respect to the conversion of Junior Preferred Stock, references herein to “Common Stock” shall include and mean any cash, securities or</w:t>
      </w:r>
    </w:p>
    <w:p>
      <w:pPr>
        <w:sectPr>
          <w:pgSz w:w="11900" w:h="16838" w:orient="portrait"/>
          <w:cols w:equalWidth="0" w:num="1">
            <w:col w:w="11240"/>
          </w:cols>
          <w:pgMar w:left="320" w:top="1313" w:right="339" w:bottom="1440" w:gutter="0" w:footer="0" w:header="0"/>
        </w:sectPr>
      </w:pPr>
    </w:p>
    <w:bookmarkStart w:id="153" w:name="page154"/>
    <w:bookmarkEnd w:id="153"/>
    <w:p>
      <w:pPr>
        <w:ind w:right="100"/>
        <w:spacing w:after="0" w:line="277" w:lineRule="auto"/>
        <w:rPr>
          <w:sz w:val="20"/>
          <w:szCs w:val="20"/>
          <w:color w:val="auto"/>
        </w:rPr>
      </w:pPr>
      <w:r>
        <w:rPr>
          <w:rFonts w:ascii="Arial" w:cs="Arial" w:eastAsia="Arial" w:hAnsi="Arial"/>
          <w:sz w:val="18"/>
          <w:szCs w:val="18"/>
          <w:color w:val="auto"/>
        </w:rPr>
        <w:t>other property (including payments of cash in lieu of fractional shares of Common Stock) that may be due upon such conversion and references to “Junior Preferred Stock” shall include and mean any fractional shares thereof.</w:t>
      </w:r>
    </w:p>
    <w:p>
      <w:pPr>
        <w:spacing w:after="0" w:line="143" w:lineRule="exact"/>
        <w:rPr>
          <w:sz w:val="20"/>
          <w:szCs w:val="20"/>
          <w:color w:val="auto"/>
        </w:rPr>
      </w:pPr>
    </w:p>
    <w:p>
      <w:pPr>
        <w:ind w:firstLine="453"/>
        <w:spacing w:after="0" w:line="288" w:lineRule="auto"/>
        <w:tabs>
          <w:tab w:leader="none" w:pos="69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Adjustments to Conversion Rate. If, at any time while Junior Preferred Stock remains outstanding, (i) the Corporation issues to holders of the Common Stock as a class shares of Common Stock or other securities of the Corporation as a dividend or distribution on the Common Stock, or (ii) the Corporation effects a share split or share combination of the Common Stock, (each, an “</w:t>
      </w:r>
      <w:r>
        <w:rPr>
          <w:rFonts w:ascii="Arial" w:cs="Arial" w:eastAsia="Arial" w:hAnsi="Arial"/>
          <w:sz w:val="16"/>
          <w:szCs w:val="16"/>
          <w:u w:val="single" w:color="auto"/>
          <w:color w:val="auto"/>
        </w:rPr>
        <w:t>Adjustment Event</w:t>
      </w:r>
      <w:r>
        <w:rPr>
          <w:rFonts w:ascii="Arial" w:cs="Arial" w:eastAsia="Arial" w:hAnsi="Arial"/>
          <w:sz w:val="16"/>
          <w:szCs w:val="16"/>
          <w:color w:val="auto"/>
        </w:rPr>
        <w:t>”), then the Corporation shall adjust the Initial Conversion Rate or Applicable Conversion Rate, as applicable, or other terms of the Junior Preferred Stock in effect immediately prior to such event so that each Holder of shares of Junior Preferred Stock thereafter surrendered for conversion shall be entitled to receive the number of shares of Common Stock that such Holder would have owned or would have been entitled to receive upon or by reason of any of the events described above, had such shares of the Junior Preferred Stock been converted into shares of Common Stock immediately prior to the occurrence of such event. An adjustment made pursuant to this Section II(b) shall become effective retroactively (x) in the case of any such dividend or distribution, to the day immediately following the close of business on the Record Date for the determination of holders of Common Stock entitled to receive such dividend or distribution or (y) in the case of any such subdivision, split, combination or reclassification, to the close of business on the day upon which such corporate action becomes effective.</w:t>
      </w:r>
    </w:p>
    <w:p>
      <w:pPr>
        <w:spacing w:after="0" w:line="127" w:lineRule="exact"/>
        <w:rPr>
          <w:rFonts w:ascii="Arial" w:cs="Arial" w:eastAsia="Arial" w:hAnsi="Arial"/>
          <w:sz w:val="16"/>
          <w:szCs w:val="16"/>
          <w:color w:val="auto"/>
        </w:rPr>
      </w:pPr>
    </w:p>
    <w:p>
      <w:pPr>
        <w:ind w:left="700" w:hanging="247"/>
        <w:spacing w:after="0"/>
        <w:tabs>
          <w:tab w:leader="none" w:pos="7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Shares of Junior Preferred Stock shall be converted into shares of Common Stock in accordance with the following procedures:</w:t>
      </w:r>
    </w:p>
    <w:p>
      <w:pPr>
        <w:spacing w:after="0" w:line="185" w:lineRule="exact"/>
        <w:rPr>
          <w:sz w:val="20"/>
          <w:szCs w:val="20"/>
          <w:color w:val="auto"/>
        </w:rPr>
      </w:pPr>
    </w:p>
    <w:p>
      <w:pPr>
        <w:ind w:right="40" w:firstLine="453"/>
        <w:spacing w:after="0" w:line="301" w:lineRule="auto"/>
        <w:tabs>
          <w:tab w:leader="none" w:pos="65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At all times after the Stockholder Approval, a Convertible Holder may exercise a conversion right by the delivery of a Conversion Notice to the office of the Transfer Agent during normal business hours and (if so required by the Corporation or the Transfer Agent) an instrument of transfer, in form satisfactory to the Corporation and to the Transfer Agent, duly executed by such Convertible Holder or his duly authorized attorney, and funds in the amount of any applicable transfer tax (unless provision satisfactory to the Corporation is otherwise made therefor), if required pursuant to Section II(c)(iii).</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376" w:lineRule="exact"/>
        <w:rPr>
          <w:sz w:val="20"/>
          <w:szCs w:val="20"/>
          <w:color w:val="auto"/>
        </w:rPr>
      </w:pPr>
    </w:p>
    <w:p>
      <w:pPr>
        <w:ind w:right="20" w:firstLine="453"/>
        <w:spacing w:after="0" w:line="288" w:lineRule="auto"/>
        <w:tabs>
          <w:tab w:leader="none" w:pos="70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As promptly as practicable after the delivery of a Conversion Notice and the payment in cash of any amount required by the provisions of Sections 2(c)(i) and 2(c)(iii), the Corporation will deliver or cause to be delivered at the office of the Transfer Agent to or upon the written order of the Convertible Holder, certificates or a confirmation of book-entry transfer of shares representing the number of fully paid and non-assessable shares of Common Stock issuable upon such conversion, issued in such name or names as the Convertible Holder may direct. Such conversion shall be deemed to have been made immediately prior to the close of business on the date of the delivery of the Conversion Notice, and all rights of the Convertible Holder shall cease with respect to such shares of Junior Preferred Stock at such time and the Person or Persons in whose name or names the shares of Common Stock issued upon conversion are to be issued shall be treated for all purposes as having become the record holder or holders of such shares of Common Stock at such time; provided, however, that any delivery of a Conversion Notice and payment on any date when the stock transfer books of the Corporation shall be closed shall constitute the Person or Persons in whose name or names the shares of Common Stock are to be issued as the record holder or holders thereof for all purposes immediately prior to the close of business on the next succeeding day on which such stock transfer books are open.</w:t>
      </w:r>
    </w:p>
    <w:p>
      <w:pPr>
        <w:spacing w:after="0" w:line="127" w:lineRule="exact"/>
        <w:rPr>
          <w:rFonts w:ascii="Arial" w:cs="Arial" w:eastAsia="Arial" w:hAnsi="Arial"/>
          <w:sz w:val="16"/>
          <w:szCs w:val="16"/>
          <w:color w:val="auto"/>
        </w:rPr>
      </w:pPr>
    </w:p>
    <w:p>
      <w:pPr>
        <w:ind w:right="220" w:firstLine="453"/>
        <w:spacing w:after="0" w:line="257" w:lineRule="auto"/>
        <w:tabs>
          <w:tab w:leader="none" w:pos="75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issuance of shares of Common Stock upon conversion of shares of Junior Preferred Stock shall be made without charge for any stamp or other similar tax in respect of such issuance. However, if any such shares to be issued upon conversion are to be issued in a name other than that of the Holder of the share or shares of Junior Preferred Stock converted, the person or persons requesting the issuance thereof shall pay to the Corporation the amount of any tax which may be payable in respect of any transfer involved in such issuance, or shall establish to the satisfaction of the Corporation that such tax has been paid.</w:t>
      </w:r>
    </w:p>
    <w:p>
      <w:pPr>
        <w:spacing w:after="0" w:line="147" w:lineRule="exact"/>
        <w:rPr>
          <w:rFonts w:ascii="Arial" w:cs="Arial" w:eastAsia="Arial" w:hAnsi="Arial"/>
          <w:sz w:val="18"/>
          <w:szCs w:val="18"/>
          <w:color w:val="auto"/>
        </w:rPr>
      </w:pPr>
    </w:p>
    <w:p>
      <w:pPr>
        <w:ind w:firstLine="453"/>
        <w:spacing w:after="0" w:line="271" w:lineRule="auto"/>
        <w:tabs>
          <w:tab w:leader="none" w:pos="75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No fractional shares of Common Stock or scrip shall be issued upon conversion of shares of Junior Preferred Stock. If more than one share of Junior Preferred Stock shall be surrendered for conversion at any one time by the same Holder, the number of full shares of Common Stock issuable upon conversion thereof shall be computed on the basis of the aggregate number of shares of Junior Preferred Stock so surrendered. Instead of any fractional shares of Common Stock that would otherwise be issuable upon conversion of any shares of Junior Preferred Stock, the Corporation shall pay to the Holder an amount in cash in respect of such fractional interest equal to the value of such fractional interest based on the closing sales price of the Common Stock on such national securities exchange or automated quotation system on which the Common Stock is then listed or authorized for quotation or, if the Common Stock is not so listed or authorized for quotation, an amount determined in good faith by the Board to be the fair value of the Common Stock at the close of business on the business day immediately preceding the applicable Conversion Date.</w:t>
      </w:r>
    </w:p>
    <w:p>
      <w:pPr>
        <w:sectPr>
          <w:pgSz w:w="11900" w:h="16838" w:orient="portrait"/>
          <w:cols w:equalWidth="0" w:num="1">
            <w:col w:w="11220"/>
          </w:cols>
          <w:pgMar w:left="320" w:top="1070" w:right="359" w:bottom="1440" w:gutter="0" w:footer="0" w:header="0"/>
        </w:sectPr>
      </w:pPr>
    </w:p>
    <w:bookmarkStart w:id="154" w:name="page155"/>
    <w:bookmarkEnd w:id="154"/>
    <w:p>
      <w:pPr>
        <w:ind w:right="80" w:firstLine="453"/>
        <w:spacing w:after="0" w:line="257" w:lineRule="auto"/>
        <w:tabs>
          <w:tab w:leader="none" w:pos="69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At all times after the Stockholder Approval, the Corporation shall be required to reserve or keep available, out of its authorized but unissued Common Stock, or have sufficient authorized Common Stock to cover, the shares of Common Stock deliverable upon the conversion of the Junior Preferred Stock The Corporation shall take all action necessary so that all shares of Common Stock that may be issued upon conversion of shares of Junior Preferred Stock will upon issue be validly issued, fully paid and nonassessable, and free from all liens and charges in respect of the issuance or delivery thereof.</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376" w:lineRule="exact"/>
        <w:rPr>
          <w:sz w:val="20"/>
          <w:szCs w:val="20"/>
          <w:color w:val="auto"/>
        </w:rPr>
      </w:pPr>
    </w:p>
    <w:p>
      <w:pPr>
        <w:ind w:right="80" w:firstLine="453"/>
        <w:spacing w:after="0" w:line="259" w:lineRule="auto"/>
        <w:tabs>
          <w:tab w:leader="none" w:pos="7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From and after a Conversion Date, dividends hereunder shall no longer accrue with respect to shares of Junior Preferred Stock converted on such date, and such converted shares of Junior Preferred Stock shall cease to be outstanding, subject to the rights of Holders of such Junior Preferred Stock to receive any previously accrued and unpaid dividends on such shares and any other payments to which they are otherwise entitled pursuant to Section III or Section VI.</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Dividend Rights</w:t>
      </w:r>
    </w:p>
    <w:p>
      <w:pPr>
        <w:spacing w:after="0" w:line="189" w:lineRule="exact"/>
        <w:rPr>
          <w:sz w:val="20"/>
          <w:szCs w:val="20"/>
          <w:color w:val="auto"/>
        </w:rPr>
      </w:pPr>
    </w:p>
    <w:p>
      <w:pPr>
        <w:ind w:firstLine="453"/>
        <w:spacing w:after="0" w:line="287" w:lineRule="auto"/>
        <w:tabs>
          <w:tab w:leader="none" w:pos="69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From and after the Issue Date, (i) Holders shall be entitled to receive, when, as and if declared by the Board or any duly authorized committee of the Board, but only out of assets legally available therefor, all dividends or other distributions in the form of cash or assets (other than shares of Common Stock) declared and paid or made in respect of the shares of Common Stock, at the same time and on the same terms as holders of Common Stock, in an amount per one-hundredth of a share of Junior Preferred Stock equal to the product of (A) the Applicable Conversion Rate then in effect and (B) any per share dividend or other distribution in the form of cash or assets (other than shares of Common Stock) declared and paid or made in respect of each share of Common Stock (the “</w:t>
      </w:r>
      <w:r>
        <w:rPr>
          <w:rFonts w:ascii="Arial" w:cs="Arial" w:eastAsia="Arial" w:hAnsi="Arial"/>
          <w:sz w:val="16"/>
          <w:szCs w:val="16"/>
          <w:u w:val="single" w:color="auto"/>
          <w:color w:val="auto"/>
        </w:rPr>
        <w:t>Common Equivalent Dividend Amount</w:t>
      </w:r>
      <w:r>
        <w:rPr>
          <w:rFonts w:ascii="Arial" w:cs="Arial" w:eastAsia="Arial" w:hAnsi="Arial"/>
          <w:sz w:val="16"/>
          <w:szCs w:val="16"/>
          <w:color w:val="auto"/>
        </w:rPr>
        <w:t>”), and (ii) no cash dividend or other cash distribution shall be declared and paid or made in respect of Common Stock unless the Board or any duly authorized committee of the Board declares and pays to Holders of the Junior Preferred Stock, at the same time and on the same terms as holders of Common Stock, the Common Equivalent Dividend Amount per one-hundredth of a share of Junior Preferred Stock. Notwithstanding any provision in this Section III(a) to the contrary, Holders of the Junior Preferred Stock shall not be entitled to receive any dividend or other distribution in the form of cash or assets (other than shares of Common Stock) paid or made with respect to the Common Stock after the Issue Date (x) if the Record Date for determination of holders of Common Stock entitled to receive such dividend or distribution occurs prior to the Issue Date, or (y) with respect to shares of Junior Preferred Stock converted on or prior to such Record Date.</w:t>
      </w:r>
    </w:p>
    <w:p>
      <w:pPr>
        <w:spacing w:after="0" w:line="140" w:lineRule="exact"/>
        <w:rPr>
          <w:rFonts w:ascii="Arial" w:cs="Arial" w:eastAsia="Arial" w:hAnsi="Arial"/>
          <w:sz w:val="16"/>
          <w:szCs w:val="16"/>
          <w:color w:val="auto"/>
        </w:rPr>
      </w:pPr>
    </w:p>
    <w:p>
      <w:pPr>
        <w:ind w:right="100" w:firstLine="453"/>
        <w:spacing w:after="0" w:line="263" w:lineRule="auto"/>
        <w:tabs>
          <w:tab w:leader="none" w:pos="7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dividend or other distribution pursuant to Section III(a) above will be payable to Holders of record of Junior Preferred Stock as they appear in the records of the Corporation at the close of business on the Record Date for the corresponding dividend or distribution to the holders of shares of Common Stock.</w:t>
      </w:r>
    </w:p>
    <w:p>
      <w:pPr>
        <w:spacing w:after="0" w:line="143" w:lineRule="exact"/>
        <w:rPr>
          <w:rFonts w:ascii="Arial" w:cs="Arial" w:eastAsia="Arial" w:hAnsi="Arial"/>
          <w:sz w:val="18"/>
          <w:szCs w:val="18"/>
          <w:color w:val="auto"/>
        </w:rPr>
      </w:pPr>
    </w:p>
    <w:p>
      <w:pPr>
        <w:ind w:right="100" w:firstLine="453"/>
        <w:spacing w:after="0" w:line="296" w:lineRule="auto"/>
        <w:tabs>
          <w:tab w:leader="none" w:pos="68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To the extent the Corporation declares dividends on the Junior Preferred Stock and Common Stock but does not make full payment of such declared dividends, the Corporation will allocate the dividend payments on a pro rata basis among the holders of shares of Junior Preferred Stock and the holders of Common Stock so that the amount of dividends actually paid per share on the Junior Preferred Stock and Common Stock shall in all cases bear to each other the same ratio as the then Applicable Conversion Rate. The foregoing right shall not be cumulative and shall not in any way create any claim or right in favor of Holders in the event that dividends have not been declared or paid in respect of any prior calendar quarter.</w:t>
      </w:r>
    </w:p>
    <w:p>
      <w:pPr>
        <w:spacing w:after="0" w:line="120" w:lineRule="exact"/>
        <w:rPr>
          <w:rFonts w:ascii="Arial" w:cs="Arial" w:eastAsia="Arial" w:hAnsi="Arial"/>
          <w:sz w:val="16"/>
          <w:szCs w:val="16"/>
          <w:color w:val="auto"/>
        </w:rPr>
      </w:pPr>
    </w:p>
    <w:p>
      <w:pPr>
        <w:ind w:right="420" w:firstLine="453"/>
        <w:spacing w:after="0" w:line="263" w:lineRule="auto"/>
        <w:tabs>
          <w:tab w:leader="none" w:pos="7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Holders of Junior Preferred Stock shall not be entitled to any dividends, whether payable in cash, securities or other property, on the Junior Preferred Stock other than dividends (if any) declared and payable on Junior Preferred Stock as specified in this Section III and dividends of Common Stock or other securities of the Corporation pursuant to Section II(b).</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376" w:lineRule="exact"/>
        <w:rPr>
          <w:sz w:val="20"/>
          <w:szCs w:val="20"/>
          <w:color w:val="auto"/>
        </w:rPr>
      </w:pPr>
    </w:p>
    <w:p>
      <w:pPr>
        <w:jc w:val="both"/>
        <w:ind w:right="60" w:firstLine="453"/>
        <w:spacing w:after="0" w:line="259" w:lineRule="auto"/>
        <w:tabs>
          <w:tab w:leader="none" w:pos="69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Notwithstanding any provision in this Certificate of Designation to the contrary, Holders of Junior Preferred Stock shall not be entitled to receive any dividends with respect to any such shares converted into Common Stock, except to the extent that any such dividends have been declared by the Board or any duly authorized committee of the Board (and the Record Date for such dividend occurs) after the Issue Date and prior to the applicable Conversion Date of such shares.</w:t>
      </w:r>
    </w:p>
    <w:p>
      <w:pPr>
        <w:sectPr>
          <w:pgSz w:w="11900" w:h="16838" w:orient="portrait"/>
          <w:cols w:equalWidth="0" w:num="1">
            <w:col w:w="11240"/>
          </w:cols>
          <w:pgMar w:left="320" w:top="1070"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Section IV. Voting</w:t>
      </w:r>
    </w:p>
    <w:p>
      <w:pPr>
        <w:spacing w:after="0" w:line="202" w:lineRule="exact"/>
        <w:rPr>
          <w:sz w:val="20"/>
          <w:szCs w:val="20"/>
          <w:color w:val="auto"/>
        </w:rPr>
      </w:pPr>
    </w:p>
    <w:p>
      <w:pPr>
        <w:ind w:firstLine="453"/>
        <w:spacing w:after="0" w:line="263" w:lineRule="auto"/>
        <w:tabs>
          <w:tab w:leader="none" w:pos="69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Shares of Junior Preferred Stock shall have no voting rights except as set forth in Section IV(b) or as otherwise required by Georgia law from time to time. In exercising the voting rights set forth in Section IV(b), each Holder shall be entitled to one vote for each share of Junior Preferred Stock held by such Holder.</w:t>
      </w:r>
    </w:p>
    <w:p>
      <w:pPr>
        <w:spacing w:after="0" w:line="143" w:lineRule="exact"/>
        <w:rPr>
          <w:rFonts w:ascii="Arial" w:cs="Arial" w:eastAsia="Arial" w:hAnsi="Arial"/>
          <w:sz w:val="18"/>
          <w:szCs w:val="18"/>
          <w:color w:val="auto"/>
        </w:rPr>
      </w:pPr>
    </w:p>
    <w:p>
      <w:pPr>
        <w:ind w:right="200" w:firstLine="453"/>
        <w:spacing w:after="0" w:line="254" w:lineRule="auto"/>
        <w:tabs>
          <w:tab w:leader="none" w:pos="7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So long as any shares of Junior Preferred Stock remain outstanding, unless a greater percentage shall then be required by law, the Corporation shall not, without the affirmative vote or written consent of the Holders (voting or consenting separately as one class) of at least a majority of the outstanding shares of Junior Preferred Stock, amend, alter or repeal or otherwise change (including in connection with any merger, consolidation or other similar transaction) any provision of the Articles of Incorporation, including this Certificate of Designation, if the amendment, authorization or repeal would significantly and adversely affect the rights or preferences of the Junior Preferred Stock. Notwithstanding the foregoing, except as otherwise required by law, the Corporation may, without the consent of any Holder, authorize, increase the authorized amount of, or issue shares of Senior Stock or Parity Stock, and in taking such actions, the Corporation shall not be deemed to have significantly adversely affected the existing terms of the Junior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Liquidation</w:t>
      </w:r>
    </w:p>
    <w:p>
      <w:pPr>
        <w:spacing w:after="0" w:line="202" w:lineRule="exact"/>
        <w:rPr>
          <w:sz w:val="20"/>
          <w:szCs w:val="20"/>
          <w:color w:val="auto"/>
        </w:rPr>
      </w:pPr>
    </w:p>
    <w:p>
      <w:pPr>
        <w:ind w:right="140" w:firstLine="453"/>
        <w:spacing w:after="0" w:line="255" w:lineRule="auto"/>
        <w:tabs>
          <w:tab w:leader="none" w:pos="6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of the affairs of the Corporation, whether voluntary or involuntary, which occurs while any Junior Preferred Stock remains outstanding (each a “</w:t>
      </w:r>
      <w:r>
        <w:rPr>
          <w:rFonts w:ascii="Arial" w:cs="Arial" w:eastAsia="Arial" w:hAnsi="Arial"/>
          <w:sz w:val="18"/>
          <w:szCs w:val="18"/>
          <w:u w:val="single" w:color="auto"/>
          <w:color w:val="auto"/>
        </w:rPr>
        <w:t>Liquidation Event</w:t>
      </w:r>
      <w:r>
        <w:rPr>
          <w:rFonts w:ascii="Arial" w:cs="Arial" w:eastAsia="Arial" w:hAnsi="Arial"/>
          <w:sz w:val="18"/>
          <w:szCs w:val="18"/>
          <w:color w:val="auto"/>
        </w:rPr>
        <w:t>”), Holders of shares of Junior Preferred Stock shall, subject to the prior rights of any holders of Senior Stock, be entitled to receive and be paid out of the assets of the Corporation available for distribution to its stockholders, for each such share (or fraction thereof), a liquidating distribution in an amount equal to that received by holders of the Common Stock for each share of Common Stock into which such share of Junior Preferred Stock (or fraction thereof) was convertible at the Applicable Conversion Rate immediately prior to such Liquidation Event.</w:t>
      </w:r>
    </w:p>
    <w:p>
      <w:pPr>
        <w:spacing w:after="0" w:line="151" w:lineRule="exact"/>
        <w:rPr>
          <w:rFonts w:ascii="Arial" w:cs="Arial" w:eastAsia="Arial" w:hAnsi="Arial"/>
          <w:sz w:val="18"/>
          <w:szCs w:val="18"/>
          <w:color w:val="auto"/>
        </w:rPr>
      </w:pPr>
    </w:p>
    <w:p>
      <w:pPr>
        <w:ind w:firstLine="453"/>
        <w:spacing w:after="0" w:line="279" w:lineRule="auto"/>
        <w:tabs>
          <w:tab w:leader="none" w:pos="7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in any distribution described in Section V(a) above, the assets of the Corporation or proceeds thereof are not sufficient to pay in full the amounts payable with respect to all outstanding shares of Junior Preferred Stock and the corresponding amounts payable with respect to the Common Stock or any other Parity Stock as to such distribution, Holders of Junior Preferred Stock and the holders of Common Stock or any other Parity Stock shall share ratably in any such distribution in proportion to the full respective distributions to which they are entitled.</w:t>
      </w:r>
    </w:p>
    <w:p>
      <w:pPr>
        <w:spacing w:after="0" w:line="130" w:lineRule="exact"/>
        <w:rPr>
          <w:rFonts w:ascii="Arial" w:cs="Arial" w:eastAsia="Arial" w:hAnsi="Arial"/>
          <w:sz w:val="17"/>
          <w:szCs w:val="17"/>
          <w:color w:val="auto"/>
        </w:rPr>
      </w:pPr>
    </w:p>
    <w:p>
      <w:pPr>
        <w:jc w:val="both"/>
        <w:ind w:right="220" w:firstLine="453"/>
        <w:spacing w:after="0" w:line="301" w:lineRule="auto"/>
        <w:tabs>
          <w:tab w:leader="none" w:pos="69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For purposes of this Section V, neither the sale, conveyance, exchange or transfer (for cash, shares of stock, securities or other consideration) of all or substantially all of the property and assets of the Corporation (other than in connection with the voluntary or involuntary liquidation, winding up or dissolution of the Corporation) nor the merger, consolidation or any other business combination transaction of the Corporation into or with any other corporation or Person shall be deemed to be a voluntary or involuntary dissolution, liquidation or winding up of the affairs of the Corporation.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376" w:lineRule="exact"/>
        <w:rPr>
          <w:sz w:val="20"/>
          <w:szCs w:val="20"/>
          <w:color w:val="auto"/>
        </w:rPr>
      </w:pPr>
    </w:p>
    <w:p>
      <w:pPr>
        <w:jc w:val="both"/>
        <w:ind w:right="60" w:firstLine="453"/>
        <w:spacing w:after="0" w:line="279" w:lineRule="auto"/>
        <w:tabs>
          <w:tab w:leader="none" w:pos="7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the event of any voluntary or involuntary liquidation, dissolution or winding up of the Corporation, the Corporation shall, within ten (10) days after the date the Board approves such action, or at least twenty (20) days prior to any stockholder’s meeting called to approve such action, if applicable, or within twenty (20) days after the commencement of any involuntary proceeding, whichever is earlier, give each Holder initial written notice of the proposed action. Such initial written notice shall describe the material terms and conditions of such proposed 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Adjustments for Change of Control</w:t>
      </w:r>
    </w:p>
    <w:p>
      <w:pPr>
        <w:spacing w:after="0" w:line="189" w:lineRule="exact"/>
        <w:rPr>
          <w:sz w:val="20"/>
          <w:szCs w:val="20"/>
          <w:color w:val="auto"/>
        </w:rPr>
      </w:pPr>
    </w:p>
    <w:p>
      <w:pPr>
        <w:ind w:right="60" w:firstLine="453"/>
        <w:spacing w:after="0" w:line="271" w:lineRule="auto"/>
        <w:tabs>
          <w:tab w:leader="none" w:pos="69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Upon the occurrence of a Change of Control (as defined herein) while any shares of Junior Preferred Stock remain outstanding, each share of Junior Preferred Stock (or fraction thereof) outstanding immediately prior to such Change of Control shall, without the consent of Holders, become convertible into the types and amounts of securities, cash, and other property that is or was receivable in such Change of Control by a holder of the number of shares of Common Stock into which such share of Junior Preferred Stock (or fraction thereof) was convertible immediately prior to such Change of Control (such securities, cash, and other property, the “</w:t>
      </w:r>
      <w:r>
        <w:rPr>
          <w:rFonts w:ascii="Arial" w:cs="Arial" w:eastAsia="Arial" w:hAnsi="Arial"/>
          <w:sz w:val="17"/>
          <w:szCs w:val="17"/>
          <w:u w:val="single" w:color="auto"/>
          <w:color w:val="auto"/>
        </w:rPr>
        <w:t>Exchange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receipt of the Exchange Property would cause the Holder to the Holder to acquire control of a bank, as “control” is defined in Section 2(a)(2) of the Bank Holding Company Act of 1956, as amended, and the implementing regulations of the Board of Governors of the Federal Reserve System, require the Holder to file a Change in Bank Control Act notice or require the Holder to make any similar regulatory filing, proper provision</w:t>
      </w:r>
    </w:p>
    <w:p>
      <w:pPr>
        <w:sectPr>
          <w:pgSz w:w="11900" w:h="16838" w:orient="portrait"/>
          <w:cols w:equalWidth="0" w:num="1">
            <w:col w:w="11240"/>
          </w:cols>
          <w:pgMar w:left="320" w:top="1066" w:right="339" w:bottom="1440" w:gutter="0" w:footer="0" w:header="0"/>
        </w:sectPr>
      </w:pPr>
    </w:p>
    <w:bookmarkStart w:id="156" w:name="page157"/>
    <w:bookmarkEnd w:id="156"/>
    <w:p>
      <w:pPr>
        <w:ind w:right="380"/>
        <w:spacing w:after="0" w:line="277" w:lineRule="auto"/>
        <w:rPr>
          <w:sz w:val="20"/>
          <w:szCs w:val="20"/>
          <w:color w:val="auto"/>
        </w:rPr>
      </w:pPr>
      <w:r>
        <w:rPr>
          <w:rFonts w:ascii="Arial" w:cs="Arial" w:eastAsia="Arial" w:hAnsi="Arial"/>
          <w:sz w:val="18"/>
          <w:szCs w:val="18"/>
          <w:color w:val="auto"/>
        </w:rPr>
        <w:t>shall be made for such Holder to receive shares of non-voting securities in lieu of any voting securities included in the Exchange Property, the terms of which non-voting securities shall be as nearly equivalent as practicable to those of the Junior Preferred Stock.</w:t>
      </w:r>
    </w:p>
    <w:p>
      <w:pPr>
        <w:spacing w:after="0" w:line="143" w:lineRule="exact"/>
        <w:rPr>
          <w:sz w:val="20"/>
          <w:szCs w:val="20"/>
          <w:color w:val="auto"/>
        </w:rPr>
      </w:pPr>
    </w:p>
    <w:p>
      <w:pPr>
        <w:ind w:left="700" w:hanging="247"/>
        <w:spacing w:after="0"/>
        <w:tabs>
          <w:tab w:leader="none" w:pos="7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w:t>
      </w:r>
    </w:p>
    <w:p>
      <w:pPr>
        <w:spacing w:after="0" w:line="184" w:lineRule="exact"/>
        <w:rPr>
          <w:rFonts w:ascii="Arial" w:cs="Arial" w:eastAsia="Arial" w:hAnsi="Arial"/>
          <w:sz w:val="18"/>
          <w:szCs w:val="18"/>
          <w:color w:val="auto"/>
        </w:rPr>
      </w:pPr>
    </w:p>
    <w:p>
      <w:pPr>
        <w:ind w:right="120" w:firstLine="899"/>
        <w:spacing w:after="0" w:line="311" w:lineRule="auto"/>
        <w:tabs>
          <w:tab w:leader="none" w:pos="1106"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an acquisition of more than fifty percent (50%) of the equity securities of the Corporation (measured by vote or value) by means of merger or other form of corporate reorganization in which outstanding shares of the Corporation are exchanged for securities or other consideration issued, or caused to be issued, by the Acquiring Person (as defined below) or its Parent, Subsidiary or Affiliate (each as defined in Rule 12b-2 of the Exchange Act);</w:t>
      </w:r>
    </w:p>
    <w:p>
      <w:pPr>
        <w:spacing w:after="0" w:line="108" w:lineRule="exact"/>
        <w:rPr>
          <w:rFonts w:ascii="Arial" w:cs="Arial" w:eastAsia="Arial" w:hAnsi="Arial"/>
          <w:sz w:val="16"/>
          <w:szCs w:val="16"/>
          <w:color w:val="auto"/>
        </w:rPr>
      </w:pPr>
    </w:p>
    <w:p>
      <w:pPr>
        <w:ind w:right="40" w:firstLine="899"/>
        <w:spacing w:after="0" w:line="277" w:lineRule="auto"/>
        <w:tabs>
          <w:tab w:leader="none" w:pos="115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of the assets of the Corporation (on a consolidated basis) in a single transaction or series of related transactions;</w:t>
      </w:r>
    </w:p>
    <w:p>
      <w:pPr>
        <w:spacing w:after="0" w:line="143" w:lineRule="exact"/>
        <w:rPr>
          <w:rFonts w:ascii="Arial" w:cs="Arial" w:eastAsia="Arial" w:hAnsi="Arial"/>
          <w:sz w:val="18"/>
          <w:szCs w:val="18"/>
          <w:color w:val="auto"/>
        </w:rPr>
      </w:pPr>
    </w:p>
    <w:p>
      <w:pPr>
        <w:ind w:right="100" w:firstLine="899"/>
        <w:spacing w:after="0" w:line="263" w:lineRule="auto"/>
        <w:tabs>
          <w:tab w:leader="none" w:pos="1206"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tender offer, exchange offer, stock purchase or other transaction or event or series of related transactions or events by or involving the Corporation in which a single entity or group becomes the direct or indirect owner of more than fifty percent (50%) of the equity securities of the Corporation (measured by vote or value);</w:t>
      </w:r>
    </w:p>
    <w:p>
      <w:pPr>
        <w:spacing w:after="0" w:line="143" w:lineRule="exact"/>
        <w:rPr>
          <w:rFonts w:ascii="Arial" w:cs="Arial" w:eastAsia="Arial" w:hAnsi="Arial"/>
          <w:sz w:val="18"/>
          <w:szCs w:val="18"/>
          <w:color w:val="auto"/>
        </w:rPr>
      </w:pPr>
    </w:p>
    <w:p>
      <w:pPr>
        <w:ind w:left="1200" w:hanging="301"/>
        <w:spacing w:after="0"/>
        <w:tabs>
          <w:tab w:leader="none" w:pos="12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 capital reorganization or reclassification of the Common Stock or other securities.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Notwithstanding anything contained herein to the contrary, a change in the state of incorporation of the Corporation shall not in and of itself constitute a Change of Control.</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376" w:lineRule="exact"/>
        <w:rPr>
          <w:sz w:val="20"/>
          <w:szCs w:val="20"/>
          <w:color w:val="auto"/>
        </w:rPr>
      </w:pPr>
    </w:p>
    <w:p>
      <w:pPr>
        <w:ind w:firstLine="453"/>
        <w:spacing w:after="0" w:line="284" w:lineRule="auto"/>
        <w:tabs>
          <w:tab w:leader="none" w:pos="69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Acquiring Person</w:t>
      </w:r>
      <w:r>
        <w:rPr>
          <w:rFonts w:ascii="Arial" w:cs="Arial" w:eastAsia="Arial" w:hAnsi="Arial"/>
          <w:sz w:val="16"/>
          <w:szCs w:val="16"/>
          <w:color w:val="auto"/>
        </w:rPr>
        <w:t>” means, in connection with any Change of Control any of the following, at the Holder’s election, (i) the continuing or surviving Person of a consolidation or merger with the Corporation (if other than the Corporation), (ii) the transferee of all or substantially all of the properties or assets of the Corporation, (iii) the corporation consolidating with or merging into the Corporation in a consolidation or merger in connection with which the Common Stock is changed into or exchanged for stock or other securities of any other Person or cash or any other property, (iv) the entity or group acting in concert acquiring or possessing the power to cast the majority of the eligible votes at a meeting of the Corporation’s stockholders at which directors are elected, or, (v) in the case of a capital reorganization or reclassification, the Corporation, or (vi) at the Holder’s election, any Person that</w:t>
      </w:r>
    </w:p>
    <w:p>
      <w:pPr>
        <w:spacing w:after="0" w:line="4" w:lineRule="exact"/>
        <w:rPr>
          <w:rFonts w:ascii="Arial" w:cs="Arial" w:eastAsia="Arial" w:hAnsi="Arial"/>
          <w:sz w:val="16"/>
          <w:szCs w:val="16"/>
          <w:color w:val="auto"/>
        </w:rPr>
      </w:pPr>
    </w:p>
    <w:p>
      <w:pPr>
        <w:ind w:right="380" w:firstLine="8"/>
        <w:spacing w:after="0" w:line="253" w:lineRule="auto"/>
        <w:tabs>
          <w:tab w:leader="none" w:pos="255" w:val="left"/>
        </w:tabs>
        <w:numPr>
          <w:ilvl w:val="0"/>
          <w:numId w:val="223"/>
        </w:numPr>
        <w:rPr>
          <w:rFonts w:ascii="Arial" w:cs="Arial" w:eastAsia="Arial" w:hAnsi="Arial"/>
          <w:sz w:val="18"/>
          <w:szCs w:val="18"/>
          <w:color w:val="auto"/>
        </w:rPr>
      </w:pPr>
      <w:r>
        <w:rPr>
          <w:rFonts w:ascii="Arial" w:cs="Arial" w:eastAsia="Arial" w:hAnsi="Arial"/>
          <w:sz w:val="18"/>
          <w:szCs w:val="18"/>
          <w:color w:val="auto"/>
        </w:rPr>
        <w:t>controls the Acquiring Person directly or indirectly through one or more intermediaries, (y) is required to include the Acquiring Person in the consolidated financial statements contained in such Person’s Annual Report on Form 10 K (if such Person is required to file such a report) or would be required to so include the Acquiring Person in such Person’s consolidated financial statements if they were prepared in accordance with U.S. generally accepted accounting principles and (z) is not itself included in the consolidated financial statements of any other Person (other than its consolidated subsidiaries).</w:t>
      </w:r>
    </w:p>
    <w:p>
      <w:pPr>
        <w:spacing w:after="0" w:line="163" w:lineRule="exact"/>
        <w:rPr>
          <w:rFonts w:ascii="Arial" w:cs="Arial" w:eastAsia="Arial" w:hAnsi="Arial"/>
          <w:sz w:val="18"/>
          <w:szCs w:val="18"/>
          <w:color w:val="auto"/>
        </w:rPr>
      </w:pPr>
    </w:p>
    <w:p>
      <w:pPr>
        <w:ind w:right="140" w:firstLine="453"/>
        <w:spacing w:after="0" w:line="277" w:lineRule="auto"/>
        <w:tabs>
          <w:tab w:leader="none" w:pos="7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If holders of shares of Common Stock have the opportunity to elect the form of consideration to be received in a Change of Control, the Holders of Junior Preferred Stock shall be entitled to receive the same election.</w:t>
      </w:r>
    </w:p>
    <w:p>
      <w:pPr>
        <w:spacing w:after="0" w:line="129" w:lineRule="exact"/>
        <w:rPr>
          <w:rFonts w:ascii="Arial" w:cs="Arial" w:eastAsia="Arial" w:hAnsi="Arial"/>
          <w:sz w:val="18"/>
          <w:szCs w:val="18"/>
          <w:color w:val="auto"/>
        </w:rPr>
      </w:pPr>
    </w:p>
    <w:p>
      <w:pPr>
        <w:ind w:firstLine="453"/>
        <w:spacing w:after="0" w:line="286" w:lineRule="auto"/>
        <w:tabs>
          <w:tab w:leader="none" w:pos="687"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The Corporation (or any successor) shall, within 20 days of the occurrence of any Change of Control or, if earlier, the date on which similar notice is given to holders of Common Stock, provide written notice to the Holders of such occurrence and of the type and amount of the cash, securities or other property that constitutes the Exchange Property. Failure to deliver such notice shall not affect the operation of this Section VI.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 Reports as to Adjustments</w:t>
      </w:r>
    </w:p>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Whenever the number of shares of Common Stock into which the shares of Junior Preferred Stock are convertible is adjusted as provided in Section II(b), the Corporation shall, as soon as is reasonable practicable, compute such adjustment and furnish to the Holders a certificate of the Corporation, setting forth the number of shares of Common Stock into which each share of Junior Preferred Stock (or fraction thereof) is convertible as a result of such adjustment, a brief statement of the facts requiring such adjustment, the computation thereof and when such adjustment will become effective.</w:t>
      </w:r>
    </w:p>
    <w:p>
      <w:pPr>
        <w:sectPr>
          <w:pgSz w:w="11900" w:h="16838" w:orient="portrait"/>
          <w:cols w:equalWidth="0" w:num="1">
            <w:col w:w="11240"/>
          </w:cols>
          <w:pgMar w:left="320" w:top="1070"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Section VIII. Transfer Restrictions</w:t>
      </w:r>
    </w:p>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Shares of Junior Preferred Stock may not be transferred to any Person other than pursuant to a Permitted Transfer, and any attempt to transfer one or more shares of Junior Preferred Stock (or fraction thereof) to a Person other than pursuant to a Permitted Transfer shall be void and of no effect.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Exclusion of Other Rights</w:t>
      </w:r>
    </w:p>
    <w:p>
      <w:pPr>
        <w:spacing w:after="0" w:line="18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Except as may otherwise be required by law, shares of Junior Preferred Stock shall not have any powers, preferences, participation and other special rights, qualifications, limitations, restrictions and other designations, other than those specifically set forth herein (as this Certificate of Designation may be amended from time to time) and in the Articles of Incorporation. The shares of Junior Preferred Stock shall have no preemptive or subscription rights.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 Severability of Provisions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any powers, preferences, participation and other special rights, qualifications, limitations, restrictions and other designations of the Junior Preferred Stock set forth in this Certificate of Designation (as this Certificate of Designation may be amended from time to time) is invalid, unlawful or incapable of being enforced by reason of any rule of law or public policy, all other powers, preferences, participation and other special rights, qualifications, limitations, restrictions and other designations of the Junior Preferred Stock set forth in this Certificate of Designation (as so amended) which can be given effect without the invalid, unlawful or unenforceable powers, preferences, participation and other special rights, qualifications, limitations, restrictions and other designations of the Junior Preferred Stock shall, nevertheless, remain in full force and effect, and no powers, preferences, participation and other special rights, qualifications, limitations, restrictions and other designations of the Junior Preferred Stock herein set forth shall be deemed dependent upon any other such powers, preferences, participation and other special rights, qualifications, limitations, restrictions and other designations of the Junior Preferred Stock unless so expressed herein.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 Rank</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Notwithstanding anything set forth in the Articles of Incorporation or this Certificate of Designation to the contrary, the Board or any authorized committee of the Board, without the vote of Holders of the Junior Preferred Stock, may authorize and issue additional shares of stock ranking junior or senior to, or on parity with, the Junior Preferred Stock as to dividends and the distribution of assets upon any voluntary or involuntary liquidation, dissolution or winding up of the affairs of the Corporation or any other powers, preferences, participation and other special rights, qualifications, limitations, restrictions and other designations.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XII. No Redemption</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Corporation may not, at any time, redeem the outstanding shares of the Junior Preferred Stock, except upon the unanimous consent of the Holders of all outstanding shares of Junior Preferred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XIII. Repurchases</w:t>
      </w:r>
    </w:p>
    <w:p>
      <w:pPr>
        <w:spacing w:after="0" w:line="18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Subject to the limitations imposed herein, the Corporation may purchase and sell shares of Junior Preferred Stock (or fraction thereof) from time to time to such extent, in such manner, and upon such terms as the Board or any duly authorized committee of the Board may determine.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XIV. No Sinking Fund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of Junior Preferred Stock are not subject to the operation of a sinking fund or any similar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XV. Notices</w:t>
      </w:r>
    </w:p>
    <w:p>
      <w:pPr>
        <w:spacing w:after="0" w:line="18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All notices, requests and other communications to a Holder of Junior Preferred Stock shall be in writing (including facsimile transmission) and shall be given at the address of such Holder as shown on the books of the Corporation. A Holder of Junior Preferred Stock may waive any notice required hereunder by a writing signed before or after the time required for notice or the</w:t>
      </w:r>
    </w:p>
    <w:p>
      <w:pPr>
        <w:sectPr>
          <w:pgSz w:w="11900" w:h="16838" w:orient="portrait"/>
          <w:cols w:equalWidth="0" w:num="1">
            <w:col w:w="11240"/>
          </w:cols>
          <w:pgMar w:left="320" w:top="1066" w:right="339" w:bottom="1440" w:gutter="0" w:footer="0" w:header="0"/>
        </w:sectPr>
      </w:pPr>
    </w:p>
    <w:bookmarkStart w:id="158" w:name="page159"/>
    <w:bookmarkEnd w:id="158"/>
    <w:p>
      <w:pPr>
        <w:spacing w:after="0" w:line="277" w:lineRule="auto"/>
        <w:rPr>
          <w:sz w:val="20"/>
          <w:szCs w:val="20"/>
          <w:color w:val="auto"/>
        </w:rPr>
      </w:pPr>
      <w:r>
        <w:rPr>
          <w:rFonts w:ascii="Arial" w:cs="Arial" w:eastAsia="Arial" w:hAnsi="Arial"/>
          <w:sz w:val="18"/>
          <w:szCs w:val="18"/>
          <w:color w:val="auto"/>
        </w:rPr>
        <w:t>action in question. Notice shall be deemed given on the earlier of the date received or three business days after the date such notice is mailed by first-class mail, postage prepaid.</w:t>
      </w:r>
    </w:p>
    <w:p>
      <w:pPr>
        <w:spacing w:after="0" w:line="200" w:lineRule="exact"/>
        <w:rPr>
          <w:sz w:val="20"/>
          <w:szCs w:val="20"/>
          <w:color w:val="auto"/>
        </w:rPr>
      </w:pPr>
    </w:p>
    <w:p>
      <w:pPr>
        <w:spacing w:after="0" w:line="2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1070" w:right="479" w:bottom="1440" w:gutter="0" w:footer="0" w:header="0"/>
        </w:sectPr>
      </w:pPr>
    </w:p>
    <w:bookmarkStart w:id="159" w:name="page160"/>
    <w:bookmarkEnd w:id="159"/>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ARTICLES OF AMENDMENT</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Restated Articles of Incorporation of the corporation are amended by striking the first paragraph of Article V thereof and inserting the following:</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corporation shall have authority to issue 200,000,000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Restated Articles of Incorporation of the corporation are further amended by striking Article XI in its entirety and insert in lieu the following: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provided by law, any amendment or repeal of any provision of the Articles of Incorporation or Article II (Stockholders’ Meetings) or</w:t>
      </w:r>
    </w:p>
    <w:p>
      <w:pPr>
        <w:spacing w:after="0" w:line="46" w:lineRule="exact"/>
        <w:rPr>
          <w:sz w:val="20"/>
          <w:szCs w:val="20"/>
          <w:color w:val="auto"/>
        </w:rPr>
      </w:pPr>
    </w:p>
    <w:p>
      <w:pPr>
        <w:ind w:right="680" w:firstLine="8"/>
        <w:spacing w:after="0" w:line="260" w:lineRule="auto"/>
        <w:tabs>
          <w:tab w:leader="none" w:pos="22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(Board of Directors) of the Bylaws of the corporation requires the affirmative vote of holders of a majority of the shares of capital stock of the corporation then issued and outstanding and entitled to vote on such matters.”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amendment to the Restated Articles of Incorporation was adopted on February 10, 2010, and was duly approved by the shareholders entitled to vote thereon in accordance with the provisions of Section 14-2-1003 of the Georgia Business Corporation Code.</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of United Community</w:t>
      </w:r>
      <w:r>
        <w:rPr>
          <w:rFonts w:ascii="Arial" w:cs="Arial" w:eastAsia="Arial" w:hAnsi="Arial"/>
          <w:sz w:val="18"/>
          <w:szCs w:val="18"/>
          <w:b w:val="1"/>
          <w:bCs w:val="1"/>
          <w:color w:val="auto"/>
        </w:rPr>
        <w:t xml:space="preserve"> </w:t>
      </w:r>
      <w:r>
        <w:rPr>
          <w:rFonts w:ascii="Arial" w:cs="Arial" w:eastAsia="Arial" w:hAnsi="Arial"/>
          <w:sz w:val="18"/>
          <w:szCs w:val="18"/>
          <w:color w:val="auto"/>
        </w:rPr>
        <w:t>Banks, Inc. this 27th day of May, 2010.</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UNITED COMMUNITY BANKS, INC.</w:t>
      </w:r>
    </w:p>
    <w:p>
      <w:pPr>
        <w:sectPr>
          <w:pgSz w:w="11900" w:h="16838" w:orient="portrait"/>
          <w:cols w:equalWidth="0" w:num="1">
            <w:col w:w="11140"/>
          </w:cols>
          <w:pgMar w:left="320" w:top="1440" w:right="439" w:bottom="1440" w:gutter="0" w:footer="0" w:header="0"/>
        </w:sectPr>
      </w:pPr>
    </w:p>
    <w:p>
      <w:pPr>
        <w:spacing w:after="0" w:line="33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/s/ Jimmy C. Tallent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Jimmy C. Tallent</w:t>
      </w:r>
    </w:p>
    <w:p>
      <w:pPr>
        <w:spacing w:after="0" w:line="63" w:lineRule="exact"/>
        <w:rPr>
          <w:sz w:val="20"/>
          <w:szCs w:val="20"/>
          <w:color w:val="auto"/>
        </w:rPr>
      </w:pPr>
    </w:p>
    <w:p>
      <w:pPr>
        <w:sectPr>
          <w:pgSz w:w="11900" w:h="16838" w:orient="portrait"/>
          <w:cols w:equalWidth="0" w:num="2">
            <w:col w:w="5340" w:space="500"/>
            <w:col w:w="5300"/>
          </w:cols>
          <w:pgMar w:left="320" w:top="1440" w:right="439" w:bottom="1440" w:gutter="0" w:footer="0" w:header="0"/>
          <w:type w:val="continuous"/>
        </w:sectPr>
      </w:pPr>
    </w:p>
    <w:p>
      <w:pPr>
        <w:ind w:left="584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140"/>
          </w:cols>
          <w:pgMar w:left="320" w:top="1440" w:right="439" w:bottom="1440" w:gutter="0" w:footer="0" w:header="0"/>
          <w:type w:val="continuous"/>
        </w:sectPr>
      </w:pPr>
    </w:p>
    <w:bookmarkStart w:id="160" w:name="page161"/>
    <w:bookmarkEnd w:id="160"/>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ARTICLES OF AMENDMENT</w:t>
      </w:r>
    </w:p>
    <w:p>
      <w:pPr>
        <w:spacing w:after="0" w:line="18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185" w:lineRule="exact"/>
        <w:rPr>
          <w:sz w:val="20"/>
          <w:szCs w:val="20"/>
          <w:color w:val="auto"/>
        </w:rPr>
      </w:pPr>
    </w:p>
    <w:p>
      <w:pPr>
        <w:ind w:right="180" w:firstLine="445"/>
        <w:spacing w:after="0" w:line="263" w:lineRule="auto"/>
        <w:rPr>
          <w:sz w:val="20"/>
          <w:szCs w:val="20"/>
          <w:color w:val="auto"/>
        </w:rPr>
      </w:pPr>
      <w:r>
        <w:rPr>
          <w:rFonts w:ascii="Arial" w:cs="Arial" w:eastAsia="Arial" w:hAnsi="Arial"/>
          <w:sz w:val="18"/>
          <w:szCs w:val="18"/>
          <w:color w:val="auto"/>
        </w:rPr>
        <w:t xml:space="preserve">The Restated Articles of Incorporation, as amended, of the corporation are amended by adding the powers, rights, and preferences, and the qualifications, limitations, and restrictions thereof, of the Fixed Rate Cumulative Perpetual Preferred Stock, Series B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The amendment was adopted by the board of directors of the corporation at a meeting held on October 23, 2008. Pursuant to O.C.G.A. § 14-2-602 and Article V of the Restated Articles of Incorporation, as amended, of the corporation, shareholder consent was not required.</w:t>
      </w:r>
    </w:p>
    <w:p>
      <w:pPr>
        <w:spacing w:after="0" w:line="106"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IN WITNESS WHEREOF, the undersigned has executed these Articles of Amendment to the Restated Articles of Incorporation, as amended, of United Community Bank, Inc. this 4th day of December, 2008.</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UNITED COMMUNITY BANK, INC.</w:t>
      </w:r>
    </w:p>
    <w:p>
      <w:pPr>
        <w:spacing w:after="0" w:line="333" w:lineRule="exact"/>
        <w:rPr>
          <w:sz w:val="20"/>
          <w:szCs w:val="20"/>
          <w:color w:val="auto"/>
        </w:rPr>
      </w:pPr>
    </w:p>
    <w:p>
      <w:pPr>
        <w:ind w:left="496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Jimmy C. Tallent</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Jimmy C. Tallent</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0980"/>
          </w:cols>
          <w:pgMar w:left="320" w:top="1440" w:right="599" w:bottom="1440" w:gutter="0" w:footer="0" w:header="0"/>
        </w:sectPr>
      </w:pPr>
    </w:p>
    <w:bookmarkStart w:id="161" w:name="page162"/>
    <w:bookmarkEnd w:id="161"/>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FIXED RATE CUMULATIVE PERPETUAL PREFERRED STOCK, SERIES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 xml:space="preserve">Part 1. </w:t>
      </w:r>
      <w:r>
        <w:rPr>
          <w:rFonts w:ascii="Arial" w:cs="Arial" w:eastAsia="Arial" w:hAnsi="Arial"/>
          <w:sz w:val="18"/>
          <w:szCs w:val="18"/>
          <w:u w:val="single" w:color="auto"/>
          <w:color w:val="auto"/>
        </w:rPr>
        <w:t>Designation and Number of Shares</w:t>
      </w:r>
      <w:r>
        <w:rPr>
          <w:rFonts w:ascii="Arial" w:cs="Arial" w:eastAsia="Arial" w:hAnsi="Arial"/>
          <w:sz w:val="18"/>
          <w:szCs w:val="18"/>
          <w:color w:val="auto"/>
        </w:rPr>
        <w:t>. There is hereby created out of the authorized and unissued shares of preferred stock of the Corporation a series of preferred stock designated as the “Fixed Rate Cumulative Perpetual Preferred Stock, Series B” (the “</w:t>
      </w:r>
      <w:r>
        <w:rPr>
          <w:rFonts w:ascii="Arial" w:cs="Arial" w:eastAsia="Arial" w:hAnsi="Arial"/>
          <w:sz w:val="18"/>
          <w:szCs w:val="18"/>
          <w:u w:val="single" w:color="auto"/>
          <w:color w:val="auto"/>
        </w:rPr>
        <w:t>Designated Preferred Stock”</w:t>
      </w:r>
      <w:r>
        <w:rPr>
          <w:rFonts w:ascii="Arial" w:cs="Arial" w:eastAsia="Arial" w:hAnsi="Arial"/>
          <w:sz w:val="18"/>
          <w:szCs w:val="18"/>
          <w:color w:val="auto"/>
        </w:rPr>
        <w:t>). The authorized number of shares of Designated Preferred Stock shall be 180,000.</w:t>
      </w:r>
    </w:p>
    <w:p>
      <w:pPr>
        <w:spacing w:after="0" w:line="157" w:lineRule="exact"/>
        <w:rPr>
          <w:sz w:val="20"/>
          <w:szCs w:val="20"/>
          <w:color w:val="auto"/>
        </w:rPr>
      </w:pPr>
    </w:p>
    <w:p>
      <w:pPr>
        <w:ind w:right="80" w:firstLine="445"/>
        <w:spacing w:after="0" w:line="308" w:lineRule="auto"/>
        <w:rPr>
          <w:sz w:val="20"/>
          <w:szCs w:val="20"/>
          <w:color w:val="auto"/>
        </w:rPr>
      </w:pPr>
      <w:r>
        <w:rPr>
          <w:rFonts w:ascii="Arial" w:cs="Arial" w:eastAsia="Arial" w:hAnsi="Arial"/>
          <w:sz w:val="17"/>
          <w:szCs w:val="17"/>
          <w:color w:val="auto"/>
        </w:rPr>
        <w:t xml:space="preserve">Part 2. </w:t>
      </w:r>
      <w:r>
        <w:rPr>
          <w:rFonts w:ascii="Arial" w:cs="Arial" w:eastAsia="Arial" w:hAnsi="Arial"/>
          <w:sz w:val="17"/>
          <w:szCs w:val="17"/>
          <w:u w:val="single" w:color="auto"/>
          <w:color w:val="auto"/>
        </w:rPr>
        <w:t>Standard Provisions</w:t>
      </w:r>
      <w:r>
        <w:rPr>
          <w:rFonts w:ascii="Arial" w:cs="Arial" w:eastAsia="Arial" w:hAnsi="Arial"/>
          <w:sz w:val="17"/>
          <w:szCs w:val="17"/>
          <w:color w:val="auto"/>
        </w:rPr>
        <w:t>. The Standard Provisions contained in Annex A attached hereto are incorporated herein by reference in their entirety and shall be deemed to be a part of this Certificate of Designations to the same extent as if such provisions had been set forth in full herein.</w:t>
      </w:r>
    </w:p>
    <w:p>
      <w:pPr>
        <w:spacing w:after="0" w:line="106"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 xml:space="preserve">Part 3.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are used in this Certificate of Designations (including the Standard Provisions in Annex A hereto) as defined below:</w:t>
      </w:r>
    </w:p>
    <w:p>
      <w:pPr>
        <w:spacing w:after="0" w:line="130" w:lineRule="exact"/>
        <w:rPr>
          <w:sz w:val="20"/>
          <w:szCs w:val="20"/>
          <w:color w:val="auto"/>
        </w:rPr>
      </w:pPr>
    </w:p>
    <w:p>
      <w:pPr>
        <w:ind w:left="700" w:hanging="247"/>
        <w:spacing w:after="0"/>
        <w:tabs>
          <w:tab w:leader="none" w:pos="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$1.00 per share, of the Corporation.</w:t>
      </w:r>
    </w:p>
    <w:p>
      <w:pPr>
        <w:spacing w:after="0" w:line="198" w:lineRule="exact"/>
        <w:rPr>
          <w:rFonts w:ascii="Arial" w:cs="Arial" w:eastAsia="Arial" w:hAnsi="Arial"/>
          <w:sz w:val="18"/>
          <w:szCs w:val="18"/>
          <w:color w:val="auto"/>
        </w:rPr>
      </w:pPr>
    </w:p>
    <w:p>
      <w:pPr>
        <w:ind w:left="700" w:hanging="247"/>
        <w:spacing w:after="0"/>
        <w:tabs>
          <w:tab w:leader="none" w:pos="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February 15, May 15, August 15 and November 15 of each year.</w:t>
      </w:r>
    </w:p>
    <w:p>
      <w:pPr>
        <w:spacing w:after="0" w:line="184" w:lineRule="exact"/>
        <w:rPr>
          <w:rFonts w:ascii="Arial" w:cs="Arial" w:eastAsia="Arial" w:hAnsi="Arial"/>
          <w:sz w:val="18"/>
          <w:szCs w:val="18"/>
          <w:color w:val="auto"/>
        </w:rPr>
      </w:pPr>
    </w:p>
    <w:p>
      <w:pPr>
        <w:ind w:right="300" w:firstLine="453"/>
        <w:spacing w:after="0" w:line="342" w:lineRule="auto"/>
        <w:tabs>
          <w:tab w:leader="none" w:pos="69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Junior Stock</w:t>
      </w:r>
      <w:r>
        <w:rPr>
          <w:rFonts w:ascii="Arial" w:cs="Arial" w:eastAsia="Arial" w:hAnsi="Arial"/>
          <w:sz w:val="16"/>
          <w:szCs w:val="16"/>
          <w:color w:val="auto"/>
        </w:rPr>
        <w:t>” means the Common Stock and any other class or series of stock of the Corporation the terms of which expressly provide that it ranks junior to Designated Preferred Stock as to dividend rights and/or as to rights on liquidation, dissolution or winding up of the Corporation.</w:t>
      </w:r>
    </w:p>
    <w:p>
      <w:pPr>
        <w:spacing w:after="0" w:line="83" w:lineRule="exact"/>
        <w:rPr>
          <w:rFonts w:ascii="Arial" w:cs="Arial" w:eastAsia="Arial" w:hAnsi="Arial"/>
          <w:sz w:val="16"/>
          <w:szCs w:val="16"/>
          <w:color w:val="auto"/>
        </w:rPr>
      </w:pPr>
    </w:p>
    <w:p>
      <w:pPr>
        <w:ind w:left="700" w:hanging="247"/>
        <w:spacing w:after="0"/>
        <w:tabs>
          <w:tab w:leader="none" w:pos="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$1,000.00 per share of Designated Preferred Stock.</w:t>
      </w:r>
    </w:p>
    <w:p>
      <w:pPr>
        <w:spacing w:after="0" w:line="198" w:lineRule="exact"/>
        <w:rPr>
          <w:rFonts w:ascii="Arial" w:cs="Arial" w:eastAsia="Arial" w:hAnsi="Arial"/>
          <w:sz w:val="18"/>
          <w:szCs w:val="18"/>
          <w:color w:val="auto"/>
        </w:rPr>
      </w:pPr>
    </w:p>
    <w:p>
      <w:pPr>
        <w:ind w:left="700" w:hanging="247"/>
        <w:spacing w:after="0"/>
        <w:tabs>
          <w:tab w:leader="none" w:pos="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means $45,000,000.</w:t>
      </w:r>
    </w:p>
    <w:p>
      <w:pPr>
        <w:spacing w:after="0" w:line="184" w:lineRule="exact"/>
        <w:rPr>
          <w:rFonts w:ascii="Arial" w:cs="Arial" w:eastAsia="Arial" w:hAnsi="Arial"/>
          <w:sz w:val="18"/>
          <w:szCs w:val="18"/>
          <w:color w:val="auto"/>
        </w:rPr>
      </w:pPr>
    </w:p>
    <w:p>
      <w:pPr>
        <w:jc w:val="both"/>
        <w:ind w:right="120" w:firstLine="453"/>
        <w:spacing w:after="0" w:line="259" w:lineRule="auto"/>
        <w:tabs>
          <w:tab w:leader="none" w:pos="67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means any class or series of stock of the Corporation (other than Designated Preferred Stock) the terms of which do not expressly provide that such class or series will rank senior or junior to Designated Preferred Stock as to dividend rights and/or as to rights on liquidation, dissolution or winding up of the Corporation (in each case without regard to whether dividends accrue cumulatively or non-cumulatively). Without limiting the foregoing, Parity Stock shall include the Corporation’s Series A Non-Cumulative Preferred Stock.</w:t>
      </w:r>
    </w:p>
    <w:p>
      <w:pPr>
        <w:spacing w:after="0" w:line="146" w:lineRule="exact"/>
        <w:rPr>
          <w:rFonts w:ascii="Arial" w:cs="Arial" w:eastAsia="Arial" w:hAnsi="Arial"/>
          <w:sz w:val="18"/>
          <w:szCs w:val="18"/>
          <w:color w:val="auto"/>
        </w:rPr>
      </w:pPr>
    </w:p>
    <w:p>
      <w:pPr>
        <w:ind w:left="700" w:hanging="247"/>
        <w:spacing w:after="0"/>
        <w:tabs>
          <w:tab w:leader="none" w:pos="7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the Original Issue Date.</w:t>
      </w:r>
    </w:p>
    <w:p>
      <w:pPr>
        <w:spacing w:after="0" w:line="198" w:lineRule="exact"/>
        <w:rPr>
          <w:sz w:val="20"/>
          <w:szCs w:val="20"/>
          <w:color w:val="auto"/>
        </w:rPr>
      </w:pPr>
    </w:p>
    <w:p>
      <w:pPr>
        <w:ind w:right="400" w:firstLine="445"/>
        <w:spacing w:after="0" w:line="277" w:lineRule="auto"/>
        <w:rPr>
          <w:sz w:val="20"/>
          <w:szCs w:val="20"/>
          <w:color w:val="auto"/>
        </w:rPr>
      </w:pPr>
      <w:r>
        <w:rPr>
          <w:rFonts w:ascii="Arial" w:cs="Arial" w:eastAsia="Arial" w:hAnsi="Arial"/>
          <w:sz w:val="18"/>
          <w:szCs w:val="18"/>
          <w:color w:val="auto"/>
        </w:rPr>
        <w:t xml:space="preserve">Part 4. </w:t>
      </w:r>
      <w:r>
        <w:rPr>
          <w:rFonts w:ascii="Arial" w:cs="Arial" w:eastAsia="Arial" w:hAnsi="Arial"/>
          <w:sz w:val="18"/>
          <w:szCs w:val="18"/>
          <w:u w:val="single" w:color="auto"/>
          <w:color w:val="auto"/>
        </w:rPr>
        <w:t>Certain Voting Matters</w:t>
      </w:r>
      <w:r>
        <w:rPr>
          <w:rFonts w:ascii="Arial" w:cs="Arial" w:eastAsia="Arial" w:hAnsi="Arial"/>
          <w:sz w:val="18"/>
          <w:szCs w:val="18"/>
          <w:color w:val="auto"/>
        </w:rPr>
        <w:t>. Holders of shares of Designated Preferred Stock will be entitled to one vote for each such share on any matter on which holders of Designated Preferred Stock are entitled to vote, including any action by written consent.</w:t>
      </w:r>
    </w:p>
    <w:p>
      <w:pPr>
        <w:sectPr>
          <w:pgSz w:w="11900" w:h="16838" w:orient="portrait"/>
          <w:cols w:equalWidth="0" w:num="1">
            <w:col w:w="11240"/>
          </w:cols>
          <w:pgMar w:left="320" w:top="1440"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ANNEX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STANDARD PROVISIONS</w:t>
      </w:r>
    </w:p>
    <w:p>
      <w:pPr>
        <w:spacing w:after="0" w:line="189" w:lineRule="exact"/>
        <w:rPr>
          <w:sz w:val="20"/>
          <w:szCs w:val="20"/>
          <w:color w:val="auto"/>
        </w:rPr>
      </w:pPr>
    </w:p>
    <w:p>
      <w:pPr>
        <w:ind w:right="240" w:firstLine="445"/>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 Matters</w:t>
      </w:r>
      <w:r>
        <w:rPr>
          <w:rFonts w:ascii="Arial" w:cs="Arial" w:eastAsia="Arial" w:hAnsi="Arial"/>
          <w:sz w:val="17"/>
          <w:szCs w:val="17"/>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Designations. The Designated Preferred Stock shall rank equally with Parity Stock and shall rank senior to Junior Stock with respect to the payment of dividends and the distribution of assets in the event of any dissolution, liquidation or winding up of the Corporation.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Standard Definitions</w:t>
      </w:r>
      <w:r>
        <w:rPr>
          <w:rFonts w:ascii="Arial" w:cs="Arial" w:eastAsia="Arial" w:hAnsi="Arial"/>
          <w:sz w:val="18"/>
          <w:szCs w:val="18"/>
          <w:color w:val="auto"/>
        </w:rPr>
        <w:t>. As used herein with respect to Designated Preferred Stock:</w:t>
      </w:r>
    </w:p>
    <w:p>
      <w:pPr>
        <w:spacing w:after="0" w:line="198" w:lineRule="exact"/>
        <w:rPr>
          <w:sz w:val="20"/>
          <w:szCs w:val="20"/>
          <w:color w:val="auto"/>
        </w:rPr>
      </w:pPr>
    </w:p>
    <w:p>
      <w:pPr>
        <w:ind w:right="160" w:firstLine="453"/>
        <w:spacing w:after="0" w:line="263" w:lineRule="auto"/>
        <w:tabs>
          <w:tab w:leader="none" w:pos="69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Dividend Rate</w:t>
      </w:r>
      <w:r>
        <w:rPr>
          <w:rFonts w:ascii="Arial" w:cs="Arial" w:eastAsia="Arial" w:hAnsi="Arial"/>
          <w:sz w:val="18"/>
          <w:szCs w:val="18"/>
          <w:color w:val="auto"/>
        </w:rPr>
        <w:t>” means (i) during the period from the Original Issue Date to, but excluding, the first day of the first Dividend Period commencing on or after the fifth anniversary of the Original Issue Date, 5% per annum and (ii) from and after the first day of the first Dividend Period commencing on or after the fifth anniversary of the Original Issue Date, 9% per annum.</w:t>
      </w:r>
    </w:p>
    <w:p>
      <w:pPr>
        <w:spacing w:after="0" w:line="143" w:lineRule="exact"/>
        <w:rPr>
          <w:rFonts w:ascii="Arial" w:cs="Arial" w:eastAsia="Arial" w:hAnsi="Arial"/>
          <w:sz w:val="18"/>
          <w:szCs w:val="18"/>
          <w:color w:val="auto"/>
        </w:rPr>
      </w:pPr>
    </w:p>
    <w:p>
      <w:pPr>
        <w:ind w:right="260" w:firstLine="453"/>
        <w:spacing w:after="0" w:line="277" w:lineRule="auto"/>
        <w:tabs>
          <w:tab w:leader="none" w:pos="7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Federal Banking Agency</w:t>
      </w:r>
      <w:r>
        <w:rPr>
          <w:rFonts w:ascii="Arial" w:cs="Arial" w:eastAsia="Arial" w:hAnsi="Arial"/>
          <w:sz w:val="18"/>
          <w:szCs w:val="18"/>
          <w:color w:val="auto"/>
        </w:rPr>
        <w:t>” means the “appropriate Federal banking agency“ with respect to the Corporation as defined in Section 3(q) of the Federal Deposit Insurance Act (12 U.S.C. Section 1813(q)), or any successor provision.</w:t>
      </w:r>
    </w:p>
    <w:p>
      <w:pPr>
        <w:spacing w:after="0" w:line="129" w:lineRule="exact"/>
        <w:rPr>
          <w:rFonts w:ascii="Arial" w:cs="Arial" w:eastAsia="Arial" w:hAnsi="Arial"/>
          <w:sz w:val="18"/>
          <w:szCs w:val="18"/>
          <w:color w:val="auto"/>
        </w:rPr>
      </w:pPr>
    </w:p>
    <w:p>
      <w:pPr>
        <w:ind w:right="740" w:firstLine="453"/>
        <w:spacing w:after="0" w:line="277" w:lineRule="auto"/>
        <w:tabs>
          <w:tab w:leader="none" w:pos="69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means a merger, consolidation, statutory share exchange or similar transaction that requires the approval of the Corporation“s stockholders.</w:t>
      </w:r>
    </w:p>
    <w:p>
      <w:pPr>
        <w:spacing w:after="0" w:line="143" w:lineRule="exact"/>
        <w:rPr>
          <w:rFonts w:ascii="Arial" w:cs="Arial" w:eastAsia="Arial" w:hAnsi="Arial"/>
          <w:sz w:val="18"/>
          <w:szCs w:val="18"/>
          <w:color w:val="auto"/>
        </w:rPr>
      </w:pPr>
    </w:p>
    <w:p>
      <w:pPr>
        <w:ind w:right="560" w:firstLine="453"/>
        <w:spacing w:after="0" w:line="277" w:lineRule="auto"/>
        <w:tabs>
          <w:tab w:leader="none" w:pos="7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generally are authorized or required by law or other governmental actions to close.</w:t>
      </w:r>
    </w:p>
    <w:p>
      <w:pPr>
        <w:spacing w:after="0" w:line="129" w:lineRule="exact"/>
        <w:rPr>
          <w:rFonts w:ascii="Arial" w:cs="Arial" w:eastAsia="Arial" w:hAnsi="Arial"/>
          <w:sz w:val="18"/>
          <w:szCs w:val="18"/>
          <w:color w:val="auto"/>
        </w:rPr>
      </w:pPr>
    </w:p>
    <w:p>
      <w:pPr>
        <w:ind w:left="700" w:hanging="247"/>
        <w:spacing w:after="0"/>
        <w:tabs>
          <w:tab w:leader="none" w:pos="7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”means the bylaws of the Corporation, as they may be amended from time to time.</w:t>
      </w:r>
    </w:p>
    <w:p>
      <w:pPr>
        <w:spacing w:after="0" w:line="184" w:lineRule="exact"/>
        <w:rPr>
          <w:rFonts w:ascii="Arial" w:cs="Arial" w:eastAsia="Arial" w:hAnsi="Arial"/>
          <w:sz w:val="18"/>
          <w:szCs w:val="18"/>
          <w:color w:val="auto"/>
        </w:rPr>
      </w:pPr>
    </w:p>
    <w:p>
      <w:pPr>
        <w:ind w:right="20" w:firstLine="453"/>
        <w:spacing w:after="0" w:line="277" w:lineRule="auto"/>
        <w:tabs>
          <w:tab w:leader="none" w:pos="67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the Certificate of Designations or comparable instrument relating to the Designated Preferred Stock, of which these Standard Provisions form a part, as it may be amended from time to time.</w:t>
      </w:r>
    </w:p>
    <w:p>
      <w:pPr>
        <w:spacing w:after="0" w:line="143" w:lineRule="exact"/>
        <w:rPr>
          <w:rFonts w:ascii="Arial" w:cs="Arial" w:eastAsia="Arial" w:hAnsi="Arial"/>
          <w:sz w:val="18"/>
          <w:szCs w:val="18"/>
          <w:color w:val="auto"/>
        </w:rPr>
      </w:pPr>
    </w:p>
    <w:p>
      <w:pPr>
        <w:ind w:left="700" w:hanging="247"/>
        <w:spacing w:after="0"/>
        <w:tabs>
          <w:tab w:leader="none" w:pos="7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xml:space="preserve"> means the Corporation“s certificate or articles of incorporation, articles of association, or similar organizational document.</w:t>
      </w:r>
    </w:p>
    <w:p>
      <w:pPr>
        <w:spacing w:after="0" w:line="184" w:lineRule="exact"/>
        <w:rPr>
          <w:rFonts w:ascii="Arial" w:cs="Arial" w:eastAsia="Arial" w:hAnsi="Arial"/>
          <w:sz w:val="18"/>
          <w:szCs w:val="18"/>
          <w:color w:val="auto"/>
        </w:rPr>
      </w:pPr>
    </w:p>
    <w:p>
      <w:pPr>
        <w:ind w:left="700" w:hanging="247"/>
        <w:spacing w:after="0"/>
        <w:tabs>
          <w:tab w:leader="none" w:pos="7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3(a).</w:t>
      </w:r>
    </w:p>
    <w:p>
      <w:pPr>
        <w:spacing w:after="0" w:line="184" w:lineRule="exact"/>
        <w:rPr>
          <w:rFonts w:ascii="Arial" w:cs="Arial" w:eastAsia="Arial" w:hAnsi="Arial"/>
          <w:sz w:val="18"/>
          <w:szCs w:val="18"/>
          <w:color w:val="auto"/>
        </w:rPr>
      </w:pPr>
    </w:p>
    <w:p>
      <w:pPr>
        <w:ind w:left="660" w:hanging="207"/>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3(a).</w:t>
      </w:r>
    </w:p>
    <w:p>
      <w:pPr>
        <w:spacing w:after="0" w:line="198" w:lineRule="exact"/>
        <w:rPr>
          <w:rFonts w:ascii="Arial" w:cs="Arial" w:eastAsia="Arial" w:hAnsi="Arial"/>
          <w:sz w:val="18"/>
          <w:szCs w:val="18"/>
          <w:color w:val="auto"/>
        </w:rPr>
      </w:pPr>
    </w:p>
    <w:p>
      <w:pPr>
        <w:ind w:left="660" w:hanging="207"/>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00" w:hanging="247"/>
        <w:spacing w:after="0"/>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on which shares of Designated Preferred Stock are first issued.</w:t>
      </w:r>
    </w:p>
    <w:p>
      <w:pPr>
        <w:spacing w:after="0" w:line="184" w:lineRule="exact"/>
        <w:rPr>
          <w:rFonts w:ascii="Arial" w:cs="Arial" w:eastAsia="Arial" w:hAnsi="Arial"/>
          <w:sz w:val="18"/>
          <w:szCs w:val="18"/>
          <w:color w:val="auto"/>
        </w:rPr>
      </w:pPr>
    </w:p>
    <w:p>
      <w:pPr>
        <w:ind w:left="660" w:hanging="207"/>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Director</w:t>
      </w:r>
      <w:r>
        <w:rPr>
          <w:rFonts w:ascii="Arial" w:cs="Arial" w:eastAsia="Arial" w:hAnsi="Arial"/>
          <w:sz w:val="18"/>
          <w:szCs w:val="18"/>
          <w:color w:val="auto"/>
        </w:rPr>
        <w:t>” has the meaning set forth in Section 7(b).</w:t>
      </w:r>
    </w:p>
    <w:p>
      <w:pPr>
        <w:spacing w:after="0" w:line="184" w:lineRule="exact"/>
        <w:rPr>
          <w:rFonts w:ascii="Arial" w:cs="Arial" w:eastAsia="Arial" w:hAnsi="Arial"/>
          <w:sz w:val="18"/>
          <w:szCs w:val="18"/>
          <w:color w:val="auto"/>
        </w:rPr>
      </w:pPr>
    </w:p>
    <w:p>
      <w:pPr>
        <w:ind w:left="760" w:hanging="307"/>
        <w:spacing w:after="0"/>
        <w:tabs>
          <w:tab w:leader="none" w:pos="7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means any and all series of preferred stock of the Corporation, including the Designated Preferred Stock.</w:t>
      </w:r>
    </w:p>
    <w:p>
      <w:pPr>
        <w:spacing w:after="0" w:line="198" w:lineRule="exact"/>
        <w:rPr>
          <w:rFonts w:ascii="Arial" w:cs="Arial" w:eastAsia="Arial" w:hAnsi="Arial"/>
          <w:sz w:val="18"/>
          <w:szCs w:val="18"/>
          <w:color w:val="auto"/>
        </w:rPr>
      </w:pPr>
    </w:p>
    <w:p>
      <w:pPr>
        <w:ind w:right="520" w:firstLine="453"/>
        <w:spacing w:after="0" w:line="259" w:lineRule="auto"/>
        <w:tabs>
          <w:tab w:leader="none" w:pos="7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Offering</w:t>
      </w:r>
      <w:r>
        <w:rPr>
          <w:rFonts w:ascii="Arial" w:cs="Arial" w:eastAsia="Arial" w:hAnsi="Arial"/>
          <w:sz w:val="18"/>
          <w:szCs w:val="18"/>
          <w:color w:val="auto"/>
        </w:rPr>
        <w:t>” means the sale and issuance for cash by the Corporation to persons other than the Corporation or any of its subsidiaries after the Original Issue Date of shares of perpetual Preferred Stock, Common Stock or any combination of such stock, that, in each case, qualify as and may be included in Tier 1 capital of the Corporation at the time of issuance under the applicable risk-based capital guidelines of the Corporation’s Appropriate Federal Banking Agency (other</w:t>
      </w:r>
    </w:p>
    <w:p>
      <w:pPr>
        <w:sectPr>
          <w:pgSz w:w="11900" w:h="16838" w:orient="portrait"/>
          <w:cols w:equalWidth="0" w:num="1">
            <w:col w:w="11240"/>
          </w:cols>
          <w:pgMar w:left="320" w:top="1066" w:right="339" w:bottom="1440" w:gutter="0" w:footer="0" w:header="0"/>
        </w:sectPr>
      </w:pPr>
    </w:p>
    <w:bookmarkStart w:id="163" w:name="page164"/>
    <w:bookmarkEnd w:id="163"/>
    <w:p>
      <w:pPr>
        <w:ind w:right="760"/>
        <w:spacing w:after="0" w:line="277" w:lineRule="auto"/>
        <w:rPr>
          <w:sz w:val="20"/>
          <w:szCs w:val="20"/>
          <w:color w:val="auto"/>
        </w:rPr>
      </w:pPr>
      <w:r>
        <w:rPr>
          <w:rFonts w:ascii="Arial" w:cs="Arial" w:eastAsia="Arial" w:hAnsi="Arial"/>
          <w:sz w:val="18"/>
          <w:szCs w:val="18"/>
          <w:color w:val="auto"/>
        </w:rPr>
        <w:t>than any such sales and issuances made pursuant to agreements or arrangements entered into, or pursuant to financing plans which were publicly announced, on or prior to October 13, 2008).</w:t>
      </w:r>
    </w:p>
    <w:p>
      <w:pPr>
        <w:spacing w:after="0" w:line="143" w:lineRule="exact"/>
        <w:rPr>
          <w:sz w:val="20"/>
          <w:szCs w:val="20"/>
          <w:color w:val="auto"/>
        </w:rPr>
      </w:pPr>
    </w:p>
    <w:p>
      <w:pPr>
        <w:ind w:left="700" w:hanging="247"/>
        <w:spacing w:after="0"/>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has the meaning set forth in Section 3(b).</w:t>
      </w:r>
    </w:p>
    <w:p>
      <w:pPr>
        <w:spacing w:after="0" w:line="184" w:lineRule="exact"/>
        <w:rPr>
          <w:rFonts w:ascii="Arial" w:cs="Arial" w:eastAsia="Arial" w:hAnsi="Arial"/>
          <w:sz w:val="18"/>
          <w:szCs w:val="18"/>
          <w:color w:val="auto"/>
        </w:rPr>
      </w:pPr>
    </w:p>
    <w:p>
      <w:pPr>
        <w:ind w:left="700" w:hanging="247"/>
        <w:spacing w:after="0"/>
        <w:tabs>
          <w:tab w:leader="none" w:pos="70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Provisions</w:t>
      </w:r>
      <w:r>
        <w:rPr>
          <w:rFonts w:ascii="Arial" w:cs="Arial" w:eastAsia="Arial" w:hAnsi="Arial"/>
          <w:sz w:val="16"/>
          <w:szCs w:val="16"/>
          <w:color w:val="auto"/>
        </w:rPr>
        <w:t>” mean these Standard Provisions that form a part of the Certificate of Designations relating to the Designated Preferred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170" w:lineRule="exact"/>
        <w:rPr>
          <w:rFonts w:ascii="Arial" w:cs="Arial" w:eastAsia="Arial" w:hAnsi="Arial"/>
          <w:sz w:val="16"/>
          <w:szCs w:val="16"/>
          <w:color w:val="auto"/>
        </w:rPr>
      </w:pPr>
    </w:p>
    <w:p>
      <w:pPr>
        <w:ind w:left="700" w:hanging="247"/>
        <w:spacing w:after="0"/>
        <w:tabs>
          <w:tab w:leader="none" w:pos="7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Preferred Stock”</w:t>
      </w:r>
      <w:r>
        <w:rPr>
          <w:rFonts w:ascii="Arial" w:cs="Arial" w:eastAsia="Arial" w:hAnsi="Arial"/>
          <w:sz w:val="18"/>
          <w:szCs w:val="18"/>
          <w:color w:val="auto"/>
        </w:rPr>
        <w:t xml:space="preserve"> has the meaning set forth in Section 5(a).</w:t>
      </w:r>
    </w:p>
    <w:p>
      <w:pPr>
        <w:spacing w:after="0" w:line="198" w:lineRule="exact"/>
        <w:rPr>
          <w:rFonts w:ascii="Arial" w:cs="Arial" w:eastAsia="Arial" w:hAnsi="Arial"/>
          <w:sz w:val="18"/>
          <w:szCs w:val="18"/>
          <w:color w:val="auto"/>
        </w:rPr>
      </w:pPr>
    </w:p>
    <w:p>
      <w:pPr>
        <w:ind w:right="160" w:firstLine="453"/>
        <w:spacing w:after="0" w:line="263" w:lineRule="auto"/>
        <w:tabs>
          <w:tab w:leader="none" w:pos="67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Parity Stock</w:t>
      </w:r>
      <w:r>
        <w:rPr>
          <w:rFonts w:ascii="Arial" w:cs="Arial" w:eastAsia="Arial" w:hAnsi="Arial"/>
          <w:sz w:val="18"/>
          <w:szCs w:val="18"/>
          <w:color w:val="auto"/>
        </w:rPr>
        <w:t>” means, with regard to any matter as to which the holders of Designated Preferred Stock are entitled to vote as specified in Sections 7(a) and 7(b) of these Standard Provisions that form a part of the Certificate of Designations, any and all series of Parity Stock upon which like voting rights have been conferred and are exercisable with respect to such matter.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 Dividends.</w:t>
      </w:r>
    </w:p>
    <w:p>
      <w:pPr>
        <w:spacing w:after="0" w:line="185" w:lineRule="exact"/>
        <w:rPr>
          <w:sz w:val="20"/>
          <w:szCs w:val="20"/>
          <w:color w:val="auto"/>
        </w:rPr>
      </w:pPr>
    </w:p>
    <w:p>
      <w:pPr>
        <w:ind w:right="20" w:firstLine="453"/>
        <w:spacing w:after="0" w:line="269" w:lineRule="auto"/>
        <w:tabs>
          <w:tab w:leader="none" w:pos="690"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Rate</w:t>
      </w:r>
      <w:r>
        <w:rPr>
          <w:rFonts w:ascii="Arial" w:cs="Arial" w:eastAsia="Arial" w:hAnsi="Arial"/>
          <w:sz w:val="17"/>
          <w:szCs w:val="17"/>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cumulative cash dividends with respect to each Dividend Period (as defined below) at a rate per annum equal to the Applicable Dividend Rate on (i) the Liquidation Amount per share of Designated Preferred Stock and (ii) the amount of accrued and unpaid dividends for any prior Dividend Period on such share of Designated Preferred Stock, if any. Such dividends shall begin to accrue and be cumulative from the Original Issue Date, shall compound on each subsequent Dividend Payment Date (</w:t>
      </w:r>
      <w:r>
        <w:rPr>
          <w:rFonts w:ascii="Arial" w:cs="Arial" w:eastAsia="Arial" w:hAnsi="Arial"/>
          <w:sz w:val="17"/>
          <w:szCs w:val="17"/>
          <w:i w:val="1"/>
          <w:iCs w:val="1"/>
          <w:color w:val="auto"/>
        </w:rPr>
        <w:t>i.e.</w:t>
      </w:r>
      <w:r>
        <w:rPr>
          <w:rFonts w:ascii="Arial" w:cs="Arial" w:eastAsia="Arial" w:hAnsi="Arial"/>
          <w:sz w:val="17"/>
          <w:szCs w:val="17"/>
          <w:color w:val="auto"/>
        </w:rPr>
        <w:t>, no dividends shall accrue on other dividends unless and until the first Dividend Payment Date for such other dividends has passed without such other dividends having been paid on such date) and shall be payable quarterly in arrears on each Dividend Payment Date, commencing with the first such Dividend Payment Date to occur at least 20 calendar days after the Original Issue Date.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7"/>
          <w:szCs w:val="17"/>
          <w:u w:val="single" w:color="auto"/>
          <w:color w:val="auto"/>
        </w:rPr>
        <w:t>Dividend Period</w:t>
      </w:r>
      <w:r>
        <w:rPr>
          <w:rFonts w:ascii="Arial" w:cs="Arial" w:eastAsia="Arial" w:hAnsi="Arial"/>
          <w:sz w:val="17"/>
          <w:szCs w:val="17"/>
          <w:color w:val="auto"/>
        </w:rPr>
        <w:t>,” provided that the initial Dividend Period shall be the period from and including the Original Issue Date to, but excluding, the next Dividend Payment Date.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Dividends that are payable on Designated Preferred Stock in respect of any Dividend Period shall be computed on the basis of a 360-day year consisting of twelve 30-day months. The amount of dividends payable on Designated Preferred Stock on any date prior to the end of a Dividend Period, and for the initial Dividend Period, shall be computed on the basis of a 360-day year consisting of twelve 30-day months, and actual days elapsed over a 30-day month.</w:t>
      </w:r>
    </w:p>
    <w:p>
      <w:pPr>
        <w:spacing w:after="0" w:line="160" w:lineRule="exact"/>
        <w:rPr>
          <w:sz w:val="20"/>
          <w:szCs w:val="20"/>
          <w:color w:val="auto"/>
        </w:rPr>
      </w:pPr>
    </w:p>
    <w:p>
      <w:pPr>
        <w:ind w:right="320" w:firstLine="445"/>
        <w:spacing w:after="0" w:line="296" w:lineRule="auto"/>
        <w:rPr>
          <w:sz w:val="20"/>
          <w:szCs w:val="20"/>
          <w:color w:val="auto"/>
        </w:rPr>
      </w:pPr>
      <w:r>
        <w:rPr>
          <w:rFonts w:ascii="Arial" w:cs="Arial" w:eastAsia="Arial" w:hAnsi="Arial"/>
          <w:sz w:val="16"/>
          <w:szCs w:val="16"/>
          <w:color w:val="auto"/>
        </w:rPr>
        <w:t>Dividends that are payable on Designated Preferred Stock on any Dividend Payment Date will be payable to holders of record of Designated Preferred Stock as they appear on the stock register of the Corporation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Arial" w:cs="Arial" w:eastAsia="Arial" w:hAnsi="Arial"/>
          <w:sz w:val="16"/>
          <w:szCs w:val="16"/>
          <w:u w:val="single" w:color="auto"/>
          <w:color w:val="auto"/>
        </w:rPr>
        <w:t>Dividend Record Date”</w:t>
      </w:r>
      <w:r>
        <w:rPr>
          <w:rFonts w:ascii="Arial" w:cs="Arial" w:eastAsia="Arial" w:hAnsi="Arial"/>
          <w:sz w:val="16"/>
          <w:szCs w:val="16"/>
          <w:color w:val="auto"/>
        </w:rPr>
        <w:t>). Any such day that is a Dividend Record Date shall be a Dividend Record Date whether or not such day is a Business Day.</w:t>
      </w:r>
    </w:p>
    <w:p>
      <w:pPr>
        <w:spacing w:after="0" w:line="121" w:lineRule="exact"/>
        <w:rPr>
          <w:sz w:val="20"/>
          <w:szCs w:val="20"/>
          <w:color w:val="auto"/>
        </w:rPr>
      </w:pPr>
    </w:p>
    <w:p>
      <w:pPr>
        <w:ind w:right="260" w:firstLine="445"/>
        <w:spacing w:after="0" w:line="263" w:lineRule="auto"/>
        <w:rPr>
          <w:sz w:val="20"/>
          <w:szCs w:val="20"/>
          <w:color w:val="auto"/>
        </w:rPr>
      </w:pPr>
      <w:r>
        <w:rPr>
          <w:rFonts w:ascii="Arial" w:cs="Arial" w:eastAsia="Arial" w:hAnsi="Arial"/>
          <w:sz w:val="18"/>
          <w:szCs w:val="18"/>
          <w:color w:val="auto"/>
        </w:rPr>
        <w:t>Holders of Designated Preferred Stock shall not be entitled to any dividends, whether payable in cash, securities or other property, other than dividends (if any) declared and payable on Designated Preferred Stock as specified in this Section 3 (subject to the other provisions of the Certificate of Designations).</w:t>
      </w:r>
    </w:p>
    <w:p>
      <w:pPr>
        <w:spacing w:after="0" w:line="143" w:lineRule="exact"/>
        <w:rPr>
          <w:sz w:val="20"/>
          <w:szCs w:val="20"/>
          <w:color w:val="auto"/>
        </w:rPr>
      </w:pPr>
    </w:p>
    <w:p>
      <w:pPr>
        <w:ind w:firstLine="453"/>
        <w:spacing w:after="0" w:line="263" w:lineRule="auto"/>
        <w:tabs>
          <w:tab w:leader="none" w:pos="70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Priority of Dividends</w:t>
      </w:r>
      <w:r>
        <w:rPr>
          <w:rFonts w:ascii="Arial" w:cs="Arial" w:eastAsia="Arial" w:hAnsi="Arial"/>
          <w:sz w:val="18"/>
          <w:szCs w:val="18"/>
          <w:color w:val="auto"/>
        </w:rPr>
        <w:t>. So long as any share of Designated Preferred Stock remains outstanding, no dividend or distribution shall be declared or paid on the Common Stock or any other shares of Junior Stock (other than dividends payable solely in shares of Common Stock) or Parity Stock, subject to the immediately following paragraph in the case of Parity Stock,</w:t>
      </w:r>
    </w:p>
    <w:p>
      <w:pPr>
        <w:sectPr>
          <w:pgSz w:w="11900" w:h="16838" w:orient="portrait"/>
          <w:cols w:equalWidth="0" w:num="1">
            <w:col w:w="11200"/>
          </w:cols>
          <w:pgMar w:left="320" w:top="1070" w:right="379" w:bottom="1440" w:gutter="0" w:footer="0" w:header="0"/>
        </w:sectPr>
      </w:pPr>
    </w:p>
    <w:bookmarkStart w:id="164" w:name="page165"/>
    <w:bookmarkEnd w:id="164"/>
    <w:p>
      <w:pPr>
        <w:ind w:right="40"/>
        <w:spacing w:after="0" w:line="284" w:lineRule="auto"/>
        <w:rPr>
          <w:sz w:val="20"/>
          <w:szCs w:val="20"/>
          <w:color w:val="auto"/>
        </w:rPr>
      </w:pPr>
      <w:r>
        <w:rPr>
          <w:rFonts w:ascii="Arial" w:cs="Arial" w:eastAsia="Arial" w:hAnsi="Arial"/>
          <w:sz w:val="16"/>
          <w:szCs w:val="16"/>
          <w:color w:val="auto"/>
        </w:rPr>
        <w:t xml:space="preserve">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Designated Preferred Stock have been or are contemporaneously declared and paid in full (or have been declared and a sum sufficient for the payment thereof has been set aside for the benefit of the holders of shares of Designated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purchases to offset the Share Dilution Amount shall in no event exceed the Share Dilution Amount;</w:t>
      </w:r>
    </w:p>
    <w:p>
      <w:pPr>
        <w:spacing w:after="0" w:line="1" w:lineRule="exact"/>
        <w:rPr>
          <w:sz w:val="20"/>
          <w:szCs w:val="20"/>
          <w:color w:val="auto"/>
        </w:rPr>
      </w:pPr>
    </w:p>
    <w:p>
      <w:pPr>
        <w:ind w:firstLine="8"/>
        <w:spacing w:after="0" w:line="285" w:lineRule="auto"/>
        <w:tabs>
          <w:tab w:leader="none" w:pos="26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Signing Date or any subsequent agreement for the accelerated exercise, settlement or exchange thereof for Common Stock. “</w:t>
      </w:r>
      <w:r>
        <w:rPr>
          <w:rFonts w:ascii="Arial" w:cs="Arial" w:eastAsia="Arial" w:hAnsi="Arial"/>
          <w:sz w:val="16"/>
          <w:szCs w:val="16"/>
          <w:u w:val="single" w:color="auto"/>
          <w:color w:val="auto"/>
        </w:rPr>
        <w:t>Share Dilution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Original Issue Date) resulting from the grant, vesting or exercise of equity-based compensation to employees and equitably adjusted for any stock split, stock dividend, reverse stock split, reclassification or similar transaction.</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0" w:lineRule="exact"/>
        <w:rPr>
          <w:sz w:val="20"/>
          <w:szCs w:val="20"/>
          <w:color w:val="auto"/>
        </w:rPr>
      </w:pPr>
    </w:p>
    <w:p>
      <w:pPr>
        <w:spacing w:after="0" w:line="349"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Designated Preferred Stock and any shares of Parity Stock, all dividends declared on Designated Preferred Stock and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 respective amounts of such dividends declared shall bear the same ratio to each other as all accrued and unpaid dividends per share on the shares of Designated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 If the Board of Directors or a duly authorized committee of the Board of Directors determines not to pay any dividend or a full dividend on a Dividend Payment Date, the Corporation will provide written notice to the holders of Designated Preferred Stock prior to such Dividend Payment Date.</w:t>
      </w:r>
    </w:p>
    <w:p>
      <w:pPr>
        <w:spacing w:after="0" w:line="133" w:lineRule="exact"/>
        <w:rPr>
          <w:sz w:val="20"/>
          <w:szCs w:val="20"/>
          <w:color w:val="auto"/>
        </w:rPr>
      </w:pPr>
    </w:p>
    <w:p>
      <w:pPr>
        <w:jc w:val="both"/>
        <w:ind w:right="400" w:firstLine="445"/>
        <w:spacing w:after="0" w:line="259" w:lineRule="auto"/>
        <w:rPr>
          <w:sz w:val="20"/>
          <w:szCs w:val="20"/>
          <w:color w:val="auto"/>
        </w:rPr>
      </w:pPr>
      <w:r>
        <w:rPr>
          <w:rFonts w:ascii="Arial" w:cs="Arial" w:eastAsia="Arial" w:hAnsi="Arial"/>
          <w:sz w:val="18"/>
          <w:szCs w:val="18"/>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320" w:top="1070" w:right="359" w:bottom="1440" w:gutter="0" w:footer="0" w:header="0"/>
        </w:sectPr>
      </w:pPr>
    </w:p>
    <w:bookmarkStart w:id="165" w:name="page166"/>
    <w:bookmarkEnd w:id="165"/>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85" w:lineRule="exact"/>
        <w:rPr>
          <w:sz w:val="20"/>
          <w:szCs w:val="20"/>
          <w:color w:val="auto"/>
        </w:rPr>
      </w:pPr>
    </w:p>
    <w:p>
      <w:pPr>
        <w:ind w:left="700" w:hanging="247"/>
        <w:spacing w:after="0"/>
        <w:tabs>
          <w:tab w:leader="none" w:pos="700"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Voluntary or Involuntary Liquidation</w:t>
      </w:r>
      <w:r>
        <w:rPr>
          <w:rFonts w:ascii="Arial" w:cs="Arial" w:eastAsia="Arial" w:hAnsi="Arial"/>
          <w:sz w:val="17"/>
          <w:szCs w:val="17"/>
          <w:color w:val="auto"/>
        </w:rPr>
        <w:t>. In the event of any liquidation, dissolution or winding up of the affairs of the Corporation, whether</w:t>
      </w:r>
    </w:p>
    <w:p>
      <w:pPr>
        <w:spacing w:after="0" w:line="34" w:lineRule="exact"/>
        <w:rPr>
          <w:rFonts w:ascii="Arial" w:cs="Arial" w:eastAsia="Arial" w:hAnsi="Arial"/>
          <w:sz w:val="17"/>
          <w:szCs w:val="17"/>
          <w:color w:val="auto"/>
        </w:rPr>
      </w:pPr>
    </w:p>
    <w:p>
      <w:pPr>
        <w:spacing w:after="0" w:line="270" w:lineRule="auto"/>
        <w:rPr>
          <w:rFonts w:ascii="Arial" w:cs="Arial" w:eastAsia="Arial" w:hAnsi="Arial"/>
          <w:sz w:val="17"/>
          <w:szCs w:val="17"/>
          <w:color w:val="auto"/>
        </w:rPr>
      </w:pPr>
      <w:r>
        <w:rPr>
          <w:rFonts w:ascii="Arial" w:cs="Arial" w:eastAsia="Arial" w:hAnsi="Arial"/>
          <w:sz w:val="17"/>
          <w:szCs w:val="17"/>
          <w:color w:val="auto"/>
        </w:rPr>
        <w:t>voluntary or involuntary, holders of Designated Preferred Stock shall be entitled to receive for each share of Designated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Designated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w:t>
      </w:r>
    </w:p>
    <w:p>
      <w:pPr>
        <w:spacing w:after="0" w:line="151" w:lineRule="exact"/>
        <w:rPr>
          <w:rFonts w:ascii="Arial" w:cs="Arial" w:eastAsia="Arial" w:hAnsi="Arial"/>
          <w:sz w:val="17"/>
          <w:szCs w:val="17"/>
          <w:color w:val="auto"/>
        </w:rPr>
      </w:pPr>
    </w:p>
    <w:p>
      <w:pPr>
        <w:ind w:right="20" w:firstLine="453"/>
        <w:spacing w:after="0" w:line="301" w:lineRule="auto"/>
        <w:tabs>
          <w:tab w:leader="none" w:pos="700"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Partial Payment</w:t>
      </w:r>
      <w:r>
        <w:rPr>
          <w:rFonts w:ascii="Arial" w:cs="Arial" w:eastAsia="Arial" w:hAnsi="Arial"/>
          <w:sz w:val="16"/>
          <w:szCs w:val="16"/>
          <w:color w:val="auto"/>
        </w:rPr>
        <w:t>. If in any distribution described in Section 4(a) above the assets of the Corporation or proceeds thereof are not sufficient to pay in full the amounts payable with respect to all outstanding shares of Designated Preferred Stock and the corresponding amounts payable with respect of any other stock of the Corporation ranking equally with Designated Preferred Stock as to such distribution, holders of Designated Preferred Stock and the holders of such other stock shall share ratably in any such distribution in proportion to the full respective distributions to which they are entitled.</w:t>
      </w:r>
    </w:p>
    <w:p>
      <w:pPr>
        <w:spacing w:after="0" w:line="116" w:lineRule="exact"/>
        <w:rPr>
          <w:rFonts w:ascii="Arial" w:cs="Arial" w:eastAsia="Arial" w:hAnsi="Arial"/>
          <w:sz w:val="16"/>
          <w:szCs w:val="16"/>
          <w:color w:val="auto"/>
        </w:rPr>
      </w:pPr>
    </w:p>
    <w:p>
      <w:pPr>
        <w:ind w:right="180" w:firstLine="453"/>
        <w:spacing w:after="0" w:line="259" w:lineRule="auto"/>
        <w:tabs>
          <w:tab w:leader="none" w:pos="69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Residual Distributions</w:t>
      </w:r>
      <w:r>
        <w:rPr>
          <w:rFonts w:ascii="Arial" w:cs="Arial" w:eastAsia="Arial" w:hAnsi="Arial"/>
          <w:sz w:val="18"/>
          <w:szCs w:val="18"/>
          <w:color w:val="auto"/>
        </w:rPr>
        <w:t>. If the Liquidation Preference has been paid in full to all holders of Designated Preferred Stock and the corresponding amounts payable with respect of any other stock of the Corporation ranking equally with Designated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146" w:lineRule="exact"/>
        <w:rPr>
          <w:rFonts w:ascii="Arial" w:cs="Arial" w:eastAsia="Arial" w:hAnsi="Arial"/>
          <w:sz w:val="18"/>
          <w:szCs w:val="18"/>
          <w:color w:val="auto"/>
        </w:rPr>
      </w:pPr>
    </w:p>
    <w:p>
      <w:pPr>
        <w:ind w:right="300" w:firstLine="453"/>
        <w:spacing w:after="0" w:line="259" w:lineRule="auto"/>
        <w:tabs>
          <w:tab w:leader="none" w:pos="70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For purposes of this Section 4, the merger or consolidation of the Corporation with any other corporation or other entity, including a merger or consolidation in which the holders of Designated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85" w:lineRule="exact"/>
        <w:rPr>
          <w:sz w:val="20"/>
          <w:szCs w:val="20"/>
          <w:color w:val="auto"/>
        </w:rPr>
      </w:pPr>
    </w:p>
    <w:p>
      <w:pPr>
        <w:ind w:right="40" w:firstLine="453"/>
        <w:spacing w:after="0" w:line="272" w:lineRule="auto"/>
        <w:tabs>
          <w:tab w:leader="none" w:pos="690"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Optional Redemption</w:t>
      </w:r>
      <w:r>
        <w:rPr>
          <w:rFonts w:ascii="Arial" w:cs="Arial" w:eastAsia="Arial" w:hAnsi="Arial"/>
          <w:sz w:val="17"/>
          <w:szCs w:val="17"/>
          <w:color w:val="auto"/>
        </w:rPr>
        <w:t>. Except as provided below, the Designated Preferred Stock may not be redeemed prior to the first Dividend Payment Date falling on or after the third anniversary of the Original Issue Date. On or after the first Dividend Payment Date falling on or after the third anniversary of the Original Issue Date, the Corporation, at its option, subject to the approval of the Appropriate Federal Banking Agency, may redeem, in whole or in part, at any time and from time to time, out of funds legally available therefor,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 xml:space="preserve">Notwithstanding the foregoing, prior to the first Dividend Payment Date falling on or after the third anniversary of the Original Issue Date, the Corporation, at its option, subject to the approval of the Appropriate Federal Banking Agency, may redeem, in whole or in part, at any time and from time to time, the shares of Designated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any dividends are actually declared) to, but excluding, the date fixed for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the Corporation (or any successor by Business Combination) has received</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73" w:lineRule="auto"/>
        <w:rPr>
          <w:sz w:val="20"/>
          <w:szCs w:val="20"/>
          <w:color w:val="auto"/>
        </w:rPr>
      </w:pPr>
      <w:r>
        <w:rPr>
          <w:rFonts w:ascii="Arial" w:cs="Arial" w:eastAsia="Arial" w:hAnsi="Arial"/>
          <w:sz w:val="17"/>
          <w:szCs w:val="17"/>
          <w:color w:val="auto"/>
        </w:rPr>
        <w:t>aggregate gross proceeds of not less than the Minimum Amount (plus the “Minimum Amount” as defined in the relevant certificate of designations for each other outstanding series of preferred stock of such successor that was originally issued to the United States Department of the Treasury (the “</w:t>
      </w:r>
      <w:r>
        <w:rPr>
          <w:rFonts w:ascii="Arial" w:cs="Arial" w:eastAsia="Arial" w:hAnsi="Arial"/>
          <w:sz w:val="17"/>
          <w:szCs w:val="17"/>
          <w:u w:val="single" w:color="auto"/>
          <w:color w:val="auto"/>
        </w:rPr>
        <w:t>Successor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Preferred Stock”</w:t>
      </w:r>
      <w:r>
        <w:rPr>
          <w:rFonts w:ascii="Arial" w:cs="Arial" w:eastAsia="Arial" w:hAnsi="Arial"/>
          <w:sz w:val="17"/>
          <w:szCs w:val="17"/>
          <w:color w:val="auto"/>
        </w:rPr>
        <w:t>) in connection with the Troubled Asset Relief Program Capital Purchase Program) from one or more Qualified Equity Offerings (including Qualified Equity Offerings of such successor), and (y) the aggregate redemption price of the Designated Preferred Stock (and any Successor Preferred Stock) redeemed pursuant to this paragraph may not exceed the aggregate net cash proceeds received by the Corporation (or any successor by Business Combination) from such Qualified Equity Offerings (including Qualified Equity Offerings of such successor).</w:t>
      </w:r>
    </w:p>
    <w:p>
      <w:pPr>
        <w:spacing w:after="0" w:line="15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The redemption price for any shares of Designated Preferred Stock shall be payable on the redemption date to the holder of such shares against surrender of the certificate(s) evidencing such shares to the Corporation or its agent.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47" w:lineRule="exact"/>
        <w:rPr>
          <w:sz w:val="20"/>
          <w:szCs w:val="20"/>
          <w:color w:val="auto"/>
        </w:rPr>
      </w:pPr>
    </w:p>
    <w:p>
      <w:pPr>
        <w:ind w:right="380" w:firstLine="453"/>
        <w:spacing w:after="0" w:line="342" w:lineRule="auto"/>
        <w:tabs>
          <w:tab w:leader="none" w:pos="700"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No Sinking Fund</w:t>
      </w:r>
      <w:r>
        <w:rPr>
          <w:rFonts w:ascii="Arial" w:cs="Arial" w:eastAsia="Arial" w:hAnsi="Arial"/>
          <w:sz w:val="16"/>
          <w:szCs w:val="16"/>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83" w:lineRule="exact"/>
        <w:rPr>
          <w:rFonts w:ascii="Arial" w:cs="Arial" w:eastAsia="Arial" w:hAnsi="Arial"/>
          <w:sz w:val="16"/>
          <w:szCs w:val="16"/>
          <w:color w:val="auto"/>
        </w:rPr>
      </w:pPr>
    </w:p>
    <w:p>
      <w:pPr>
        <w:ind w:firstLine="453"/>
        <w:spacing w:after="0" w:line="269" w:lineRule="auto"/>
        <w:tabs>
          <w:tab w:leader="none" w:pos="690"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every redemption of shares of Designated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Corporation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0" w:lineRule="exact"/>
        <w:rPr>
          <w:sz w:val="20"/>
          <w:szCs w:val="20"/>
          <w:color w:val="auto"/>
        </w:rPr>
      </w:pPr>
    </w:p>
    <w:p>
      <w:pPr>
        <w:spacing w:after="0" w:line="349" w:lineRule="exact"/>
        <w:rPr>
          <w:sz w:val="20"/>
          <w:szCs w:val="20"/>
          <w:color w:val="auto"/>
        </w:rPr>
      </w:pPr>
    </w:p>
    <w:p>
      <w:pPr>
        <w:ind w:right="240" w:firstLine="453"/>
        <w:spacing w:after="0" w:line="296" w:lineRule="auto"/>
        <w:tabs>
          <w:tab w:leader="none" w:pos="70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Partial Redemption</w:t>
      </w:r>
      <w:r>
        <w:rPr>
          <w:rFonts w:ascii="Arial" w:cs="Arial" w:eastAsia="Arial" w:hAnsi="Arial"/>
          <w:sz w:val="16"/>
          <w:szCs w:val="16"/>
          <w:color w:val="auto"/>
        </w:rPr>
        <w:t xml:space="preserve">. In case of any redemption of part of the shares of Designated Preferred Stock at the time outstanding, the shares to be redeemed shall be selected either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or in such other manner as the Board of Directors or a duly authorized committee thereof may determine to be fair and equitable. Subject to the provisions hereof, the Board of Directors or a duly authorized committee thereof shall have full power and authority to prescribe the terms and conditions upon which shares of Designated Preferred Stock shall be redeemed from time to time. If fewer than all the shares represented by any certificate are redeemed, a new certificate shall be issued representing the unredeemed shares without charge to the holder thereof.</w:t>
      </w:r>
    </w:p>
    <w:p>
      <w:pPr>
        <w:spacing w:after="0" w:line="120" w:lineRule="exact"/>
        <w:rPr>
          <w:rFonts w:ascii="Arial" w:cs="Arial" w:eastAsia="Arial" w:hAnsi="Arial"/>
          <w:sz w:val="16"/>
          <w:szCs w:val="16"/>
          <w:color w:val="auto"/>
        </w:rPr>
      </w:pPr>
    </w:p>
    <w:p>
      <w:pPr>
        <w:ind w:right="60" w:firstLine="453"/>
        <w:spacing w:after="0" w:line="269" w:lineRule="auto"/>
        <w:tabs>
          <w:tab w:leader="none" w:pos="690"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Effectiveness of Redemption</w:t>
      </w:r>
      <w:r>
        <w:rPr>
          <w:rFonts w:ascii="Arial" w:cs="Arial" w:eastAsia="Arial" w:hAnsi="Arial"/>
          <w:sz w:val="17"/>
          <w:szCs w:val="17"/>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ectPr>
          <w:pgSz w:w="11900" w:h="16838" w:orient="portrait"/>
          <w:cols w:equalWidth="0" w:num="1">
            <w:col w:w="11240"/>
          </w:cols>
          <w:pgMar w:left="320" w:top="1070" w:right="339" w:bottom="1440" w:gutter="0" w:footer="0" w:header="0"/>
        </w:sectPr>
      </w:pPr>
    </w:p>
    <w:bookmarkStart w:id="167" w:name="page168"/>
    <w:bookmarkEnd w:id="167"/>
    <w:p>
      <w:pPr>
        <w:jc w:val="both"/>
        <w:ind w:left="-40" w:right="40" w:firstLine="453"/>
        <w:spacing w:after="0" w:line="263" w:lineRule="auto"/>
        <w:tabs>
          <w:tab w:leader="none" w:pos="63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Shares of Designated Preferred Stock that are redeemed, repurchased or otherwise acquired by the Corporation shall revert to authorized but unissued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cancelled shares of Designated Preferred Stock may be reissued only as shares of any series of Preferred Stock other than Designated Preferred Stock).</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Conversion</w:t>
      </w:r>
      <w:r>
        <w:rPr>
          <w:rFonts w:ascii="Arial" w:cs="Arial" w:eastAsia="Arial" w:hAnsi="Arial"/>
          <w:sz w:val="16"/>
          <w:szCs w:val="16"/>
          <w:color w:val="auto"/>
        </w:rPr>
        <w:t>. Holders of Designated Preferred Stock shares shall have no right to exchange or convert such shares into any other securities.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85" w:lineRule="exact"/>
        <w:rPr>
          <w:sz w:val="20"/>
          <w:szCs w:val="20"/>
          <w:color w:val="auto"/>
        </w:rPr>
      </w:pPr>
    </w:p>
    <w:p>
      <w:pPr>
        <w:ind w:left="-40" w:right="180" w:firstLine="453"/>
        <w:spacing w:after="0" w:line="277" w:lineRule="auto"/>
        <w:tabs>
          <w:tab w:leader="none" w:pos="65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Designated Preferred Stock shall not have any voting rights except as set forth below or as otherwise from time to time required by law.</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firstLine="453"/>
        <w:spacing w:after="0" w:line="285" w:lineRule="auto"/>
        <w:tabs>
          <w:tab w:leader="none" w:pos="660"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t>Preferred Stock Directors</w:t>
      </w:r>
      <w:r>
        <w:rPr>
          <w:rFonts w:ascii="Arial" w:cs="Arial" w:eastAsia="Arial" w:hAnsi="Arial"/>
          <w:sz w:val="16"/>
          <w:szCs w:val="16"/>
          <w:color w:val="auto"/>
        </w:rPr>
        <w:t>. Whenever, at any time or times, dividends payable on the shares of Designated Preferred Stock have not been paid for an aggregate of six quarterly Dividend Periods or more, whether or not consecutive, the authorized number of directors of the Corporation shall automatically be increased by two and the holders of the Designated Preferred Stock shall have the right, with holders of shares of any one or more other classes or series of Voting Parity Stock outstanding at the time, voting together as a class, to elect two directors (hereinafter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and each a “</w:t>
      </w:r>
      <w:r>
        <w:rPr>
          <w:rFonts w:ascii="Arial" w:cs="Arial" w:eastAsia="Arial" w:hAnsi="Arial"/>
          <w:sz w:val="16"/>
          <w:szCs w:val="16"/>
          <w:u w:val="single" w:color="auto"/>
          <w:color w:val="auto"/>
        </w:rPr>
        <w:t>Preferred Director”</w:t>
      </w:r>
      <w:r>
        <w:rPr>
          <w:rFonts w:ascii="Arial" w:cs="Arial" w:eastAsia="Arial" w:hAnsi="Arial"/>
          <w:sz w:val="16"/>
          <w:szCs w:val="16"/>
          <w:color w:val="auto"/>
        </w:rPr>
        <w:t xml:space="preserve">) to fill such newly created directorships at the Corporation’s next annual meeting of stockholders (or at a special meeting called for that purpose prior to such next annual meeting) and at each subsequent annual meeting of stockholders until all accrued and unpaid dividends for all past Dividend Periods, including the latest completed Dividend Period (including, if applicable as provided in Section 3(a) above, dividends on such amount), on all outstanding shares of Designated Preferred Stock have been declared and paid in full at which time such right shall terminate with respect to the Designated Preferred Stock, except as herein or by law expressly provided, subject to revesting in the event of each and every subsequent default of the character above mentioned;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shall be a qualification for election for any Preferred Director that the election of such Preferred Director shall not cause the Corporation to violate any corporate governance requirements of any securities exchange or other trading facility on which securities of the Corporation may then be listed or traded that listed or traded companies must have a majority of independent directors. Upon any termination of the right of the holders of shares of Designated Preferred Stock and Voting Parity Stock as a class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together with the holders of shares of Voting Parity Stock, to the extent the voting rights of such holders described above are then exercisable. If the office of any Preferred Director becomes vacant for any reason other than removal from office as aforesaid, the remaining Preferred Director may choose a successor who shall hold office for the unexpired term in respect of which such vacancy occurred.</w:t>
      </w:r>
    </w:p>
    <w:p>
      <w:pPr>
        <w:spacing w:after="0" w:line="357" w:lineRule="exact"/>
        <w:rPr>
          <w:rFonts w:ascii="Arial" w:cs="Arial" w:eastAsia="Arial" w:hAnsi="Arial"/>
          <w:sz w:val="16"/>
          <w:szCs w:val="16"/>
          <w:color w:val="auto"/>
        </w:rPr>
      </w:pPr>
    </w:p>
    <w:p>
      <w:pPr>
        <w:jc w:val="both"/>
        <w:ind w:left="-40" w:firstLine="453"/>
        <w:spacing w:after="0" w:line="259" w:lineRule="auto"/>
        <w:tabs>
          <w:tab w:leader="none" w:pos="65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Class Voting Rights as to Particular Matters</w:t>
      </w:r>
      <w:r>
        <w:rPr>
          <w:rFonts w:ascii="Arial" w:cs="Arial" w:eastAsia="Arial" w:hAnsi="Arial"/>
          <w:sz w:val="18"/>
          <w:szCs w:val="18"/>
          <w:color w:val="auto"/>
        </w:rPr>
        <w:t>. So long as any shares of Designated Preferred Stock are outstanding, in addition to any other vote or consent of stockholders required by law or by the Charter, the vote or consent of the holders of at least 66 2/3% of the shares of Designated Preferred Stock at the time outstanding, voting as a separate class, given in person or by proxy, either in writing without a meeting or by vote at any meeting called for the purpose, shall be necessary for effecting or validating:</w:t>
      </w:r>
    </w:p>
    <w:p>
      <w:pPr>
        <w:spacing w:after="0" w:line="146" w:lineRule="exact"/>
        <w:rPr>
          <w:sz w:val="20"/>
          <w:szCs w:val="20"/>
          <w:color w:val="auto"/>
        </w:rPr>
      </w:pPr>
    </w:p>
    <w:p>
      <w:pPr>
        <w:ind w:left="-40" w:right="120" w:firstLine="453"/>
        <w:spacing w:after="0" w:line="279" w:lineRule="auto"/>
        <w:tabs>
          <w:tab w:leader="none" w:pos="620"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Authorization of Senior Stock</w:t>
      </w:r>
      <w:r>
        <w:rPr>
          <w:rFonts w:ascii="Arial" w:cs="Arial" w:eastAsia="Arial" w:hAnsi="Arial"/>
          <w:sz w:val="17"/>
          <w:szCs w:val="17"/>
          <w:color w:val="auto"/>
        </w:rPr>
        <w:t>. Any amendment or alteration of the Certificate of Designations for the Designated Preferred Stock or the Charter to authorize or create or increase the authorized amount of, or any issuance of, any shares of, or any securities convertible into or exchangeable or exercisable for shares of, any class or series of capital stock of the Corporation ranking senior to Designated Preferred Stock with respect to either or both the payment of dividends and/or the distribution of assets on any liquidation, dissolution or winding up of the Corporation;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60"/>
          </w:cols>
          <w:pgMar w:left="360" w:top="1070" w:right="379" w:bottom="1440" w:gutter="0" w:footer="0" w:header="0"/>
        </w:sectPr>
      </w:pPr>
    </w:p>
    <w:bookmarkStart w:id="168" w:name="page169"/>
    <w:bookmarkEnd w:id="168"/>
    <w:p>
      <w:pPr>
        <w:spacing w:after="0" w:line="238" w:lineRule="exact"/>
        <w:rPr>
          <w:sz w:val="20"/>
          <w:szCs w:val="20"/>
          <w:color w:val="auto"/>
        </w:rPr>
      </w:pPr>
    </w:p>
    <w:p>
      <w:pPr>
        <w:ind w:right="360" w:firstLine="453"/>
        <w:spacing w:after="0" w:line="259" w:lineRule="auto"/>
        <w:tabs>
          <w:tab w:leader="none" w:pos="710"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Amendment of Designated Preferred Stock</w:t>
      </w:r>
      <w:r>
        <w:rPr>
          <w:rFonts w:ascii="Arial" w:cs="Arial" w:eastAsia="Arial" w:hAnsi="Arial"/>
          <w:sz w:val="18"/>
          <w:szCs w:val="18"/>
          <w:color w:val="auto"/>
        </w:rPr>
        <w:t>. Any amendment, alteration or repeal of any provision of the Certificate of Designations for the Designated Preferred Stock or the Charter (including, unless no vote on such merger or consolidation is required by Section 7(c)(iii) below, any amendment, alteration or repeal by means of a merger, consolidation or otherwise) so as to adversely affect the rights, preferences, privileges or voting powers of the Designated Preferred Stock; or</w:t>
      </w:r>
    </w:p>
    <w:p>
      <w:pPr>
        <w:spacing w:after="0" w:line="146" w:lineRule="exact"/>
        <w:rPr>
          <w:rFonts w:ascii="Arial" w:cs="Arial" w:eastAsia="Arial" w:hAnsi="Arial"/>
          <w:sz w:val="18"/>
          <w:szCs w:val="18"/>
          <w:color w:val="auto"/>
        </w:rPr>
      </w:pPr>
    </w:p>
    <w:p>
      <w:pPr>
        <w:ind w:right="160" w:firstLine="453"/>
        <w:spacing w:after="0" w:line="286" w:lineRule="auto"/>
        <w:tabs>
          <w:tab w:leader="none" w:pos="760"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Share Exchanges, Reclassifications, Mergers and Consolidations</w:t>
      </w:r>
      <w:r>
        <w:rPr>
          <w:rFonts w:ascii="Arial" w:cs="Arial" w:eastAsia="Arial" w:hAnsi="Arial"/>
          <w:sz w:val="16"/>
          <w:szCs w:val="16"/>
          <w:color w:val="auto"/>
        </w:rPr>
        <w:t>. Any consummation of a binding share exchange or reclassification involving the Designated Preferred Stock, or of a merger or consolidation of the Corporation with another corporation or other entity, unless in each case (x) the shares of Designated Preferred Stock remain outstanding or, in the case of any such merger or consolidation with respect to which the Corporation is not the surviving or resulting entity, are converted into or exchanged for preference securities of the surviving or resulting entity or its ultimate parent, and</w:t>
      </w:r>
    </w:p>
    <w:p>
      <w:pPr>
        <w:spacing w:after="0" w:line="1" w:lineRule="exact"/>
        <w:rPr>
          <w:rFonts w:ascii="Arial" w:cs="Arial" w:eastAsia="Arial" w:hAnsi="Arial"/>
          <w:sz w:val="16"/>
          <w:szCs w:val="16"/>
          <w:color w:val="auto"/>
        </w:rPr>
      </w:pPr>
    </w:p>
    <w:p>
      <w:pPr>
        <w:jc w:val="both"/>
        <w:ind w:right="180" w:firstLine="8"/>
        <w:spacing w:after="0" w:line="302" w:lineRule="auto"/>
        <w:tabs>
          <w:tab w:leader="none" w:pos="25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such shares remaining outstanding or such preference securities, as the case may be, have such rights, preferences, privileges and voting powers, and limitations and restrictions thereof, taken as a whole, as are not materially less favorable to the holders thereof than the rights, preferences, privileges and voting powers, and limitations and restrictions thereof, of Designated Preferred Stock immediately prior to such consummation, taken as a whole;</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for all purposes of this Section 7(c), any increase in the amount of the authorized Preferred Stock, including any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amount of Designated Preferred Stock necessary to satisfy preemptive or similar rights granted by the Corporation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Designated Preferred Stock.</w:t>
      </w:r>
    </w:p>
    <w:p>
      <w:pPr>
        <w:spacing w:after="0" w:line="151" w:lineRule="exact"/>
        <w:rPr>
          <w:sz w:val="20"/>
          <w:szCs w:val="20"/>
          <w:color w:val="auto"/>
        </w:rPr>
      </w:pPr>
    </w:p>
    <w:p>
      <w:pPr>
        <w:ind w:right="220" w:firstLine="453"/>
        <w:spacing w:after="0" w:line="259" w:lineRule="auto"/>
        <w:tabs>
          <w:tab w:leader="none" w:pos="7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Designated Preferred Stock shall be required pursuant to Section 7(c)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146" w:lineRule="exact"/>
        <w:rPr>
          <w:rFonts w:ascii="Arial" w:cs="Arial" w:eastAsia="Arial" w:hAnsi="Arial"/>
          <w:sz w:val="18"/>
          <w:szCs w:val="18"/>
          <w:color w:val="auto"/>
        </w:rPr>
      </w:pPr>
    </w:p>
    <w:p>
      <w:pPr>
        <w:ind w:right="20" w:firstLine="453"/>
        <w:spacing w:after="0" w:line="255" w:lineRule="auto"/>
        <w:tabs>
          <w:tab w:leader="none" w:pos="69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Procedures for Voting and Consents</w:t>
      </w:r>
      <w:r>
        <w:rPr>
          <w:rFonts w:ascii="Arial" w:cs="Arial" w:eastAsia="Arial" w:hAnsi="Arial"/>
          <w:sz w:val="18"/>
          <w:szCs w:val="18"/>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pacing w:after="0" w:line="200" w:lineRule="exact"/>
        <w:rPr>
          <w:sz w:val="20"/>
          <w:szCs w:val="20"/>
          <w:color w:val="auto"/>
        </w:rPr>
      </w:pPr>
    </w:p>
    <w:p>
      <w:pPr>
        <w:spacing w:after="0" w:line="376"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Record Holders</w:t>
      </w:r>
      <w:r>
        <w:rPr>
          <w:rFonts w:ascii="Arial" w:cs="Arial" w:eastAsia="Arial" w:hAnsi="Arial"/>
          <w:sz w:val="18"/>
          <w:szCs w:val="18"/>
          <w:color w:val="auto"/>
        </w:rPr>
        <w:t>. To the fullest extent permitted by applicable law, the Corporation and the transfer agent for Designated Preferred Stock may deem and treat the record holder of any share of Designated Preferred Stock as the true and lawful owner thereof for all purposes, and neither the Corporation nor such transfer agent shall be affected by any notice to the contrary.</w:t>
      </w:r>
    </w:p>
    <w:p>
      <w:pPr>
        <w:spacing w:after="0" w:line="143"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Designations, in the Charter or Bylaws or by applicable law. Notwithstanding the foregoing, if shares of Designated Preferred Stock are issued in book-entry form through The Depository Trust Corporation or any similar facility, such notices may be given to the holders of Designated Preferred Stock in any manner permitted by such facility.</w:t>
      </w:r>
    </w:p>
    <w:p>
      <w:pPr>
        <w:sectPr>
          <w:pgSz w:w="11900" w:h="16838" w:orient="portrait"/>
          <w:cols w:equalWidth="0" w:num="1">
            <w:col w:w="11220"/>
          </w:cols>
          <w:pgMar w:left="320" w:top="1440" w:right="359" w:bottom="1440" w:gutter="0" w:footer="0" w:header="0"/>
        </w:sectPr>
      </w:pPr>
    </w:p>
    <w:bookmarkStart w:id="169" w:name="page170"/>
    <w:bookmarkEnd w:id="169"/>
    <w:p>
      <w:pPr>
        <w:jc w:val="both"/>
        <w:ind w:right="60" w:firstLine="445"/>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Designated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15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146" w:lineRule="exact"/>
        <w:rPr>
          <w:sz w:val="20"/>
          <w:szCs w:val="20"/>
          <w:color w:val="auto"/>
        </w:rPr>
      </w:pPr>
    </w:p>
    <w:p>
      <w:pPr>
        <w:ind w:right="320" w:firstLine="445"/>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40"/>
          </w:cols>
          <w:pgMar w:left="320" w:top="1070" w:right="339" w:bottom="1440" w:gutter="0" w:footer="0" w:header="0"/>
        </w:sectPr>
      </w:pPr>
    </w:p>
    <w:bookmarkStart w:id="170" w:name="page171"/>
    <w:bookmarkEnd w:id="170"/>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ARTICLES OF AMENDMENT</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UNITED COMMUNITY BANKS, INC.</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w:t>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The Restated Articles of Incorporation of the corporation are amended by striking the first paragraph of Article V thereof and inserting the following:</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corporation shall have authority to issue 100,000,000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3.</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amendment was adopted by the board of directors of the corporation at a meeting held on March 5, 2004 and by the shareholders of the corporation at a meeting held on April 28, 2004.</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executed these Articles of Amendment to the Articles of Incorporation of United Community Bank,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28th day of April,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UNITED COMMUNITY BANK, INC.</w:t>
      </w:r>
    </w:p>
    <w:p>
      <w:pPr>
        <w:spacing w:after="0" w:line="333" w:lineRule="exact"/>
        <w:rPr>
          <w:sz w:val="20"/>
          <w:szCs w:val="20"/>
          <w:color w:val="auto"/>
        </w:rPr>
      </w:pPr>
    </w:p>
    <w:p>
      <w:pPr>
        <w:ind w:left="5080"/>
        <w:spacing w:after="0"/>
        <w:tabs>
          <w:tab w:leader="none" w:pos="5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JIMMY C. TALLENT</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Jimmy C. Tallent</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20"/>
          </w:cols>
          <w:pgMar w:left="320" w:top="1440" w:right="459" w:bottom="1440" w:gutter="0" w:footer="0" w:header="0"/>
        </w:sectPr>
      </w:pPr>
    </w:p>
    <w:bookmarkStart w:id="171" w:name="page172"/>
    <w:bookmarkEnd w:id="171"/>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RESTATED ARTICLES OF INCORPORATION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is organized pursuant to the provisions of the Georgia Business Corporation Code.</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have perpetual duration.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18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corporation is a corporation for profit and is organized for the following general purposes: to be a bank holding company; to carry on any lawful businesses or activities relating thereto; and to engage in any lawful act or activity for which corporations may be organized under the Georgia Business Corporation Code.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corporation shall have authority to issue 50,000,000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by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1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Board of Directors is hereby expressly authorized to issue, at any time and from time to time, shares of Preferred Stock in one or more series. The number of shares within such series shall be designated by the Board of Directors in one or more resolutions, and the shares of each series so designated shall have such preferences with respect to Common Stock and other series of Preferred Stock, and such other rights, restrictions or limitations with respect to voting, dividends, conversion, exchange, redemption and any other matters, as may be set forth in one or more resolutions adopted by the Board of Directors. To the extent required by law, Articles of Amendment setting forth any such designations, preferences, rights, restrictions or limitations shall be filed with the Georgia Secretary of State prior to the issuance of any shares of such series.</w:t>
      </w:r>
    </w:p>
    <w:p>
      <w:pPr>
        <w:spacing w:after="0" w:line="15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authority of the Board of Directors with respect to the establishment of each series of Preferred Stock shall include, without limiting the generality of the foregoing, determination of the following matters which may vary between series:</w:t>
      </w:r>
    </w:p>
    <w:p>
      <w:pPr>
        <w:spacing w:after="0" w:line="130" w:lineRule="exact"/>
        <w:rPr>
          <w:sz w:val="20"/>
          <w:szCs w:val="20"/>
          <w:color w:val="auto"/>
        </w:rPr>
      </w:pPr>
    </w:p>
    <w:p>
      <w:pPr>
        <w:ind w:left="240" w:hanging="232"/>
        <w:spacing w:after="0"/>
        <w:tabs>
          <w:tab w:leader="none" w:pos="2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184" w:lineRule="exact"/>
        <w:rPr>
          <w:rFonts w:ascii="Arial" w:cs="Arial" w:eastAsia="Arial" w:hAnsi="Arial"/>
          <w:sz w:val="18"/>
          <w:szCs w:val="18"/>
          <w:color w:val="auto"/>
        </w:rPr>
      </w:pPr>
    </w:p>
    <w:p>
      <w:pPr>
        <w:ind w:right="380" w:firstLine="8"/>
        <w:spacing w:after="0" w:line="277" w:lineRule="auto"/>
        <w:tabs>
          <w:tab w:leader="none" w:pos="2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payments of dividends on shares of that series;</w:t>
      </w:r>
    </w:p>
    <w:p>
      <w:pPr>
        <w:spacing w:after="0" w:line="143" w:lineRule="exact"/>
        <w:rPr>
          <w:rFonts w:ascii="Arial" w:cs="Arial" w:eastAsia="Arial" w:hAnsi="Arial"/>
          <w:sz w:val="18"/>
          <w:szCs w:val="18"/>
          <w:color w:val="auto"/>
        </w:rPr>
      </w:pPr>
    </w:p>
    <w:p>
      <w:pPr>
        <w:ind w:left="240" w:hanging="232"/>
        <w:spacing w:after="0"/>
        <w:tabs>
          <w:tab w:leader="none" w:pos="2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184" w:lineRule="exact"/>
        <w:rPr>
          <w:rFonts w:ascii="Arial" w:cs="Arial" w:eastAsia="Arial" w:hAnsi="Arial"/>
          <w:sz w:val="18"/>
          <w:szCs w:val="18"/>
          <w:color w:val="auto"/>
        </w:rPr>
      </w:pPr>
    </w:p>
    <w:p>
      <w:pPr>
        <w:ind w:right="60" w:firstLine="8"/>
        <w:spacing w:after="0" w:line="277" w:lineRule="auto"/>
        <w:tabs>
          <w:tab w:leader="none" w:pos="2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Whether that series shall have conversion privileges, and, if so, the terms and conditions of such conversion, including provisions for adjustment of the conversion rate in such events as the Board of Directors shall determine;</w:t>
      </w:r>
    </w:p>
    <w:p>
      <w:pPr>
        <w:spacing w:after="0" w:line="129" w:lineRule="exact"/>
        <w:rPr>
          <w:rFonts w:ascii="Arial" w:cs="Arial" w:eastAsia="Arial" w:hAnsi="Arial"/>
          <w:sz w:val="18"/>
          <w:szCs w:val="18"/>
          <w:color w:val="auto"/>
        </w:rPr>
      </w:pPr>
    </w:p>
    <w:p>
      <w:pPr>
        <w:ind w:right="120" w:firstLine="8"/>
        <w:spacing w:after="0" w:line="342" w:lineRule="auto"/>
        <w:tabs>
          <w:tab w:leader="none" w:pos="241"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Whether the shares of that series shall be redeemable, and, if so, the terms and conditions of such redemption, including the date or dates upon or after which they shall be redeemable, and the amount per share payable in case of redemption, which amount may vary under different conditions;</w:t>
      </w:r>
    </w:p>
    <w:p>
      <w:pPr>
        <w:sectPr>
          <w:pgSz w:w="11900" w:h="16838" w:orient="portrait"/>
          <w:cols w:equalWidth="0" w:num="1">
            <w:col w:w="11200"/>
          </w:cols>
          <w:pgMar w:left="320" w:top="1440" w:right="379" w:bottom="1440" w:gutter="0" w:footer="0" w:header="0"/>
        </w:sectPr>
      </w:pPr>
    </w:p>
    <w:bookmarkStart w:id="172" w:name="page173"/>
    <w:bookmarkEnd w:id="172"/>
    <w:p>
      <w:pPr>
        <w:ind w:right="320" w:firstLine="8"/>
        <w:spacing w:after="0" w:line="277" w:lineRule="auto"/>
        <w:tabs>
          <w:tab w:leader="none" w:pos="22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Whether that series shall have a sinking fund for the redemption or purchase of shares of that series, and, if so, the terms and amount of such sinking fund;</w:t>
      </w:r>
    </w:p>
    <w:p>
      <w:pPr>
        <w:spacing w:after="0" w:line="143" w:lineRule="exact"/>
        <w:rPr>
          <w:rFonts w:ascii="Arial" w:cs="Arial" w:eastAsia="Arial" w:hAnsi="Arial"/>
          <w:sz w:val="18"/>
          <w:szCs w:val="18"/>
          <w:color w:val="auto"/>
        </w:rPr>
      </w:pPr>
    </w:p>
    <w:p>
      <w:pPr>
        <w:ind w:right="140" w:firstLine="8"/>
        <w:spacing w:after="0" w:line="277" w:lineRule="auto"/>
        <w:tabs>
          <w:tab w:leader="none" w:pos="25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winding-up of the corporation, and the relative rights of priority, if any, of payment of shares of that series; and</w:t>
      </w:r>
    </w:p>
    <w:p>
      <w:pPr>
        <w:spacing w:after="0" w:line="129" w:lineRule="exact"/>
        <w:rPr>
          <w:rFonts w:ascii="Arial" w:cs="Arial" w:eastAsia="Arial" w:hAnsi="Arial"/>
          <w:sz w:val="18"/>
          <w:szCs w:val="18"/>
          <w:color w:val="auto"/>
        </w:rPr>
      </w:pPr>
    </w:p>
    <w:p>
      <w:pPr>
        <w:ind w:right="720" w:firstLine="8"/>
        <w:spacing w:after="0" w:line="277" w:lineRule="auto"/>
        <w:tabs>
          <w:tab w:leader="none" w:pos="24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other relative preferences, rights, restrictions or limitations of that series, including but not limited to any obligations of the corporation to repurchase shares of that series upon the occurrence of specified events.</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the 10,000,000 shares of authorized Preferred Stock, 287,411 shares shall be designated Series A Non-Cumulative Preferred Stock and shall have the preferences, limitations and relative rights set forth below:</w:t>
      </w:r>
    </w:p>
    <w:p>
      <w:pPr>
        <w:spacing w:after="0" w:line="143" w:lineRule="exact"/>
        <w:rPr>
          <w:sz w:val="20"/>
          <w:szCs w:val="20"/>
          <w:color w:val="auto"/>
        </w:rPr>
      </w:pPr>
    </w:p>
    <w:p>
      <w:pPr>
        <w:ind w:right="40" w:firstLine="8"/>
        <w:spacing w:after="0" w:line="263" w:lineRule="auto"/>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Designation and Number of Shares. The series will be known as the “Series A Non-Cumulative Preferred Stock” (the “Series A Preferred Stock”), and will be a series consisting of 287,411 shares of the authorized but unissued preferred stock of the corporation. The Series A Preferred Stock shall have a par value of $1.00 per share and a stated value of $10 per share (the “Stated Value”).</w:t>
      </w:r>
    </w:p>
    <w:p>
      <w:pPr>
        <w:spacing w:after="0" w:line="143" w:lineRule="exact"/>
        <w:rPr>
          <w:rFonts w:ascii="Arial" w:cs="Arial" w:eastAsia="Arial" w:hAnsi="Arial"/>
          <w:sz w:val="18"/>
          <w:szCs w:val="18"/>
          <w:color w:val="auto"/>
        </w:rPr>
      </w:pPr>
    </w:p>
    <w:p>
      <w:pPr>
        <w:ind w:right="40" w:firstLine="8"/>
        <w:spacing w:after="0" w:line="269" w:lineRule="auto"/>
        <w:tabs>
          <w:tab w:leader="none" w:pos="18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Dividends. The corporation is under no obligation to pay dividends on the Series A Preferred Stock. Provided, however, no dividend shall be paid on the Common Stock until dividends have been declared and are payable to the holders of record of the Series A Preferred Stock from the date of issuance of such stock at the Dividend Rate for each of the Quarterly Dividend Periods which shall commence on October 1, January 1, April 1, and July 1, in each year and shall end on and include the day next preceding the first day of the next Quarterly Dividend Period. Each such dividend shall be paid to the holders of record of shares of Series A Preferred Stock as they appear on the stock register of the corporation on such record date. The amount of dividends per share payable for each Quarterly Dividend Period shall be computed by dividing the Dividend Rate by four and applying such rate against the Stated Value per share of the Series A Preferred Stock. Dividends payable on the Series A Preferred Stock for any period less than a full Quarterly Dividend Period and for any portion of the initial dividend period between issuance and the day next preceding the first October 1, January 1, April 1 or July 1 following such issuance shall be computed on the basis of a 360-day year of four 90-day quarters and the actual number of days elapsed in the period for which they are payable. The dividend rate shall be 6% per annum (the “Dividend Rate”).</w:t>
      </w:r>
    </w:p>
    <w:p>
      <w:pPr>
        <w:spacing w:after="0" w:line="144" w:lineRule="exact"/>
        <w:rPr>
          <w:rFonts w:ascii="Arial" w:cs="Arial" w:eastAsia="Arial" w:hAnsi="Arial"/>
          <w:sz w:val="17"/>
          <w:szCs w:val="17"/>
          <w:color w:val="auto"/>
        </w:rPr>
      </w:pPr>
    </w:p>
    <w:p>
      <w:pPr>
        <w:ind w:left="180" w:hanging="172"/>
        <w:spacing w:after="0"/>
        <w:tabs>
          <w:tab w:leader="none" w:pos="1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Liquidation Preference.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Preference.</w:t>
      </w:r>
    </w:p>
    <w:p>
      <w:pPr>
        <w:spacing w:after="0" w:line="185" w:lineRule="exact"/>
        <w:rPr>
          <w:sz w:val="20"/>
          <w:szCs w:val="20"/>
          <w:color w:val="auto"/>
        </w:rPr>
      </w:pPr>
    </w:p>
    <w:p>
      <w:pPr>
        <w:ind w:right="20" w:firstLine="8"/>
        <w:spacing w:after="0" w:line="269" w:lineRule="auto"/>
        <w:tabs>
          <w:tab w:leader="none" w:pos="21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 up of the corporation, either voluntarily or involuntarily, the holders of the Series A Preferred Stock shall be entitled to receive prior and in preference to any distribution of any of the assets or surplus funds of the corporation to the holders of Common Stock, an amount equal to (A) the Stated Value per share, plus (B) a further amount equal to any dividends accrued but unpaid on such shares. If, upon such liquidation, dissolution, or winding up of the corporation, the assets of the corporation available for distribution to the shareholders of the corporation are insufficient to provide for the payment of the full aforesaid preferential amount, such assets as are so available shall be distributed among the holders of the Series A Preferred Stock pro rata in accordance with the number of shares of Series A Preferred Stock held by them. The consolidation or merger of the corporation with or into another corporation, or a sale, whether for cash, shares of stock, securities or properties, of all or substantially all of the assets of the corporation (a “Reorganization”), shall not be deemed or construed to be a liquidation, dissolution or winding up of the corporation within the meaning of this Paragraph. In the case of any Reorganization, the corporation shall enter into an agreement with such other entity for the benefit of the holders of Series A Preferred Stock that shall contain such provisions to protect the interests of such holders as the Board of Directors of the corporation shall reasonably consider necessary.</w:t>
      </w:r>
    </w:p>
    <w:p>
      <w:pPr>
        <w:spacing w:after="0" w:line="141" w:lineRule="exact"/>
        <w:rPr>
          <w:rFonts w:ascii="Arial" w:cs="Arial" w:eastAsia="Arial" w:hAnsi="Arial"/>
          <w:sz w:val="17"/>
          <w:szCs w:val="17"/>
          <w:color w:val="auto"/>
        </w:rPr>
      </w:pPr>
    </w:p>
    <w:p>
      <w:pPr>
        <w:ind w:firstLine="8"/>
        <w:spacing w:after="0" w:line="263" w:lineRule="auto"/>
        <w:tabs>
          <w:tab w:leader="none" w:pos="2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After the payment or the setting apart for payment to the holders of the Series A Preferred Stock of the preferential amounts so payable to them, if assets remain in the corporation, the holders of the Common Stock of the corporation shall receive all of the remaining assets of the corporation pro rata in accordance with the number of shares of Common Stock held by them.</w:t>
      </w:r>
    </w:p>
    <w:p>
      <w:pPr>
        <w:spacing w:after="0" w:line="157" w:lineRule="exact"/>
        <w:rPr>
          <w:sz w:val="20"/>
          <w:szCs w:val="20"/>
          <w:color w:val="auto"/>
        </w:rPr>
      </w:pPr>
    </w:p>
    <w:p>
      <w:pPr>
        <w:ind w:right="100" w:firstLine="8"/>
        <w:spacing w:after="0" w:line="259" w:lineRule="auto"/>
        <w:tabs>
          <w:tab w:leader="none" w:pos="2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Noncash Distributions. If any of the assets of the corporation are to be distributed other than in cash under this paragraph 3 or for any purpose, then the Board of Directors of the corporation shall promptly engage independent competent appraisers to determine the value of the assets to be distributed to the holders of Preferred Stock or Common Stock. The corporation shall, upon receipt of such appraiser’s valuation, give prompt written notice to each holder of shares of Series A Preferred Stock or Common Stock of the appraiser’s valuation.</w:t>
      </w:r>
    </w:p>
    <w:p>
      <w:pPr>
        <w:spacing w:after="0" w:line="146" w:lineRule="exact"/>
        <w:rPr>
          <w:sz w:val="20"/>
          <w:szCs w:val="20"/>
          <w:color w:val="auto"/>
        </w:rPr>
      </w:pPr>
    </w:p>
    <w:p>
      <w:pPr>
        <w:ind w:left="180" w:hanging="172"/>
        <w:spacing w:after="0"/>
        <w:tabs>
          <w:tab w:leader="none" w:pos="1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Voting Rights. Series A Preferred Stock has no voting rights except as required by the Georgia Business Corporation Code.</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Conversion. The Series A Preferred Stock is not convertible into Common Stock.</w:t>
      </w:r>
    </w:p>
    <w:p>
      <w:pPr>
        <w:sectPr>
          <w:pgSz w:w="11900" w:h="16838" w:orient="portrait"/>
          <w:cols w:equalWidth="0" w:num="1">
            <w:col w:w="11240"/>
          </w:cols>
          <w:pgMar w:left="320" w:top="1070" w:right="339" w:bottom="1440" w:gutter="0" w:footer="0" w:header="0"/>
        </w:sectPr>
      </w:pPr>
    </w:p>
    <w:bookmarkStart w:id="173" w:name="page174"/>
    <w:bookmarkEnd w:id="173"/>
    <w:p>
      <w:pPr>
        <w:ind w:left="172" w:hanging="172"/>
        <w:spacing w:after="0"/>
        <w:tabs>
          <w:tab w:leader="none" w:pos="17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Optional Redemption of Series A Preferred Stock.</w:t>
      </w:r>
    </w:p>
    <w:p>
      <w:pPr>
        <w:spacing w:after="0" w:line="198" w:lineRule="exact"/>
        <w:rPr>
          <w:rFonts w:ascii="Arial" w:cs="Arial" w:eastAsia="Arial" w:hAnsi="Arial"/>
          <w:sz w:val="18"/>
          <w:szCs w:val="18"/>
          <w:color w:val="auto"/>
        </w:rPr>
      </w:pPr>
    </w:p>
    <w:p>
      <w:pPr>
        <w:ind w:left="-8" w:right="280" w:firstLine="453"/>
        <w:spacing w:after="0" w:line="279" w:lineRule="auto"/>
        <w:tabs>
          <w:tab w:leader="none" w:pos="682" w:val="left"/>
        </w:tabs>
        <w:numPr>
          <w:ilvl w:val="1"/>
          <w:numId w:val="249"/>
        </w:numPr>
        <w:rPr>
          <w:rFonts w:ascii="Arial" w:cs="Arial" w:eastAsia="Arial" w:hAnsi="Arial"/>
          <w:sz w:val="17"/>
          <w:szCs w:val="17"/>
          <w:color w:val="auto"/>
        </w:rPr>
      </w:pPr>
      <w:r>
        <w:rPr>
          <w:rFonts w:ascii="Arial" w:cs="Arial" w:eastAsia="Arial" w:hAnsi="Arial"/>
          <w:sz w:val="17"/>
          <w:szCs w:val="17"/>
          <w:color w:val="auto"/>
        </w:rPr>
        <w:t>Subject to the following limitations, the corporation, at its sole option and upon the approval of the Board of Governors of the Federal Reserve System or the Federal Reserve Bank of Atlanta as its designee, may redeem the whole or any part of the then outstanding Series A Preferred Stock by paying in cash for each share redeemed an amount equal to the Stated Value of each share redeemed plus the full dividends accrued but unpaid on each such share (whether or not declared) through the redemption date (the “Redemption Price”).</w:t>
      </w:r>
    </w:p>
    <w:p>
      <w:pPr>
        <w:spacing w:after="0" w:line="130" w:lineRule="exact"/>
        <w:rPr>
          <w:rFonts w:ascii="Arial" w:cs="Arial" w:eastAsia="Arial" w:hAnsi="Arial"/>
          <w:sz w:val="17"/>
          <w:szCs w:val="17"/>
          <w:color w:val="auto"/>
        </w:rPr>
      </w:pPr>
    </w:p>
    <w:p>
      <w:pPr>
        <w:ind w:left="-8" w:right="20" w:firstLine="453"/>
        <w:spacing w:after="0" w:line="301" w:lineRule="auto"/>
        <w:tabs>
          <w:tab w:leader="none" w:pos="69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If less than all of the Series A Preferred Stock at any time outstanding shall be called for redemption hereunder, the shares to be redeemed shall be selected on a pro rata basis (with rounding to the nearest whole share) and upon such terms and conditions as the Board of Directors may determine (subject to the limitations and provisions contained herein). The corporation, at its option, may nonetheless redeem all of the shares of Series A Preferred Stock of any Record Holder if, as a result of a straight pro rata redemption, that Record Holder would then hold less than 1000 shares.</w:t>
      </w:r>
    </w:p>
    <w:p>
      <w:pPr>
        <w:spacing w:after="0" w:line="116" w:lineRule="exact"/>
        <w:rPr>
          <w:rFonts w:ascii="Arial" w:cs="Arial" w:eastAsia="Arial" w:hAnsi="Arial"/>
          <w:sz w:val="16"/>
          <w:szCs w:val="16"/>
          <w:color w:val="auto"/>
        </w:rPr>
      </w:pPr>
    </w:p>
    <w:p>
      <w:pPr>
        <w:ind w:left="-8" w:right="120" w:firstLine="453"/>
        <w:spacing w:after="0" w:line="289" w:lineRule="auto"/>
        <w:tabs>
          <w:tab w:leader="none" w:pos="682" w:val="left"/>
        </w:tabs>
        <w:numPr>
          <w:ilvl w:val="1"/>
          <w:numId w:val="249"/>
        </w:numPr>
        <w:rPr>
          <w:rFonts w:ascii="Arial" w:cs="Arial" w:eastAsia="Arial" w:hAnsi="Arial"/>
          <w:sz w:val="16"/>
          <w:szCs w:val="16"/>
          <w:color w:val="auto"/>
        </w:rPr>
      </w:pPr>
      <w:r>
        <w:rPr>
          <w:rFonts w:ascii="Arial" w:cs="Arial" w:eastAsia="Arial" w:hAnsi="Arial"/>
          <w:sz w:val="16"/>
          <w:szCs w:val="16"/>
          <w:color w:val="auto"/>
        </w:rPr>
        <w:t>Notice of redemption shall be mailed, certified mail, postage prepaid, not less than 10 days nor more than 60 days prior to the redemption date specified in that notice, to each Record Holder of the shares to be redeemed at the address appearing on the corporation’s stock records of the Series A Preferred Stock. Neither failure to mail such notice to one or more of such holders nor any defect in such notice shall affect the sufficiency of the proceedings of redemption as to other holders. Each such notice shall state: (A) the redemption date; (B) the applicable Redemption Price; (C) the number of shares of Series A Preferred Stock to be redeemed and, if less than all the outstanding shares of Series A Preferred Stock are to be redeemed, the basis upon which the corporation proposes to determine such lesser number of shares to be redeemed and the number of shares of such Record Holders that would be redeemed on such basis if such Record Holder continued to hold all of its shares on the Partial Redemption Determination Date (as defined below); (D) the place or places at which the certificates representing such shares are to be surrendered for payment of the Redemption Price; and (E) that dividends on the shares to be redeemed will cease to accrue on such redemption date.</w:t>
      </w:r>
    </w:p>
    <w:p>
      <w:pPr>
        <w:spacing w:after="0" w:line="139" w:lineRule="exact"/>
        <w:rPr>
          <w:sz w:val="20"/>
          <w:szCs w:val="20"/>
          <w:color w:val="auto"/>
        </w:rPr>
      </w:pPr>
    </w:p>
    <w:p>
      <w:pPr>
        <w:ind w:left="-8" w:right="80" w:firstLine="8"/>
        <w:spacing w:after="0" w:line="254" w:lineRule="auto"/>
        <w:tabs>
          <w:tab w:leader="none" w:pos="24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case of a redemption of less than all the outstanding shares of Series A Preferred Stock, the corporation’s final determination of the number of shares of each Record Holder to be redeemed shall be made with respect to Record Holders of Series A Preferred Stock as of the close of business five business days immediately preceding the redemption date (the “Partial Redemption Determination Date”). The transfer of shares of Series A Preferred Stock so determined for redemption shall not be permitted after the Partial Redemption Determination Date. The corporation may require that any transfer of shares of Series A Preferred Stock permitted by it between the date of the above notice to Record Holders and the partial Redemption Determination Date refer to the corporation’s notice of redemption and otherwise reflect that the transferor will acquire such shares subject to possible redemption as stated in such notice.</w:t>
      </w:r>
    </w:p>
    <w:p>
      <w:pPr>
        <w:spacing w:after="0" w:line="154" w:lineRule="exact"/>
        <w:rPr>
          <w:rFonts w:ascii="Arial" w:cs="Arial" w:eastAsia="Arial" w:hAnsi="Arial"/>
          <w:sz w:val="18"/>
          <w:szCs w:val="18"/>
          <w:color w:val="auto"/>
        </w:rPr>
      </w:pPr>
    </w:p>
    <w:p>
      <w:pPr>
        <w:ind w:left="-8" w:firstLine="8"/>
        <w:spacing w:after="0" w:line="269" w:lineRule="auto"/>
        <w:tabs>
          <w:tab w:leader="none" w:pos="23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If notice of redemption has been given pursuant to clause (c) above and if, on or before the redemption date specified in such notice, the funds necessary for such redemption have been irrevocably tendered by the corporation to the Record Holders of the shares being redeemed, or otherwise irrevocably designated or set aside in trust for the pro rata benefit of the holders of the shares so called for redemption in a manner permitted by the Georgia Business Corporation Code, then from and after the redemption date, notwithstanding that any certificate for shares so called for redemption shall not have been surrendered for cancellation or that any such shares may have been transferred (whether with or without the corporation’s permission), (A) all of the shares so called for redemption (as finally determined on the Partial Redemption Determination Date in case of a partial redemption) shall no longer be deemed outstanding, (B) all dividends shall cease to accrue thereon, and (C) all voting and other rights with respect to such shares shall cease and terminate (except the rights to receive the Redemption Price upon a surrender of certificate(s) representing such shares). Upon surrender, in accordance with said notice, of the certificates for any shares so called for redemption, properly endorsed, such shares shall be redeemed by the corporation at the Redemption Price. If fewer than all the shares represented by any such certificate are redeemed, a new certificate representing the unredeemed shares shall be issued without cost to the Record Holder thereof.</w:t>
      </w:r>
    </w:p>
    <w:p>
      <w:pPr>
        <w:spacing w:after="0" w:line="141" w:lineRule="exact"/>
        <w:rPr>
          <w:rFonts w:ascii="Arial" w:cs="Arial" w:eastAsia="Arial" w:hAnsi="Arial"/>
          <w:sz w:val="17"/>
          <w:szCs w:val="17"/>
          <w:color w:val="auto"/>
        </w:rPr>
      </w:pPr>
    </w:p>
    <w:p>
      <w:pPr>
        <w:ind w:left="-8" w:right="40" w:firstLine="8"/>
        <w:spacing w:after="0" w:line="290" w:lineRule="auto"/>
        <w:tabs>
          <w:tab w:leader="none" w:pos="217" w:val="left"/>
        </w:tabs>
        <w:numPr>
          <w:ilvl w:val="0"/>
          <w:numId w:val="250"/>
        </w:numPr>
        <w:rPr>
          <w:rFonts w:ascii="Arial" w:cs="Arial" w:eastAsia="Arial" w:hAnsi="Arial"/>
          <w:sz w:val="16"/>
          <w:szCs w:val="16"/>
          <w:color w:val="auto"/>
        </w:rPr>
      </w:pPr>
      <w:r>
        <w:rPr>
          <w:rFonts w:ascii="Arial" w:cs="Arial" w:eastAsia="Arial" w:hAnsi="Arial"/>
          <w:sz w:val="16"/>
          <w:szCs w:val="16"/>
          <w:color w:val="auto"/>
        </w:rPr>
        <w:t>On or before the redemption date, the corporation, in lieu of tendering the Redemption Price directly to the respective Record Holders, may deposit with an agent that is a bank or a trust company (the “Paying Agent”), or otherwise designate or set aside as provided in clause (e) above, funds sufficient to pay the Redemption Price for all shares of Series A Preferred Stock to be redeemed on the redemption date, other than any such shares that may have been previously delivered for other consideration in a transaction otherwise permitted by this Designation. Any interest earned on funds so designated, set aside, or deposited with a Paying Agent shall be retainable by or payable to the corporation, and holders of shares of Series A Preferred Stock shall have no rights with respect thereto. Any funds so deposited with a Paying Agent that shall remain unclaimed by the Record Holders of redeemed shares at the end of six months after the redemption date, together with any previously unpaid interest earned thereon, shall be released or repaid by the Paying Agent to the corporation, and thereafter such Record Holders shall look only to the corporation for payment of the Redemption Price.</w:t>
      </w:r>
    </w:p>
    <w:p>
      <w:pPr>
        <w:sectPr>
          <w:pgSz w:w="11900" w:h="16838" w:orient="portrait"/>
          <w:cols w:equalWidth="0" w:num="1">
            <w:col w:w="11232"/>
          </w:cols>
          <w:pgMar w:left="328" w:top="1070"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7. Certain General Matters.</w:t>
      </w:r>
    </w:p>
    <w:p>
      <w:pPr>
        <w:spacing w:after="0" w:line="185" w:lineRule="exact"/>
        <w:rPr>
          <w:sz w:val="20"/>
          <w:szCs w:val="20"/>
          <w:color w:val="auto"/>
        </w:rPr>
      </w:pPr>
    </w:p>
    <w:p>
      <w:pPr>
        <w:jc w:val="both"/>
        <w:ind w:firstLine="8"/>
        <w:spacing w:after="0" w:line="263" w:lineRule="auto"/>
        <w:tabs>
          <w:tab w:leader="none" w:pos="24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corporation shall have the rights, in connection with any issuance or transfer of a share of Series A Preferred Stock, to establish by contract with the proposed holder thereof any lawful restriction or limitation respecting the transfer or other disposition of, or any exercise of right appurtenant to, such share with which such proposed holder shall agree.</w:t>
      </w:r>
    </w:p>
    <w:p>
      <w:pPr>
        <w:spacing w:after="0" w:line="156" w:lineRule="exact"/>
        <w:rPr>
          <w:rFonts w:ascii="Arial" w:cs="Arial" w:eastAsia="Arial" w:hAnsi="Arial"/>
          <w:sz w:val="18"/>
          <w:szCs w:val="18"/>
          <w:color w:val="auto"/>
        </w:rPr>
      </w:pPr>
    </w:p>
    <w:p>
      <w:pPr>
        <w:jc w:val="both"/>
        <w:ind w:right="320" w:firstLine="8"/>
        <w:spacing w:after="0" w:line="311" w:lineRule="auto"/>
        <w:tabs>
          <w:tab w:leader="none" w:pos="25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In any case where any redemption date shall not be a business day, then notwithstanding any other provision hereof, payment of a redemption price need not be made on such date but may be made on the next succeeding business day with the same force and effect as if made on the redemption day; </w:t>
      </w:r>
      <w:r>
        <w:rPr>
          <w:rFonts w:ascii="Arial" w:cs="Arial" w:eastAsia="Arial" w:hAnsi="Arial"/>
          <w:sz w:val="16"/>
          <w:szCs w:val="16"/>
          <w:u w:val="single" w:color="auto"/>
          <w:color w:val="auto"/>
        </w:rPr>
        <w:t>provided</w:t>
      </w:r>
      <w:r>
        <w:rPr>
          <w:rFonts w:ascii="Arial" w:cs="Arial" w:eastAsia="Arial" w:hAnsi="Arial"/>
          <w:sz w:val="16"/>
          <w:szCs w:val="16"/>
          <w:color w:val="auto"/>
        </w:rPr>
        <w:t>, that for purposes of computing such payment, no interest shall accrue for the period from and after such redemption date, as the case may be.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18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No holder of any of the shares of any class of the corporation shall be entitled as of right to subscribe for, purchase or otherwise acquire any shares of any class of the corporation which the corporation proposes to issue or any rights or options which the corporation proposes to grant for the purchase of shares of any class of the corporation or for the purchase of any shares, bonds, securities, or obligations of the corporation which are convertible into or exchangeable for, or which carry any rights, to subscribe for, purchase, or otherwise acquire shares of any class of the corporation and any and all of such shares, bonds, securities, or obligations of the corporation, whether now or hereafter authorized or created, may be issued, or may be reissued if the same have been reacquired and if their reissue is not prohibited, and any and all of such rights and options may be granted by the Board of Directors to such individuals and entities, and for such lawful consideration, and on such terms, as the Board of Directors in its discretion may determine, without first offering the same, or any thereof, to any said holder.</w:t>
      </w:r>
    </w:p>
    <w:p>
      <w:pPr>
        <w:spacing w:after="0" w:line="15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shall not commence business until it shall have received at least $500.00 in payment for the issuance of shares of its stock.</w:t>
      </w:r>
    </w:p>
    <w:p>
      <w:pPr>
        <w:spacing w:after="0" w:line="18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VIII.</w:t>
      </w:r>
    </w:p>
    <w:p>
      <w:pPr>
        <w:spacing w:after="0" w:line="19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to, but not in limitation of, the general powers conferred by law, the corporation shall have the power to make distributions to its shareholders out of its capital surplus, to purchase its own shares out of its unreserved and unrestricted capital surplus available therefor and to carry on any lawful business.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IX.</w:t>
      </w:r>
    </w:p>
    <w:p>
      <w:pPr>
        <w:spacing w:after="0" w:line="18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In discharging the duties of their respective positions and in determining what is believed to be in the best interests of the corporation, the Board of Directors of the corporation, committees of the Board of Directors, and individual directors, in addition to considering the effects of any action on the corporation or its shareholders, may consider interests of the employees, customers, suppliers, and creditors of the corporation and its subsidiaries, the communities in which offices or other establishments of the corporation and its subsidiaries are located, and all other factors such directors consider pertinent; provided, however, that such consideration shall be deemed solely to grant discretionary authority to the directors and shall not be deemed to provide to any constituency any right to be considered.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No director of the corporation shall be personally liable to the corporation or its shareholders for monetary damages for breach of his duty of care or other duty as a director, provided, that this provision shall eliminate or limit the liability of a director only to the extent permitted from time to time by the Georgia Business Corporation Code or any successor laws or laws.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Except as otherwise provided by law, any amendment or repeal of any provision of the Articles of Incorporation or the Bylaws of the corporation requires the affirmative vote of holders of two-thirds of the shares of capital stock of the corporation then issued and outstanding and entitled to vote on such matters. Notwithstanding anything herein to the contrary, the number of authorized shares of any class of capital stock of the corporation may be increased by the affirmative vote of holders of a simple majority of the shares of capital stock of the corporation then issued and outstanding and entitled to vote on such matters.</w:t>
      </w:r>
    </w:p>
    <w:p>
      <w:pPr>
        <w:sectPr>
          <w:pgSz w:w="11900" w:h="16838" w:orient="portrait"/>
          <w:cols w:equalWidth="0" w:num="1">
            <w:col w:w="11220"/>
          </w:cols>
          <w:pgMar w:left="320" w:top="1435" w:right="35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color w:val="auto"/>
        </w:rPr>
        <w:t>XII.</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 (A) In addition to any affirmative vote required by law, and subject to the provisions of any series of Preferred Stock which may at the time be outstanding, the affirmative vote of the holders of not less than 75% of the outstanding shares of Common Stock of the corporation and the affirmative vote of the holders of not less than 75% of the outstanding shares of Common Stock of the corporation other than those beneficially owned (as defined below) by an Interested Shareholder (as defined below) (the “two-tier requirement”), shall be required for the approval or authorization of any Business Combination (as defined below) of the corporation with such Interested Shareholder; provided that the two-tier voting requirement shall not be applicable if the Business Combination was approved by three-fourths of all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(B) The term “Business Combination” as used in this Article XII shall mean:</w:t>
      </w:r>
    </w:p>
    <w:p>
      <w:pPr>
        <w:spacing w:after="0" w:line="185" w:lineRule="exact"/>
        <w:rPr>
          <w:sz w:val="20"/>
          <w:szCs w:val="20"/>
          <w:color w:val="auto"/>
        </w:rPr>
      </w:pPr>
    </w:p>
    <w:p>
      <w:pPr>
        <w:ind w:left="220" w:hanging="212"/>
        <w:spacing w:after="0"/>
        <w:tabs>
          <w:tab w:leader="none" w:pos="22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Subsidiary (as hereafter defined) with (a) any Interested Shareholder (as hereinafter defined) or</w:t>
      </w:r>
    </w:p>
    <w:p>
      <w:pPr>
        <w:spacing w:after="0" w:line="46" w:lineRule="exact"/>
        <w:rPr>
          <w:rFonts w:ascii="Arial" w:cs="Arial" w:eastAsia="Arial" w:hAnsi="Arial"/>
          <w:sz w:val="16"/>
          <w:szCs w:val="16"/>
          <w:color w:val="auto"/>
        </w:rPr>
      </w:pPr>
    </w:p>
    <w:p>
      <w:pPr>
        <w:ind w:right="660" w:firstLine="8"/>
        <w:spacing w:after="0" w:line="260" w:lineRule="auto"/>
        <w:tabs>
          <w:tab w:leader="none" w:pos="2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any other corporation (whether or not itself an Interested Shareholder) which is, or after such merger or consolidation would be, an Affiliate (as hereinafter defined) of an Interested Shareholder; or</w:t>
      </w:r>
    </w:p>
    <w:p>
      <w:pPr>
        <w:spacing w:after="0" w:line="158" w:lineRule="exact"/>
        <w:rPr>
          <w:sz w:val="20"/>
          <w:szCs w:val="20"/>
          <w:color w:val="auto"/>
        </w:rPr>
      </w:pPr>
    </w:p>
    <w:p>
      <w:pPr>
        <w:ind w:right="320" w:firstLine="8"/>
        <w:spacing w:after="0" w:line="263" w:lineRule="auto"/>
        <w:tabs>
          <w:tab w:leader="none" w:pos="26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to or with any Interested Shareholder or any Affiliate of any Interested Shareholder of any assets of the corporation or any Subsidiary having an aggregate Fair Market Value (as hereinafter defined) of $1,000,000 or more; or</w:t>
      </w:r>
    </w:p>
    <w:p>
      <w:pPr>
        <w:spacing w:after="0" w:line="143" w:lineRule="exact"/>
        <w:rPr>
          <w:rFonts w:ascii="Arial" w:cs="Arial" w:eastAsia="Arial" w:hAnsi="Arial"/>
          <w:sz w:val="18"/>
          <w:szCs w:val="18"/>
          <w:color w:val="auto"/>
        </w:rPr>
      </w:pPr>
    </w:p>
    <w:p>
      <w:pPr>
        <w:ind w:right="100" w:firstLine="8"/>
        <w:spacing w:after="0" w:line="263" w:lineRule="auto"/>
        <w:tabs>
          <w:tab w:leader="none" w:pos="31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(in one transaction or a series of transactions) of any securities of the corporation or any Subsidiary to any Interested Shareholder or any Affiliate of any Interested Shareholder in exchange for cash, securities or other property (or a combination thereof) having an aggregate Fair Market Value of $1,000,000 or more; or</w:t>
      </w:r>
    </w:p>
    <w:p>
      <w:pPr>
        <w:spacing w:after="0" w:line="143" w:lineRule="exact"/>
        <w:rPr>
          <w:rFonts w:ascii="Arial" w:cs="Arial" w:eastAsia="Arial" w:hAnsi="Arial"/>
          <w:sz w:val="18"/>
          <w:szCs w:val="18"/>
          <w:color w:val="auto"/>
        </w:rPr>
      </w:pPr>
    </w:p>
    <w:p>
      <w:pPr>
        <w:ind w:right="180" w:firstLine="8"/>
        <w:spacing w:after="0" w:line="277" w:lineRule="auto"/>
        <w:tabs>
          <w:tab w:leader="none" w:pos="3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proposed by or on behalf of an Interested Shareholder or any Affiliate of any Interested Shareholder; or</w:t>
      </w:r>
    </w:p>
    <w:p>
      <w:pPr>
        <w:spacing w:after="0" w:line="143" w:lineRule="exact"/>
        <w:rPr>
          <w:rFonts w:ascii="Arial" w:cs="Arial" w:eastAsia="Arial" w:hAnsi="Arial"/>
          <w:sz w:val="18"/>
          <w:szCs w:val="18"/>
          <w:color w:val="auto"/>
        </w:rPr>
      </w:pPr>
    </w:p>
    <w:p>
      <w:pPr>
        <w:ind w:right="220" w:firstLine="8"/>
        <w:spacing w:after="0" w:line="301" w:lineRule="auto"/>
        <w:tabs>
          <w:tab w:leader="none" w:pos="255"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an Interested Shareholder) which has the effect, directly or indirectly, of increasing the proportionate share of the outstanding shares of any class of equity or convertible securities of the corporation or any Subsidiary which is directly or indirectly owned by any Interested Shareholder or any Affiliate of any Interested Shareholder.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II. For purposes of this Article XII:</w:t>
      </w:r>
    </w:p>
    <w:p>
      <w:pPr>
        <w:spacing w:after="0" w:line="185" w:lineRule="exact"/>
        <w:rPr>
          <w:sz w:val="20"/>
          <w:szCs w:val="20"/>
          <w:color w:val="auto"/>
        </w:rPr>
      </w:pPr>
    </w:p>
    <w:p>
      <w:pPr>
        <w:ind w:left="300" w:hanging="292"/>
        <w:spacing w:after="0"/>
        <w:tabs>
          <w:tab w:leader="none" w:pos="3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or other entity.</w:t>
      </w:r>
    </w:p>
    <w:p>
      <w:pPr>
        <w:spacing w:after="0" w:line="198" w:lineRule="exact"/>
        <w:rPr>
          <w:rFonts w:ascii="Arial" w:cs="Arial" w:eastAsia="Arial" w:hAnsi="Arial"/>
          <w:sz w:val="18"/>
          <w:szCs w:val="18"/>
          <w:color w:val="auto"/>
        </w:rPr>
      </w:pPr>
    </w:p>
    <w:p>
      <w:pPr>
        <w:ind w:right="20" w:firstLine="8"/>
        <w:spacing w:after="0" w:line="277" w:lineRule="auto"/>
        <w:tabs>
          <w:tab w:leader="none" w:pos="28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“Interested Shareholder” shall mean any person (other than the corporation, any Subsidiary or either the corporation or any Subsidiary acting as Trustee or in a similar fiduciary capacity) who or which:</w:t>
      </w:r>
    </w:p>
    <w:p>
      <w:pPr>
        <w:spacing w:after="0" w:line="130" w:lineRule="exact"/>
        <w:rPr>
          <w:sz w:val="20"/>
          <w:szCs w:val="20"/>
          <w:color w:val="auto"/>
        </w:rPr>
      </w:pPr>
    </w:p>
    <w:p>
      <w:pPr>
        <w:ind w:left="220" w:hanging="212"/>
        <w:spacing w:after="0"/>
        <w:tabs>
          <w:tab w:leader="none" w:pos="22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is the beneficial owner of more than 10% of the outstanding Common Stock; or</w:t>
      </w:r>
    </w:p>
    <w:p>
      <w:pPr>
        <w:spacing w:after="0" w:line="184" w:lineRule="exact"/>
        <w:rPr>
          <w:rFonts w:ascii="Arial" w:cs="Arial" w:eastAsia="Arial" w:hAnsi="Arial"/>
          <w:sz w:val="18"/>
          <w:szCs w:val="18"/>
          <w:color w:val="auto"/>
        </w:rPr>
      </w:pPr>
    </w:p>
    <w:p>
      <w:pPr>
        <w:ind w:right="100" w:firstLine="8"/>
        <w:spacing w:after="0" w:line="277" w:lineRule="auto"/>
        <w:tabs>
          <w:tab w:leader="none" w:pos="26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is an Affiliate of the corporation and at any time within the two-year period immediately prior to the date in question was the beneficial owner, directly or indirectly, of 10% or more of then outstanding Common Stock; or</w:t>
      </w:r>
    </w:p>
    <w:p>
      <w:pPr>
        <w:spacing w:after="0" w:line="143" w:lineRule="exact"/>
        <w:rPr>
          <w:rFonts w:ascii="Arial" w:cs="Arial" w:eastAsia="Arial" w:hAnsi="Arial"/>
          <w:sz w:val="18"/>
          <w:szCs w:val="18"/>
          <w:color w:val="auto"/>
        </w:rPr>
      </w:pPr>
    </w:p>
    <w:p>
      <w:pPr>
        <w:jc w:val="both"/>
        <w:ind w:right="60" w:firstLine="8"/>
        <w:spacing w:after="0" w:line="263" w:lineRule="auto"/>
        <w:tabs>
          <w:tab w:leader="none" w:pos="31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acquired any shares of Common Stock which were at any time within the two-year period immediately prior to the date in question beneficially owned by any Interested Shareholder, if such acquisition shall have occurred in the course of a transaction or series of transactions not involving a public offering within the meaning of the Securities Act of 1993.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 A person shall be a “beneficial owner” of any Common Stock:</w:t>
      </w:r>
    </w:p>
    <w:p>
      <w:pPr>
        <w:spacing w:after="0" w:line="185" w:lineRule="exact"/>
        <w:rPr>
          <w:sz w:val="20"/>
          <w:szCs w:val="20"/>
          <w:color w:val="auto"/>
        </w:rPr>
      </w:pPr>
    </w:p>
    <w:p>
      <w:pPr>
        <w:ind w:left="220" w:hanging="212"/>
        <w:spacing w:after="0"/>
        <w:tabs>
          <w:tab w:leader="none" w:pos="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which such person or any of its Affiliates or Associates (as hereinafter defined) beneficially owns, directly or indirectly; or</w:t>
      </w:r>
    </w:p>
    <w:p>
      <w:pPr>
        <w:spacing w:after="0" w:line="198" w:lineRule="exact"/>
        <w:rPr>
          <w:rFonts w:ascii="Arial" w:cs="Arial" w:eastAsia="Arial" w:hAnsi="Arial"/>
          <w:sz w:val="18"/>
          <w:szCs w:val="18"/>
          <w:color w:val="auto"/>
        </w:rPr>
      </w:pPr>
    </w:p>
    <w:p>
      <w:pPr>
        <w:ind w:right="40" w:firstLine="8"/>
        <w:spacing w:after="0" w:line="286" w:lineRule="auto"/>
        <w:tabs>
          <w:tab w:leader="none" w:pos="26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which such person or any of its Affiliates or Associates has, directly or indirectly, (a) the right to acquire (whether such right is exercisable immediately or only after the passage of time), pursuant to any agreement, arrangement or understanding or upon the exercise of conversion rights, exchange rights, warrants or options or otherwise, or (b) the right to vote pursuant to any agreement, arrangement or understanding; or</w:t>
      </w:r>
    </w:p>
    <w:p>
      <w:pPr>
        <w:sectPr>
          <w:pgSz w:w="11900" w:h="16838" w:orient="portrait"/>
          <w:cols w:equalWidth="0" w:num="1">
            <w:col w:w="11240"/>
          </w:cols>
          <w:pgMar w:left="320" w:top="1070" w:right="339" w:bottom="1440" w:gutter="0" w:footer="0" w:header="0"/>
        </w:sectPr>
      </w:pPr>
    </w:p>
    <w:bookmarkStart w:id="176" w:name="page177"/>
    <w:bookmarkEnd w:id="176"/>
    <w:p>
      <w:pPr>
        <w:ind w:right="700" w:firstLine="8"/>
        <w:spacing w:after="0" w:line="308" w:lineRule="auto"/>
        <w:tabs>
          <w:tab w:leader="none" w:pos="31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which are beneficially owned, directly or indirectly, by any other person with which such person or any of its Affiliates or Associates has any agreement, arrangement or understanding for the purpose of acquiring, holding, voting or disposing of any shares of Common Stock.</w:t>
      </w:r>
    </w:p>
    <w:p>
      <w:pPr>
        <w:spacing w:after="0" w:line="119" w:lineRule="exact"/>
        <w:rPr>
          <w:sz w:val="20"/>
          <w:szCs w:val="20"/>
          <w:color w:val="auto"/>
        </w:rPr>
      </w:pPr>
    </w:p>
    <w:p>
      <w:pPr>
        <w:jc w:val="both"/>
        <w:ind w:right="420" w:firstLine="8"/>
        <w:spacing w:after="0" w:line="259" w:lineRule="auto"/>
        <w:tabs>
          <w:tab w:leader="none" w:pos="29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For the purposes of determining whether a person is an Interested Shareholder pursuant to paragraph B of this Section II, the number of shares of Common Stock deemed to be outstanding shall include shares deemed owned through application of paragraph C(ii)(a) of this Section II but shall not include any other shares of Common Stock which may be issuable pursuant to any agreement, arrangement or understanding, or upon exercise of conversion rights, warrants or options, or otherwise.</w:t>
      </w:r>
    </w:p>
    <w:p>
      <w:pPr>
        <w:spacing w:after="0" w:line="146" w:lineRule="exact"/>
        <w:rPr>
          <w:rFonts w:ascii="Arial" w:cs="Arial" w:eastAsia="Arial" w:hAnsi="Arial"/>
          <w:sz w:val="18"/>
          <w:szCs w:val="18"/>
          <w:color w:val="auto"/>
        </w:rPr>
      </w:pPr>
    </w:p>
    <w:p>
      <w:pPr>
        <w:ind w:right="200" w:firstLine="8"/>
        <w:spacing w:after="0" w:line="277" w:lineRule="auto"/>
        <w:tabs>
          <w:tab w:leader="none" w:pos="27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 An “Affiliate” of a specified person is a person that directly, through one or more intermediaries, controls, or is controlled by, or is under common control with, the person specified.</w:t>
      </w:r>
    </w:p>
    <w:p>
      <w:pPr>
        <w:spacing w:after="0" w:line="130" w:lineRule="exact"/>
        <w:rPr>
          <w:sz w:val="20"/>
          <w:szCs w:val="20"/>
          <w:color w:val="auto"/>
        </w:rPr>
      </w:pPr>
    </w:p>
    <w:p>
      <w:pPr>
        <w:jc w:val="both"/>
        <w:ind w:right="120" w:firstLine="8"/>
        <w:spacing w:after="0" w:line="291" w:lineRule="auto"/>
        <w:tabs>
          <w:tab w:leader="none" w:pos="26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term “Associate” used to indicate a relationship with any person means (1) any firm, corporation or other entity (other than the corporation or any Subsidiary) of which such person is an officer or partner or is, directly or indirectly, the beneficial owner of 10% or more of any class of equity securities,</w:t>
      </w:r>
    </w:p>
    <w:p>
      <w:pPr>
        <w:ind w:right="200"/>
        <w:spacing w:after="0" w:line="290" w:lineRule="auto"/>
        <w:rPr>
          <w:rFonts w:ascii="Arial" w:cs="Arial" w:eastAsia="Arial" w:hAnsi="Arial"/>
          <w:sz w:val="16"/>
          <w:szCs w:val="16"/>
          <w:color w:val="auto"/>
        </w:rPr>
      </w:pPr>
      <w:r>
        <w:rPr>
          <w:rFonts w:ascii="Arial" w:cs="Arial" w:eastAsia="Arial" w:hAnsi="Arial"/>
          <w:sz w:val="17"/>
          <w:szCs w:val="17"/>
          <w:color w:val="auto"/>
        </w:rPr>
        <w:t>(2) any trust or other estate in which such person has a substantial beneficial interest or as to which such person serves as trustee or in a similar fiduciary capacity, and (3) any relative or spouse or such person, or any relative of such spouse who has the same home as such person.</w:t>
      </w:r>
    </w:p>
    <w:p>
      <w:pPr>
        <w:spacing w:after="0" w:line="134" w:lineRule="exact"/>
        <w:rPr>
          <w:sz w:val="20"/>
          <w:szCs w:val="20"/>
          <w:color w:val="auto"/>
        </w:rPr>
      </w:pPr>
    </w:p>
    <w:p>
      <w:pPr>
        <w:ind w:right="400" w:firstLine="8"/>
        <w:spacing w:after="0" w:line="277" w:lineRule="auto"/>
        <w:tabs>
          <w:tab w:leader="none" w:pos="26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“Subsidiary” means any corporation of which a majority of any class of equity securities is owned, directly or indirectly, by the corporation unless owned solely as trustee or other similar fiduciary capacity.</w:t>
      </w:r>
    </w:p>
    <w:p>
      <w:pPr>
        <w:spacing w:after="0" w:line="129" w:lineRule="exact"/>
        <w:rPr>
          <w:rFonts w:ascii="Arial" w:cs="Arial" w:eastAsia="Arial" w:hAnsi="Arial"/>
          <w:sz w:val="18"/>
          <w:szCs w:val="18"/>
          <w:color w:val="auto"/>
        </w:rPr>
      </w:pPr>
    </w:p>
    <w:p>
      <w:pPr>
        <w:ind w:left="300" w:hanging="292"/>
        <w:spacing w:after="0"/>
        <w:tabs>
          <w:tab w:leader="none" w:pos="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“Fair Market value” means:</w:t>
      </w:r>
    </w:p>
    <w:p>
      <w:pPr>
        <w:spacing w:after="0" w:line="185" w:lineRule="exact"/>
        <w:rPr>
          <w:sz w:val="20"/>
          <w:szCs w:val="20"/>
          <w:color w:val="auto"/>
        </w:rPr>
      </w:pPr>
    </w:p>
    <w:p>
      <w:pPr>
        <w:ind w:firstLine="8"/>
        <w:spacing w:after="0" w:line="273" w:lineRule="auto"/>
        <w:tabs>
          <w:tab w:leader="none" w:pos="21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in the case of stock, the closing sales price of a share of such stock on the Composite Tape on the New York Stock Exchange-Listed Stocks, or, if such stock is not quoted on the Composite Tape, on the New York Stock Exchange, or, if such stock is not listed on such Exchange, on the principal United States securities exchange registered under the Securities Exchange Act of 1934, as amended, on which such stock is listed, or, if such stock is not listed on any such exchange, the closing sales price or the sales price or the average of the bid and asked prices reported with respect to a share of such stock on the National Association of Securities Dealers, Inc. Automated Quotation System or any system then in use, or if no such quotations are available, the fair market value on the date in question of a share of such stock as determined by the Board in good faith; and</w:t>
      </w:r>
    </w:p>
    <w:p>
      <w:pPr>
        <w:spacing w:after="0" w:line="150" w:lineRule="exact"/>
        <w:rPr>
          <w:rFonts w:ascii="Arial" w:cs="Arial" w:eastAsia="Arial" w:hAnsi="Arial"/>
          <w:sz w:val="17"/>
          <w:szCs w:val="17"/>
          <w:color w:val="auto"/>
        </w:rPr>
      </w:pPr>
    </w:p>
    <w:p>
      <w:pPr>
        <w:ind w:left="280" w:hanging="272"/>
        <w:spacing w:after="0"/>
        <w:tabs>
          <w:tab w:leader="none" w:pos="2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the case of property other than cash or stock, the fair market value of such property on the date in question as determined by the Board in good faith.</w:t>
      </w:r>
    </w:p>
    <w:p>
      <w:pPr>
        <w:spacing w:after="0" w:line="208" w:lineRule="exact"/>
        <w:rPr>
          <w:sz w:val="20"/>
          <w:szCs w:val="20"/>
          <w:color w:val="auto"/>
        </w:rPr>
      </w:pPr>
    </w:p>
    <w:p>
      <w:pPr>
        <w:ind w:left="300" w:hanging="292"/>
        <w:spacing w:after="0"/>
        <w:tabs>
          <w:tab w:leader="none" w:pos="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term “acquire” or “acquired” means the acquisition of beneficial ownership.</w:t>
      </w:r>
    </w:p>
    <w:p>
      <w:pPr>
        <w:spacing w:after="0" w:line="184" w:lineRule="exact"/>
        <w:rPr>
          <w:rFonts w:ascii="Arial" w:cs="Arial" w:eastAsia="Arial" w:hAnsi="Arial"/>
          <w:sz w:val="18"/>
          <w:szCs w:val="18"/>
          <w:color w:val="auto"/>
        </w:rPr>
      </w:pPr>
    </w:p>
    <w:p>
      <w:pPr>
        <w:ind w:right="240" w:firstLine="8"/>
        <w:spacing w:after="0" w:line="277" w:lineRule="auto"/>
        <w:tabs>
          <w:tab w:leader="none" w:pos="22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Board of Directors of the corporation shall have the power and duty to determine for the purposes of this Article XII, on the basis of information known to them after reasonable inquiry,</w:t>
      </w:r>
    </w:p>
    <w:p>
      <w:pPr>
        <w:spacing w:after="0" w:line="143" w:lineRule="exact"/>
        <w:rPr>
          <w:sz w:val="20"/>
          <w:szCs w:val="20"/>
          <w:color w:val="auto"/>
        </w:rPr>
      </w:pPr>
    </w:p>
    <w:p>
      <w:pPr>
        <w:ind w:left="220" w:hanging="212"/>
        <w:spacing w:after="0"/>
        <w:tabs>
          <w:tab w:leader="none" w:pos="2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whether a person is an Interested Shareholder,</w:t>
      </w:r>
    </w:p>
    <w:p>
      <w:pPr>
        <w:spacing w:after="0" w:line="184" w:lineRule="exact"/>
        <w:rPr>
          <w:rFonts w:ascii="Arial" w:cs="Arial" w:eastAsia="Arial" w:hAnsi="Arial"/>
          <w:sz w:val="18"/>
          <w:szCs w:val="18"/>
          <w:color w:val="auto"/>
        </w:rPr>
      </w:pPr>
    </w:p>
    <w:p>
      <w:pPr>
        <w:ind w:left="280" w:hanging="272"/>
        <w:spacing w:after="0"/>
        <w:tabs>
          <w:tab w:leader="none" w:pos="2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by any person,</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whether a person is an Affiliate or Associate or another, and</w:t>
      </w:r>
    </w:p>
    <w:p>
      <w:pPr>
        <w:spacing w:after="0" w:line="198" w:lineRule="exact"/>
        <w:rPr>
          <w:rFonts w:ascii="Arial" w:cs="Arial" w:eastAsia="Arial" w:hAnsi="Arial"/>
          <w:sz w:val="18"/>
          <w:szCs w:val="18"/>
          <w:color w:val="auto"/>
        </w:rPr>
      </w:pPr>
    </w:p>
    <w:p>
      <w:pPr>
        <w:ind w:firstLine="8"/>
        <w:spacing w:after="0" w:line="308" w:lineRule="auto"/>
        <w:tabs>
          <w:tab w:leader="none" w:pos="30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whether the assets which are the subject of any Business Combination have, or the consideration to be received for the issuance or transfer of securities by the corporation or any Subsidiary in any Business Combination has, an aggregate Fair Market Value of $1,000,000 or more.</w:t>
      </w:r>
    </w:p>
    <w:p>
      <w:pPr>
        <w:spacing w:after="0" w:line="106" w:lineRule="exact"/>
        <w:rPr>
          <w:sz w:val="20"/>
          <w:szCs w:val="20"/>
          <w:color w:val="auto"/>
        </w:rPr>
      </w:pPr>
    </w:p>
    <w:p>
      <w:pPr>
        <w:ind w:right="220" w:firstLine="8"/>
        <w:spacing w:after="0" w:line="277" w:lineRule="auto"/>
        <w:tabs>
          <w:tab w:leader="none" w:pos="23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Nothing contained in this Article XII shall be construed to relieve any Interested Shareholder or any of its Affiliates or Associates from any fiduciary obligation imposed by law.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XIII.</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director of the corporation may be removed only for cause and upon the affirmative vote of the holders of two-thirds of the issued and outstanding shares entitled to vote on such matter.</w:t>
      </w:r>
    </w:p>
    <w:p>
      <w:pPr>
        <w:sectPr>
          <w:pgSz w:w="11900" w:h="16838" w:orient="portrait"/>
          <w:cols w:equalWidth="0" w:num="1">
            <w:col w:w="11200"/>
          </w:cols>
          <w:pgMar w:left="320" w:top="1070" w:right="379" w:bottom="1440" w:gutter="0" w:footer="0" w:header="0"/>
        </w:sectPr>
      </w:pPr>
    </w:p>
    <w:bookmarkStart w:id="177" w:name="page178"/>
    <w:bookmarkEnd w:id="17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486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240"/>
          </w:cols>
          <w:pgMar w:left="320" w:top="891" w:right="339" w:bottom="1440" w:gutter="0" w:footer="0" w:header="0"/>
        </w:sectPr>
      </w:pPr>
    </w:p>
    <w:bookmarkStart w:id="178" w:name="page179"/>
    <w:bookmarkEnd w:id="17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6, 2020</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486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240"/>
          </w:cols>
          <w:pgMar w:left="320" w:top="89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2020 filed with the Securities and Exchange Commission on the date hereof (the “Report”), each of the undersigned officers of United certifies,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43"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 H. Lynn Harton</w:t>
            </w: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H. Lynn Harton</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August 6, 2020</w:t>
            </w:r>
          </w:p>
        </w:tc>
      </w:tr>
      <w:tr>
        <w:trPr>
          <w:trHeight w:val="540"/>
        </w:trPr>
        <w:tc>
          <w:tcPr>
            <w:tcW w:w="740" w:type="dxa"/>
            <w:vAlign w:val="bottom"/>
          </w:tcPr>
          <w:p>
            <w:pPr>
              <w:spacing w:after="0"/>
              <w:rPr>
                <w:sz w:val="24"/>
                <w:szCs w:val="24"/>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 Jefferson L. Harralson</w:t>
            </w:r>
          </w:p>
        </w:tc>
      </w:tr>
      <w:tr>
        <w:trPr>
          <w:trHeight w:val="27"/>
        </w:trPr>
        <w:tc>
          <w:tcPr>
            <w:tcW w:w="74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August 6, 2020</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1)"/>
      <w:numFmt w:val="decimal"/>
      <w:start w:val="1"/>
    </w:lvl>
  </w:abstractNum>
  <w:abstractNum w:abstractNumId="6">
    <w:nsid w:val="5551B9F3"/>
    <w:multiLevelType w:val="hybridMultilevel"/>
    <w:lvl w:ilvl="0">
      <w:lvlJc w:val="left"/>
      <w:lvlText w:val="(%1)"/>
      <w:numFmt w:val="decimal"/>
      <w:start w:val="1"/>
    </w:lvl>
  </w:abstractNum>
  <w:abstractNum w:abstractNumId="7">
    <w:nsid w:val="24F6AB8E"/>
    <w:multiLevelType w:val="hybridMultilevel"/>
    <w:lvl w:ilvl="0">
      <w:lvlJc w:val="left"/>
      <w:lvlText w:val="%1"/>
      <w:numFmt w:val="upperLetter"/>
      <w:start w:val="68"/>
    </w:lvl>
  </w:abstractNum>
  <w:abstractNum w:abstractNumId="8">
    <w:nsid w:val="634C574C"/>
    <w:multiLevelType w:val="hybridMultilevel"/>
    <w:lvl w:ilvl="0">
      <w:lvlJc w:val="left"/>
      <w:lvlText w:val="%1"/>
      <w:numFmt w:val="decimal"/>
      <w:start w:val="1"/>
    </w:lvl>
    <w:lvl w:ilvl="1">
      <w:lvlJc w:val="left"/>
      <w:lvlText w:val="(%2)"/>
      <w:numFmt w:val="decimal"/>
      <w:start w:val="1"/>
    </w:lvl>
  </w:abstractNum>
  <w:abstractNum w:abstractNumId="9">
    <w:nsid w:val="24E99DD7"/>
    <w:multiLevelType w:val="hybridMultilevel"/>
    <w:lvl w:ilvl="0">
      <w:lvlJc w:val="left"/>
      <w:lvlText w:val="(%1)"/>
      <w:numFmt w:val="decimal"/>
      <w:start w:val="2"/>
    </w:lvl>
    <w:lvl w:ilvl="1">
      <w:lvlJc w:val="left"/>
      <w:lvlText w:val="%2"/>
      <w:numFmt w:val="decimal"/>
      <w:start w:val="1"/>
    </w:lvl>
  </w:abstractNum>
  <w:abstractNum w:abstractNumId="10">
    <w:nsid w:val="2A31B62D"/>
    <w:multiLevelType w:val="hybridMultilevel"/>
    <w:lvl w:ilvl="0">
      <w:lvlJc w:val="left"/>
      <w:lvlText w:val="(%1)"/>
      <w:numFmt w:val="decimal"/>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1)"/>
      <w:numFmt w:val="decimal"/>
      <w:start w:val="1"/>
    </w:lvl>
  </w:abstractNum>
  <w:abstractNum w:abstractNumId="14">
    <w:nsid w:val="69E7F3E5"/>
    <w:multiLevelType w:val="hybridMultilevel"/>
    <w:lvl w:ilvl="0">
      <w:lvlJc w:val="left"/>
      <w:lvlText w:val="(%1)"/>
      <w:numFmt w:val="decimal"/>
      <w:start w:val="1"/>
    </w:lvl>
  </w:abstractNum>
  <w:abstractNum w:abstractNumId="15">
    <w:nsid w:val="2A6DE806"/>
    <w:multiLevelType w:val="hybridMultilevel"/>
    <w:lvl w:ilvl="0">
      <w:lvlJc w:val="left"/>
      <w:lvlText w:val="%1)"/>
      <w:numFmt w:val="decimal"/>
      <w:start w:val="1"/>
    </w:lvl>
  </w:abstractNum>
  <w:abstractNum w:abstractNumId="16">
    <w:nsid w:val="1816F8C4"/>
    <w:multiLevelType w:val="hybridMultilevel"/>
    <w:lvl w:ilvl="0">
      <w:lvlJc w:val="left"/>
      <w:lvlText w:val="(%1)"/>
      <w:numFmt w:val="decimal"/>
      <w:start w:val="1"/>
    </w:lvl>
  </w:abstractNum>
  <w:abstractNum w:abstractNumId="17">
    <w:nsid w:val="37DF2233"/>
    <w:multiLevelType w:val="hybridMultilevel"/>
    <w:lvl w:ilvl="0">
      <w:lvlJc w:val="left"/>
      <w:lvlText w:val="%1"/>
      <w:numFmt w:val="upperLetter"/>
      <w:start w:val="68"/>
    </w:lvl>
  </w:abstractNum>
  <w:abstractNum w:abstractNumId="18">
    <w:nsid w:val="7AB49DAF"/>
    <w:multiLevelType w:val="hybridMultilevel"/>
    <w:lvl w:ilvl="0">
      <w:lvlJc w:val="left"/>
      <w:lvlText w:val="(%1)"/>
      <w:numFmt w:val="decimal"/>
      <w:start w:val="1"/>
    </w:lvl>
  </w:abstractNum>
  <w:abstractNum w:abstractNumId="19">
    <w:nsid w:val="759F82CD"/>
    <w:multiLevelType w:val="hybridMultilevel"/>
    <w:lvl w:ilvl="0">
      <w:lvlJc w:val="left"/>
      <w:lvlText w:val="(%1)"/>
      <w:numFmt w:val="lowerLetter"/>
      <w:start w:val="1"/>
    </w:lvl>
    <w:lvl w:ilvl="1">
      <w:lvlJc w:val="left"/>
      <w:lvlText w:val="(%2)"/>
      <w:numFmt w:val="lowerLetter"/>
      <w:start w:val="2"/>
    </w:lvl>
  </w:abstractNum>
  <w:abstractNum w:abstractNumId="20">
    <w:nsid w:val="61E74EA3"/>
    <w:multiLevelType w:val="hybridMultilevel"/>
    <w:lvl w:ilvl="0">
      <w:lvlJc w:val="left"/>
      <w:lvlText w:val="(%1)"/>
      <w:numFmt w:val="lowerLetter"/>
      <w:start w:val="4"/>
    </w:lvl>
  </w:abstractNum>
  <w:abstractNum w:abstractNumId="21">
    <w:nsid w:val="597B4D84"/>
    <w:multiLevelType w:val="hybridMultilevel"/>
    <w:lvl w:ilvl="0">
      <w:lvlJc w:val="left"/>
      <w:lvlText w:val="%1"/>
      <w:numFmt w:val="decimal"/>
      <w:start w:val="101"/>
    </w:lvl>
  </w:abstractNum>
  <w:abstractNum w:abstractNumId="22">
    <w:nsid w:val="F819E7F"/>
    <w:multiLevelType w:val="hybridMultilevel"/>
    <w:lvl w:ilvl="0">
      <w:lvlJc w:val="left"/>
      <w:lvlText w:val="%1"/>
      <w:numFmt w:val="decimal"/>
      <w:start w:val="104"/>
    </w:lvl>
  </w:abstractNum>
  <w:abstractNum w:abstractNumId="23">
    <w:nsid w:val="57C7D42D"/>
    <w:multiLevelType w:val="hybridMultilevel"/>
    <w:lvl w:ilvl="0">
      <w:lvlJc w:val="left"/>
      <w:lvlText w:val="(%1)"/>
      <w:numFmt w:val="lowerLetter"/>
      <w:start w:val="1"/>
    </w:lvl>
  </w:abstractNum>
  <w:abstractNum w:abstractNumId="24">
    <w:nsid w:val="312167AD"/>
    <w:multiLevelType w:val="hybridMultilevel"/>
    <w:lvl w:ilvl="0">
      <w:lvlJc w:val="left"/>
      <w:lvlText w:val="(%1)"/>
      <w:numFmt w:val="lowerLetter"/>
      <w:start w:val="3"/>
    </w:lvl>
  </w:abstractNum>
  <w:abstractNum w:abstractNumId="25">
    <w:nsid w:val="631B64D4"/>
    <w:multiLevelType w:val="hybridMultilevel"/>
    <w:lvl w:ilvl="0">
      <w:lvlJc w:val="left"/>
      <w:lvlText w:val="(%1)"/>
      <w:numFmt w:val="lowerLetter"/>
      <w:start w:val="1"/>
    </w:lvl>
  </w:abstractNum>
  <w:abstractNum w:abstractNumId="26">
    <w:nsid w:val="78B5E776"/>
    <w:multiLevelType w:val="hybridMultilevel"/>
    <w:lvl w:ilvl="0">
      <w:lvlJc w:val="left"/>
      <w:lvlText w:val="(%1)"/>
      <w:numFmt w:val="lowerLetter"/>
      <w:start w:val="2"/>
    </w:lvl>
  </w:abstractNum>
  <w:abstractNum w:abstractNumId="27">
    <w:nsid w:val="75486E47"/>
    <w:multiLevelType w:val="hybridMultilevel"/>
    <w:lvl w:ilvl="0">
      <w:lvlJc w:val="left"/>
      <w:lvlText w:val="(%1)"/>
      <w:numFmt w:val="lowerLetter"/>
      <w:start w:val="1"/>
    </w:lvl>
  </w:abstractNum>
  <w:abstractNum w:abstractNumId="28">
    <w:nsid w:val="6E534CDE"/>
    <w:multiLevelType w:val="hybridMultilevel"/>
    <w:lvl w:ilvl="0">
      <w:lvlJc w:val="left"/>
      <w:lvlText w:val="(%1)"/>
      <w:numFmt w:val="lowerLetter"/>
      <w:start w:val="2"/>
    </w:lvl>
  </w:abstractNum>
  <w:abstractNum w:abstractNumId="29">
    <w:nsid w:val="1A0DDE32"/>
    <w:multiLevelType w:val="hybridMultilevel"/>
    <w:lvl w:ilvl="0">
      <w:lvlJc w:val="left"/>
      <w:lvlText w:val="(%1)"/>
      <w:numFmt w:val="lowerLetter"/>
      <w:start w:val="1"/>
    </w:lvl>
  </w:abstractNum>
  <w:abstractNum w:abstractNumId="30">
    <w:nsid w:val="65968C1C"/>
    <w:multiLevelType w:val="hybridMultilevel"/>
    <w:lvl w:ilvl="0">
      <w:lvlJc w:val="left"/>
      <w:lvlText w:val="(%1)"/>
      <w:numFmt w:val="lowerLetter"/>
      <w:start w:val="4"/>
    </w:lvl>
  </w:abstractNum>
  <w:abstractNum w:abstractNumId="31">
    <w:nsid w:val="46263DEC"/>
    <w:multiLevelType w:val="hybridMultilevel"/>
    <w:lvl w:ilvl="0">
      <w:lvlJc w:val="left"/>
      <w:lvlText w:val="(%1)"/>
      <w:numFmt w:val="lowerLetter"/>
      <w:start w:val="1"/>
    </w:lvl>
  </w:abstractNum>
  <w:abstractNum w:abstractNumId="32">
    <w:nsid w:val="260D8C4A"/>
    <w:multiLevelType w:val="hybridMultilevel"/>
    <w:lvl w:ilvl="0">
      <w:lvlJc w:val="left"/>
      <w:lvlText w:val="(%1)"/>
      <w:numFmt w:val="lowerLetter"/>
      <w:start w:val="3"/>
    </w:lvl>
    <w:lvl w:ilvl="1">
      <w:lvlJc w:val="left"/>
      <w:lvlText w:val="(%2)"/>
      <w:numFmt w:val="lowerRoman"/>
      <w:start w:val="1"/>
    </w:lvl>
  </w:abstractNum>
  <w:abstractNum w:abstractNumId="33">
    <w:nsid w:val="73D4D3C4"/>
    <w:multiLevelType w:val="hybridMultilevel"/>
    <w:lvl w:ilvl="0">
      <w:lvlJc w:val="left"/>
      <w:lvlText w:val="(%1)"/>
      <w:numFmt w:val="lowerLetter"/>
      <w:start w:val="4"/>
    </w:lvl>
    <w:lvl w:ilvl="1">
      <w:lvlJc w:val="left"/>
      <w:lvlText w:val="(%2)"/>
      <w:numFmt w:val="lowerRoman"/>
      <w:start w:val="1"/>
    </w:lvl>
  </w:abstractNum>
  <w:abstractNum w:abstractNumId="34">
    <w:nsid w:val="746F2E30"/>
    <w:multiLevelType w:val="hybridMultilevel"/>
    <w:lvl w:ilvl="0">
      <w:lvlJc w:val="left"/>
      <w:lvlText w:val="(%1)"/>
      <w:numFmt w:val="lowerLetter"/>
      <w:start w:val="6"/>
    </w:lvl>
  </w:abstractNum>
  <w:abstractNum w:abstractNumId="35">
    <w:nsid w:val="6FDE8AF6"/>
    <w:multiLevelType w:val="hybridMultilevel"/>
    <w:lvl w:ilvl="0">
      <w:lvlJc w:val="left"/>
      <w:lvlText w:val="(%1)"/>
      <w:numFmt w:val="lowerLetter"/>
      <w:start w:val="1"/>
    </w:lvl>
  </w:abstractNum>
  <w:abstractNum w:abstractNumId="36">
    <w:nsid w:val="3FC32E20"/>
    <w:multiLevelType w:val="hybridMultilevel"/>
    <w:lvl w:ilvl="0">
      <w:lvlJc w:val="left"/>
      <w:lvlText w:val="(%1)"/>
      <w:numFmt w:val="lowerLetter"/>
      <w:start w:val="5"/>
    </w:lvl>
  </w:abstractNum>
  <w:abstractNum w:abstractNumId="37">
    <w:nsid w:val="49C0E823"/>
    <w:multiLevelType w:val="hybridMultilevel"/>
    <w:lvl w:ilvl="0">
      <w:lvlJc w:val="left"/>
      <w:lvlText w:val="(%1)"/>
      <w:numFmt w:val="lowerLetter"/>
      <w:start w:val="1"/>
    </w:lvl>
  </w:abstractNum>
  <w:abstractNum w:abstractNumId="38">
    <w:nsid w:val="14D53685"/>
    <w:multiLevelType w:val="hybridMultilevel"/>
    <w:lvl w:ilvl="0">
      <w:lvlJc w:val="left"/>
      <w:lvlText w:val="(%1)"/>
      <w:numFmt w:val="lowerLetter"/>
      <w:start w:val="7"/>
    </w:lvl>
  </w:abstractNum>
  <w:abstractNum w:abstractNumId="39">
    <w:nsid w:val="230F856C"/>
    <w:multiLevelType w:val="hybridMultilevel"/>
    <w:lvl w:ilvl="0">
      <w:lvlJc w:val="left"/>
      <w:lvlText w:val="(%1)"/>
      <w:numFmt w:val="lowerLetter"/>
      <w:start w:val="8"/>
    </w:lvl>
    <w:lvl w:ilvl="1">
      <w:lvlJc w:val="left"/>
      <w:lvlText w:val="(%2)"/>
      <w:numFmt w:val="lowerRoman"/>
      <w:start w:val="1"/>
    </w:lvl>
  </w:abstractNum>
  <w:abstractNum w:abstractNumId="40">
    <w:nsid w:val="6EAA85FB"/>
    <w:multiLevelType w:val="hybridMultilevel"/>
    <w:lvl w:ilvl="0">
      <w:lvlJc w:val="left"/>
      <w:lvlText w:val="(%1)"/>
      <w:numFmt w:val="lowerLetter"/>
      <w:start w:val="19"/>
    </w:lvl>
  </w:abstractNum>
  <w:abstractNum w:abstractNumId="41">
    <w:nsid w:val="3F06ECB2"/>
    <w:multiLevelType w:val="hybridMultilevel"/>
    <w:lvl w:ilvl="0">
      <w:lvlJc w:val="left"/>
      <w:lvlText w:val="(%1)"/>
      <w:numFmt w:val="lowerLetter"/>
      <w:start w:val="23"/>
    </w:lvl>
    <w:lvl w:ilvl="1">
      <w:lvlJc w:val="left"/>
      <w:lvlText w:val="(%2)"/>
      <w:numFmt w:val="lowerRoman"/>
      <w:start w:val="1"/>
    </w:lvl>
  </w:abstractNum>
  <w:abstractNum w:abstractNumId="42">
    <w:nsid w:val="3B594807"/>
    <w:multiLevelType w:val="hybridMultilevel"/>
    <w:lvl w:ilvl="0">
      <w:lvlJc w:val="left"/>
      <w:lvlText w:val="(%1)"/>
      <w:numFmt w:val="lowerLetter"/>
      <w:start w:val="27"/>
    </w:lvl>
  </w:abstractNum>
  <w:abstractNum w:abstractNumId="43">
    <w:nsid w:val="6CAA2304"/>
    <w:multiLevelType w:val="hybridMultilevel"/>
    <w:lvl w:ilvl="0">
      <w:lvlJc w:val="left"/>
      <w:lvlText w:val="(%1)"/>
      <w:numFmt w:val="lowerLetter"/>
      <w:start w:val="29"/>
    </w:lvl>
  </w:abstractNum>
  <w:abstractNum w:abstractNumId="44">
    <w:nsid w:val="3F7C2FF4"/>
    <w:multiLevelType w:val="hybridMultilevel"/>
    <w:lvl w:ilvl="0">
      <w:lvlJc w:val="left"/>
      <w:lvlText w:val="(%1)"/>
      <w:numFmt w:val="lowerLetter"/>
      <w:start w:val="40"/>
    </w:lvl>
  </w:abstractNum>
  <w:abstractNum w:abstractNumId="45">
    <w:nsid w:val="25413BEC"/>
    <w:multiLevelType w:val="hybridMultilevel"/>
    <w:lvl w:ilvl="0">
      <w:lvlJc w:val="left"/>
      <w:lvlText w:val="(%1)"/>
      <w:numFmt w:val="lowerLetter"/>
      <w:start w:val="42"/>
    </w:lvl>
  </w:abstractNum>
  <w:abstractNum w:abstractNumId="46">
    <w:nsid w:val="17180B0B"/>
    <w:multiLevelType w:val="hybridMultilevel"/>
    <w:lvl w:ilvl="0">
      <w:lvlJc w:val="left"/>
      <w:lvlText w:val="("/>
      <w:numFmt w:val="bullet"/>
      <w:start w:val="1"/>
    </w:lvl>
  </w:abstractNum>
  <w:abstractNum w:abstractNumId="47">
    <w:nsid w:val="579328B9"/>
    <w:multiLevelType w:val="hybridMultilevel"/>
    <w:lvl w:ilvl="0">
      <w:lvlJc w:val="left"/>
      <w:lvlText w:val="%1"/>
      <w:numFmt w:val="lowerLetter"/>
      <w:start w:val="1"/>
    </w:lvl>
    <w:lvl w:ilvl="1">
      <w:lvlJc w:val="left"/>
      <w:lvlText w:val="(%2)"/>
      <w:numFmt w:val="lowerLetter"/>
      <w:start w:val="35"/>
    </w:lvl>
  </w:abstractNum>
  <w:abstractNum w:abstractNumId="48">
    <w:nsid w:val="5D205E20"/>
    <w:multiLevelType w:val="hybridMultilevel"/>
    <w:lvl w:ilvl="0">
      <w:lvlJc w:val="left"/>
      <w:lvlText w:val="(%1)"/>
      <w:numFmt w:val="lowerLetter"/>
      <w:start w:val="45"/>
    </w:lvl>
    <w:lvl w:ilvl="1">
      <w:lvlJc w:val="left"/>
      <w:lvlText w:val="%2"/>
      <w:numFmt w:val="lowerLetter"/>
      <w:start w:val="1"/>
    </w:lvl>
  </w:abstractNum>
  <w:abstractNum w:abstractNumId="49">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50">
    <w:nsid w:val="4D32AB86"/>
    <w:multiLevelType w:val="hybridMultilevel"/>
    <w:lvl w:ilvl="0">
      <w:lvlJc w:val="left"/>
      <w:lvlText w:val="(%1)"/>
      <w:numFmt w:val="lowerRoman"/>
      <w:start w:val="1"/>
    </w:lvl>
  </w:abstractNum>
  <w:abstractNum w:abstractNumId="51">
    <w:nsid w:val="3F07ACC3"/>
    <w:multiLevelType w:val="hybridMultilevel"/>
    <w:lvl w:ilvl="0">
      <w:lvlJc w:val="left"/>
      <w:lvlText w:val="(%1)"/>
      <w:numFmt w:val="upperLetter"/>
      <w:start w:val="1"/>
    </w:lvl>
  </w:abstractNum>
  <w:abstractNum w:abstractNumId="52">
    <w:nsid w:val="6B47F63E"/>
    <w:multiLevelType w:val="hybridMultilevel"/>
    <w:lvl w:ilvl="0">
      <w:lvlJc w:val="left"/>
      <w:lvlText w:val="(%1)"/>
      <w:numFmt w:val="decimal"/>
      <w:start w:val="3"/>
    </w:lvl>
    <w:lvl w:ilvl="1">
      <w:lvlJc w:val="left"/>
      <w:lvlText w:val="(%2)"/>
      <w:numFmt w:val="upperLetter"/>
      <w:start w:val="1"/>
    </w:lvl>
  </w:abstractNum>
  <w:abstractNum w:abstractNumId="53">
    <w:nsid w:val="5CB44A05"/>
    <w:multiLevelType w:val="hybridMultilevel"/>
    <w:lvl w:ilvl="0">
      <w:lvlJc w:val="left"/>
      <w:lvlText w:val="(%1)"/>
      <w:numFmt w:val="decimal"/>
      <w:start w:val="4"/>
    </w:lvl>
  </w:abstractNum>
  <w:abstractNum w:abstractNumId="54">
    <w:nsid w:val="16CF80F1"/>
    <w:multiLevelType w:val="hybridMultilevel"/>
    <w:lvl w:ilvl="0">
      <w:lvlJc w:val="left"/>
      <w:lvlText w:val="%1"/>
      <w:numFmt w:val="lowerRoman"/>
      <w:start w:val="1"/>
    </w:lvl>
    <w:lvl w:ilvl="1">
      <w:lvlJc w:val="left"/>
      <w:lvlText w:val="(%2)"/>
      <w:numFmt w:val="lowerRoman"/>
      <w:start w:val="1"/>
    </w:lvl>
  </w:abstractNum>
  <w:abstractNum w:abstractNumId="55">
    <w:nsid w:val="1C695DEC"/>
    <w:multiLevelType w:val="hybridMultilevel"/>
    <w:lvl w:ilvl="0">
      <w:lvlJc w:val="left"/>
      <w:lvlText w:val="(%1)"/>
      <w:numFmt w:val="lowerRoman"/>
      <w:start w:val="2"/>
    </w:lvl>
    <w:lvl w:ilvl="1">
      <w:lvlJc w:val="left"/>
      <w:lvlText w:val="%2"/>
      <w:numFmt w:val="lowerRoman"/>
      <w:start w:val="1"/>
    </w:lvl>
  </w:abstractNum>
  <w:abstractNum w:abstractNumId="56">
    <w:nsid w:val="3FCFAED9"/>
    <w:multiLevelType w:val="hybridMultilevel"/>
    <w:lvl w:ilvl="0">
      <w:lvlJc w:val="left"/>
      <w:lvlText w:val="(%1)"/>
      <w:numFmt w:val="lowerRoman"/>
      <w:start w:val="3"/>
    </w:lvl>
  </w:abstractNum>
  <w:abstractNum w:abstractNumId="57">
    <w:nsid w:val="F856867"/>
    <w:multiLevelType w:val="hybridMultilevel"/>
    <w:lvl w:ilvl="0">
      <w:lvlJc w:val="left"/>
      <w:lvlText w:val="%1"/>
      <w:numFmt w:val="lowerLetter"/>
      <w:start w:val="1"/>
    </w:lvl>
    <w:lvl w:ilvl="1">
      <w:lvlJc w:val="left"/>
      <w:lvlText w:val="(%2)"/>
      <w:numFmt w:val="lowerRoman"/>
      <w:start w:val="4"/>
    </w:lvl>
  </w:abstractNum>
  <w:abstractNum w:abstractNumId="58">
    <w:nsid w:val="11B1CC33"/>
    <w:multiLevelType w:val="hybridMultilevel"/>
    <w:lvl w:ilvl="0">
      <w:lvlJc w:val="left"/>
      <w:lvlText w:val="(%1)"/>
      <w:numFmt w:val="lowerLetter"/>
      <w:start w:val="2"/>
    </w:lvl>
    <w:lvl w:ilvl="1">
      <w:lvlJc w:val="left"/>
      <w:lvlText w:val="(%2)"/>
      <w:numFmt w:val="lowerRoman"/>
      <w:start w:val="1"/>
    </w:lvl>
  </w:abstractNum>
  <w:abstractNum w:abstractNumId="59">
    <w:nsid w:val="2E22FBB7"/>
    <w:multiLevelType w:val="hybridMultilevel"/>
    <w:lvl w:ilvl="0">
      <w:lvlJc w:val="left"/>
      <w:lvlText w:val="(%1)"/>
      <w:numFmt w:val="lowerLetter"/>
      <w:start w:val="3"/>
    </w:lvl>
    <w:lvl w:ilvl="1">
      <w:lvlJc w:val="left"/>
      <w:lvlText w:val="(%2)"/>
      <w:numFmt w:val="lowerRoman"/>
      <w:start w:val="1"/>
    </w:lvl>
  </w:abstractNum>
  <w:abstractNum w:abstractNumId="60">
    <w:nsid w:val="29934699"/>
    <w:multiLevelType w:val="hybridMultilevel"/>
    <w:lvl w:ilvl="0">
      <w:lvlJc w:val="left"/>
      <w:lvlText w:val="%1"/>
      <w:numFmt w:val="lowerLetter"/>
      <w:start w:val="1"/>
    </w:lvl>
    <w:lvl w:ilvl="1">
      <w:lvlJc w:val="left"/>
      <w:lvlText w:val="(%2)"/>
      <w:numFmt w:val="lowerRoman"/>
      <w:start w:val="4"/>
    </w:lvl>
  </w:abstractNum>
  <w:abstractNum w:abstractNumId="61">
    <w:nsid w:val="77485850"/>
    <w:multiLevelType w:val="hybridMultilevel"/>
    <w:lvl w:ilvl="0">
      <w:lvlJc w:val="left"/>
      <w:lvlText w:val="(%1)"/>
      <w:numFmt w:val="lowerLetter"/>
      <w:start w:val="5"/>
    </w:lvl>
    <w:lvl w:ilvl="1">
      <w:lvlJc w:val="left"/>
      <w:lvlText w:val="%2"/>
      <w:numFmt w:val="lowerRoman"/>
      <w:start w:val="1"/>
    </w:lvl>
  </w:abstractNum>
  <w:abstractNum w:abstractNumId="62">
    <w:nsid w:val="744939A3"/>
    <w:multiLevelType w:val="hybridMultilevel"/>
    <w:lvl w:ilvl="0">
      <w:lvlJc w:val="left"/>
      <w:lvlText w:val="(%1)"/>
      <w:numFmt w:val="lowerLetter"/>
      <w:start w:val="1"/>
    </w:lvl>
  </w:abstractNum>
  <w:abstractNum w:abstractNumId="63">
    <w:nsid w:val="4FA0D2E3"/>
    <w:multiLevelType w:val="hybridMultilevel"/>
    <w:lvl w:ilvl="0">
      <w:lvlJc w:val="left"/>
      <w:lvlText w:val="(%1)"/>
      <w:numFmt w:val="lowerLetter"/>
      <w:start w:val="3"/>
    </w:lvl>
  </w:abstractNum>
  <w:abstractNum w:abstractNumId="64">
    <w:nsid w:val="6B1D2C1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5">
    <w:nsid w:val="68B867D3"/>
    <w:multiLevelType w:val="hybridMultilevel"/>
    <w:lvl w:ilvl="0">
      <w:lvlJc w:val="left"/>
      <w:lvlText w:val="(%1)"/>
      <w:numFmt w:val="lowerLetter"/>
      <w:start w:val="2"/>
    </w:lvl>
  </w:abstractNum>
  <w:abstractNum w:abstractNumId="66">
    <w:nsid w:val="3F7F5DD9"/>
    <w:multiLevelType w:val="hybridMultilevel"/>
    <w:lvl w:ilvl="0">
      <w:lvlJc w:val="left"/>
      <w:lvlText w:val="(%1)"/>
      <w:numFmt w:val="lowerLetter"/>
      <w:start w:val="5"/>
    </w:lvl>
  </w:abstractNum>
  <w:abstractNum w:abstractNumId="67">
    <w:nsid w:val="2AE05A34"/>
    <w:multiLevelType w:val="hybridMultilevel"/>
    <w:lvl w:ilvl="0">
      <w:lvlJc w:val="left"/>
      <w:lvlText w:val="(%1)"/>
      <w:numFmt w:val="lowerLetter"/>
      <w:start w:val="1"/>
    </w:lvl>
  </w:abstractNum>
  <w:abstractNum w:abstractNumId="68">
    <w:nsid w:val="32794FF7"/>
    <w:multiLevelType w:val="hybridMultilevel"/>
    <w:lvl w:ilvl="0">
      <w:lvlJc w:val="left"/>
      <w:lvlText w:val="(%1)"/>
      <w:numFmt w:val="lowerLetter"/>
      <w:start w:val="3"/>
    </w:lvl>
    <w:lvl w:ilvl="1">
      <w:lvlJc w:val="left"/>
      <w:lvlText w:val="(%2)"/>
      <w:numFmt w:val="lowerRoman"/>
      <w:start w:val="1"/>
    </w:lvl>
  </w:abstractNum>
  <w:abstractNum w:abstractNumId="69">
    <w:nsid w:val="5454945E"/>
    <w:multiLevelType w:val="hybridMultilevel"/>
    <w:lvl w:ilvl="0">
      <w:lvlJc w:val="left"/>
      <w:lvlText w:val="(%1)"/>
      <w:numFmt w:val="lowerRoman"/>
      <w:start w:val="3"/>
    </w:lvl>
  </w:abstractNum>
  <w:abstractNum w:abstractNumId="70">
    <w:nsid w:val="4DEFDFA0"/>
    <w:multiLevelType w:val="hybridMultilevel"/>
    <w:lvl w:ilvl="0">
      <w:lvlJc w:val="left"/>
      <w:lvlText w:val="(%1)"/>
      <w:numFmt w:val="lowerLetter"/>
      <w:start w:val="5"/>
    </w:lvl>
  </w:abstractNum>
  <w:abstractNum w:abstractNumId="71">
    <w:nsid w:val="2123D5F2"/>
    <w:multiLevelType w:val="hybridMultilevel"/>
    <w:lvl w:ilvl="0">
      <w:lvlJc w:val="left"/>
      <w:lvlText w:val="(%1)"/>
      <w:numFmt w:val="lowerLetter"/>
      <w:start w:val="1"/>
    </w:lvl>
  </w:abstractNum>
  <w:abstractNum w:abstractNumId="72">
    <w:nsid w:val="135B8110"/>
    <w:multiLevelType w:val="hybridMultilevel"/>
    <w:lvl w:ilvl="0">
      <w:lvlJc w:val="left"/>
      <w:lvlText w:val="(%1)"/>
      <w:numFmt w:val="lowerLetter"/>
      <w:start w:val="3"/>
    </w:lvl>
  </w:abstractNum>
  <w:abstractNum w:abstractNumId="73">
    <w:nsid w:val="94927A8"/>
    <w:multiLevelType w:val="hybridMultilevel"/>
    <w:lvl w:ilvl="0">
      <w:lvlJc w:val="left"/>
      <w:lvlText w:val="(%1)"/>
      <w:numFmt w:val="lowerLetter"/>
      <w:start w:val="1"/>
    </w:lvl>
  </w:abstractNum>
  <w:abstractNum w:abstractNumId="74">
    <w:nsid w:val="DCDF8F6"/>
    <w:multiLevelType w:val="hybridMultilevel"/>
    <w:lvl w:ilvl="0">
      <w:lvlJc w:val="left"/>
      <w:lvlText w:val="(%1)"/>
      <w:numFmt w:val="lowerLetter"/>
      <w:start w:val="2"/>
    </w:lvl>
  </w:abstractNum>
  <w:abstractNum w:abstractNumId="75">
    <w:nsid w:val="52D7B105"/>
    <w:multiLevelType w:val="hybridMultilevel"/>
    <w:lvl w:ilvl="0">
      <w:lvlJc w:val="left"/>
      <w:lvlText w:val="%1."/>
      <w:numFmt w:val="decimal"/>
      <w:start w:val="1"/>
    </w:lvl>
  </w:abstractNum>
  <w:abstractNum w:abstractNumId="76">
    <w:nsid w:val="2E8A6394"/>
    <w:multiLevelType w:val="hybridMultilevel"/>
    <w:lvl w:ilvl="0">
      <w:lvlJc w:val="left"/>
      <w:lvlText w:val="%1."/>
      <w:numFmt w:val="decimal"/>
      <w:start w:val="8"/>
    </w:lvl>
  </w:abstractNum>
  <w:abstractNum w:abstractNumId="77">
    <w:nsid w:val="24E60401"/>
    <w:multiLevelType w:val="hybridMultilevel"/>
    <w:lvl w:ilvl="0">
      <w:lvlJc w:val="left"/>
      <w:lvlText w:val="(%1)"/>
      <w:numFmt w:val="lowerLetter"/>
      <w:start w:val="1"/>
    </w:lvl>
  </w:abstractNum>
  <w:abstractNum w:abstractNumId="78">
    <w:nsid w:val="2A6AD9BE"/>
    <w:multiLevelType w:val="hybridMultilevel"/>
    <w:lvl w:ilvl="0">
      <w:lvlJc w:val="left"/>
      <w:lvlText w:val="%1."/>
      <w:numFmt w:val="decimal"/>
      <w:start w:val="9"/>
    </w:lvl>
  </w:abstractNum>
  <w:abstractNum w:abstractNumId="79">
    <w:nsid w:val="BAAC1B4"/>
    <w:multiLevelType w:val="hybridMultilevel"/>
    <w:lvl w:ilvl="0">
      <w:lvlJc w:val="left"/>
      <w:lvlText w:val="%1."/>
      <w:numFmt w:val="decimal"/>
      <w:start w:val="10"/>
    </w:lvl>
  </w:abstractNum>
  <w:abstractNum w:abstractNumId="80">
    <w:nsid w:val="36B2ACBC"/>
    <w:multiLevelType w:val="hybridMultilevel"/>
    <w:lvl w:ilvl="0">
      <w:lvlJc w:val="left"/>
      <w:lvlText w:val="(%1)"/>
      <w:numFmt w:val="lowerLetter"/>
      <w:start w:val="1"/>
    </w:lvl>
  </w:abstractNum>
  <w:abstractNum w:abstractNumId="81">
    <w:nsid w:val="779D8544"/>
    <w:multiLevelType w:val="hybridMultilevel"/>
    <w:lvl w:ilvl="0">
      <w:lvlJc w:val="left"/>
      <w:lvlText w:val="(%1)"/>
      <w:numFmt w:val="lowerLetter"/>
      <w:start w:val="2"/>
    </w:lvl>
  </w:abstractNum>
  <w:abstractNum w:abstractNumId="82">
    <w:nsid w:val="4AB26E78"/>
    <w:multiLevelType w:val="hybridMultilevel"/>
    <w:lvl w:ilvl="0">
      <w:lvlJc w:val="left"/>
      <w:lvlText w:val="(%1)"/>
      <w:numFmt w:val="lowerLetter"/>
      <w:start w:val="11"/>
    </w:lvl>
  </w:abstractNum>
  <w:abstractNum w:abstractNumId="83">
    <w:nsid w:val="21FAA2FA"/>
    <w:multiLevelType w:val="hybridMultilevel"/>
    <w:lvl w:ilvl="0">
      <w:lvlJc w:val="left"/>
      <w:lvlText w:val="(%1)"/>
      <w:numFmt w:val="lowerLetter"/>
      <w:start w:val="15"/>
    </w:lvl>
  </w:abstractNum>
  <w:abstractNum w:abstractNumId="84">
    <w:nsid w:val="5451CF49"/>
    <w:multiLevelType w:val="hybridMultilevel"/>
    <w:lvl w:ilvl="0">
      <w:lvlJc w:val="left"/>
      <w:lvlText w:val="(%1)"/>
      <w:numFmt w:val="lowerLetter"/>
      <w:start w:val="27"/>
    </w:lvl>
  </w:abstractNum>
  <w:abstractNum w:abstractNumId="85">
    <w:nsid w:val="6181EF69"/>
    <w:multiLevelType w:val="hybridMultilevel"/>
    <w:lvl w:ilvl="0">
      <w:lvlJc w:val="left"/>
      <w:lvlText w:val="%1"/>
      <w:numFmt w:val="lowerRoman"/>
      <w:start w:val="1"/>
    </w:lvl>
    <w:lvl w:ilvl="1">
      <w:lvlJc w:val="left"/>
      <w:lvlText w:val="(%2)"/>
      <w:numFmt w:val="lowerLetter"/>
      <w:start w:val="29"/>
    </w:lvl>
  </w:abstractNum>
  <w:abstractNum w:abstractNumId="86">
    <w:nsid w:val="3E6400E6"/>
    <w:multiLevelType w:val="hybridMultilevel"/>
    <w:lvl w:ilvl="0">
      <w:lvlJc w:val="left"/>
      <w:lvlText w:val="(%1)"/>
      <w:numFmt w:val="lowerRoman"/>
      <w:start w:val="1"/>
    </w:lvl>
    <w:lvl w:ilvl="1">
      <w:lvlJc w:val="left"/>
      <w:lvlText w:val="(%2)"/>
      <w:numFmt w:val="lowerLetter"/>
      <w:start w:val="39"/>
    </w:lvl>
  </w:abstractNum>
  <w:abstractNum w:abstractNumId="87">
    <w:nsid w:val="14217E23"/>
    <w:multiLevelType w:val="hybridMultilevel"/>
    <w:lvl w:ilvl="0">
      <w:lvlJc w:val="left"/>
      <w:lvlText w:val="(%1)"/>
      <w:numFmt w:val="lowerLetter"/>
      <w:start w:val="2"/>
    </w:lvl>
  </w:abstractNum>
  <w:abstractNum w:abstractNumId="88">
    <w:nsid w:val="710757D0"/>
    <w:multiLevelType w:val="hybridMultilevel"/>
    <w:lvl w:ilvl="0">
      <w:lvlJc w:val="left"/>
      <w:lvlText w:val="%1"/>
      <w:numFmt w:val="lowerLetter"/>
      <w:start w:val="1"/>
    </w:lvl>
    <w:lvl w:ilvl="1">
      <w:lvlJc w:val="left"/>
      <w:lvlText w:val="(%2)"/>
      <w:numFmt w:val="lowerLetter"/>
      <w:start w:val="5"/>
    </w:lvl>
  </w:abstractNum>
  <w:abstractNum w:abstractNumId="89">
    <w:nsid w:val="5015CD1A"/>
    <w:multiLevelType w:val="hybridMultilevel"/>
    <w:lvl w:ilvl="0">
      <w:lvlJc w:val="left"/>
      <w:lvlText w:val="(%1)"/>
      <w:numFmt w:val="lowerLetter"/>
      <w:start w:val="9"/>
    </w:lvl>
    <w:lvl w:ilvl="1">
      <w:lvlJc w:val="left"/>
      <w:lvlText w:val="(%2)"/>
      <w:numFmt w:val="lowerLetter"/>
      <w:start w:val="7"/>
    </w:lvl>
  </w:abstractNum>
  <w:abstractNum w:abstractNumId="90">
    <w:nsid w:val="424479DA"/>
    <w:multiLevelType w:val="hybridMultilevel"/>
    <w:lvl w:ilvl="0">
      <w:lvlJc w:val="left"/>
      <w:lvlText w:val="(%1)"/>
      <w:numFmt w:val="lowerLetter"/>
      <w:start w:val="2"/>
    </w:lvl>
  </w:abstractNum>
  <w:abstractNum w:abstractNumId="91">
    <w:nsid w:val="1A9A9E69"/>
    <w:multiLevelType w:val="hybridMultilevel"/>
    <w:lvl w:ilvl="0">
      <w:lvlJc w:val="left"/>
      <w:lvlText w:val="(%1)"/>
      <w:numFmt w:val="lowerLetter"/>
      <w:start w:val="3"/>
    </w:lvl>
  </w:abstractNum>
  <w:abstractNum w:abstractNumId="92">
    <w:nsid w:val="475E256A"/>
    <w:multiLevelType w:val="hybridMultilevel"/>
    <w:lvl w:ilvl="0">
      <w:lvlJc w:val="left"/>
      <w:lvlText w:val="%1"/>
      <w:numFmt w:val="lowerLetter"/>
      <w:start w:val="1"/>
    </w:lvl>
    <w:lvl w:ilvl="1">
      <w:lvlJc w:val="left"/>
      <w:lvlText w:val="(%2)"/>
      <w:numFmt w:val="lowerLetter"/>
      <w:start w:val="1"/>
    </w:lvl>
  </w:abstractNum>
  <w:abstractNum w:abstractNumId="93">
    <w:nsid w:val="368DB37E"/>
    <w:multiLevelType w:val="hybridMultilevel"/>
    <w:lvl w:ilvl="0">
      <w:lvlJc w:val="left"/>
      <w:lvlText w:val="(%1)"/>
      <w:numFmt w:val="lowerLetter"/>
      <w:start w:val="35"/>
    </w:lvl>
    <w:lvl w:ilvl="1">
      <w:lvlJc w:val="left"/>
      <w:lvlText w:val="(%2)"/>
      <w:numFmt w:val="lowerLetter"/>
      <w:start w:val="2"/>
    </w:lvl>
  </w:abstractNum>
  <w:abstractNum w:abstractNumId="94">
    <w:nsid w:val="6A3B714C"/>
    <w:multiLevelType w:val="hybridMultilevel"/>
    <w:lvl w:ilvl="0">
      <w:lvlJc w:val="left"/>
      <w:lvlText w:val="%1"/>
      <w:numFmt w:val="lowerRoman"/>
      <w:start w:val="1"/>
    </w:lvl>
    <w:lvl w:ilvl="1">
      <w:lvlJc w:val="left"/>
      <w:lvlText w:val="(%2)"/>
      <w:numFmt w:val="lowerLetter"/>
      <w:start w:val="1"/>
    </w:lvl>
  </w:abstractNum>
  <w:abstractNum w:abstractNumId="95">
    <w:nsid w:val="327B517E"/>
    <w:multiLevelType w:val="hybridMultilevel"/>
    <w:lvl w:ilvl="0">
      <w:lvlJc w:val="left"/>
      <w:lvlText w:val="(%1)"/>
      <w:numFmt w:val="lowerRoman"/>
      <w:start w:val="1"/>
    </w:lvl>
    <w:lvl w:ilvl="1">
      <w:lvlJc w:val="left"/>
      <w:lvlText w:val="(%2)"/>
      <w:numFmt w:val="lowerLetter"/>
      <w:start w:val="2"/>
    </w:lvl>
  </w:abstractNum>
  <w:abstractNum w:abstractNumId="96">
    <w:nsid w:val="1F461B51"/>
    <w:multiLevelType w:val="hybridMultilevel"/>
    <w:lvl w:ilvl="0">
      <w:lvlJc w:val="left"/>
      <w:lvlText w:val="(%1)"/>
      <w:numFmt w:val="lowerLetter"/>
      <w:start w:val="6"/>
    </w:lvl>
  </w:abstractNum>
  <w:abstractNum w:abstractNumId="97">
    <w:nsid w:val="29BACF25"/>
    <w:multiLevelType w:val="hybridMultilevel"/>
    <w:lvl w:ilvl="0">
      <w:lvlJc w:val="left"/>
      <w:lvlText w:val="%1"/>
      <w:numFmt w:val="lowerLetter"/>
      <w:start w:val="1"/>
    </w:lvl>
    <w:lvl w:ilvl="1">
      <w:lvlJc w:val="left"/>
      <w:lvlText w:val="(%2)"/>
      <w:numFmt w:val="lowerLetter"/>
      <w:start w:val="1"/>
    </w:lvl>
  </w:abstractNum>
  <w:abstractNum w:abstractNumId="98">
    <w:nsid w:val="5D5BABB3"/>
    <w:multiLevelType w:val="hybridMultilevel"/>
    <w:lvl w:ilvl="0">
      <w:lvlJc w:val="left"/>
      <w:lvlText w:val="(%1)"/>
      <w:numFmt w:val="lowerLetter"/>
      <w:start w:val="9"/>
    </w:lvl>
    <w:lvl w:ilvl="1">
      <w:lvlJc w:val="left"/>
      <w:lvlText w:val="%2"/>
      <w:numFmt w:val="lowerLetter"/>
      <w:start w:val="1"/>
    </w:lvl>
  </w:abstractNum>
  <w:abstractNum w:abstractNumId="99">
    <w:nsid w:val="51BF6B48"/>
    <w:multiLevelType w:val="hybridMultilevel"/>
    <w:lvl w:ilvl="0">
      <w:lvlJc w:val="left"/>
      <w:lvlText w:val="(%1)"/>
      <w:numFmt w:val="lowerRoman"/>
      <w:start w:val="2"/>
    </w:lvl>
  </w:abstractNum>
  <w:abstractNum w:abstractNumId="100">
    <w:nsid w:val="7E0F6384"/>
    <w:multiLevelType w:val="hybridMultilevel"/>
    <w:lvl w:ilvl="0">
      <w:lvlJc w:val="left"/>
      <w:lvlText w:val="(%1)"/>
      <w:numFmt w:val="lowerRoman"/>
      <w:start w:val="3"/>
    </w:lvl>
  </w:abstractNum>
  <w:abstractNum w:abstractNumId="101">
    <w:nsid w:val="2B4B8B53"/>
    <w:multiLevelType w:val="hybridMultilevel"/>
    <w:lvl w:ilvl="0">
      <w:lvlJc w:val="left"/>
      <w:lvlText w:val="(%1)"/>
      <w:numFmt w:val="lowerRoman"/>
      <w:start w:val="4"/>
    </w:lvl>
  </w:abstractNum>
  <w:abstractNum w:abstractNumId="102">
    <w:nsid w:val="72E3413A"/>
    <w:multiLevelType w:val="hybridMultilevel"/>
    <w:lvl w:ilvl="0">
      <w:lvlJc w:val="left"/>
      <w:lvlText w:val="(%1)"/>
      <w:numFmt w:val="lowerRoman"/>
      <w:start w:val="5"/>
    </w:lvl>
  </w:abstractNum>
  <w:abstractNum w:abstractNumId="103">
    <w:nsid w:val="116AE494"/>
    <w:multiLevelType w:val="hybridMultilevel"/>
    <w:lvl w:ilvl="0">
      <w:lvlJc w:val="left"/>
      <w:lvlText w:val="(%1)"/>
      <w:numFmt w:val="lowerRoman"/>
      <w:start w:val="6"/>
    </w:lvl>
  </w:abstractNum>
  <w:abstractNum w:abstractNumId="104">
    <w:nsid w:val="3494B2FB"/>
    <w:multiLevelType w:val="hybridMultilevel"/>
    <w:lvl w:ilvl="0">
      <w:lvlJc w:val="left"/>
      <w:lvlText w:val="%1"/>
      <w:numFmt w:val="lowerLetter"/>
      <w:start w:val="1"/>
    </w:lvl>
    <w:lvl w:ilvl="1">
      <w:lvlJc w:val="left"/>
      <w:lvlText w:val="(%2)"/>
      <w:numFmt w:val="lowerRoman"/>
      <w:start w:val="7"/>
    </w:lvl>
    <w:lvl w:ilvl="2">
      <w:lvlJc w:val="left"/>
      <w:lvlText w:val="%3"/>
      <w:numFmt w:val="lowerLetter"/>
      <w:start w:val="1"/>
    </w:lvl>
  </w:abstractNum>
  <w:abstractNum w:abstractNumId="105">
    <w:nsid w:val="B13A31"/>
    <w:multiLevelType w:val="hybridMultilevel"/>
    <w:lvl w:ilvl="0">
      <w:lvlJc w:val="left"/>
      <w:lvlText w:val="(%1)"/>
      <w:numFmt w:val="lowerLetter"/>
      <w:start w:val="61"/>
    </w:lvl>
    <w:lvl w:ilvl="1">
      <w:lvlJc w:val="left"/>
      <w:lvlText w:val="(%2)"/>
      <w:numFmt w:val="lowerRoman"/>
      <w:start w:val="1"/>
    </w:lvl>
    <w:lvl w:ilvl="2">
      <w:lvlJc w:val="left"/>
      <w:lvlText w:val="(%3)"/>
      <w:numFmt w:val="lowerLetter"/>
      <w:start w:val="2"/>
    </w:lvl>
  </w:abstractNum>
  <w:abstractNum w:abstractNumId="106">
    <w:nsid w:val="64429599"/>
    <w:multiLevelType w:val="hybridMultilevel"/>
    <w:lvl w:ilvl="0">
      <w:lvlJc w:val="left"/>
      <w:lvlText w:val="(%1)"/>
      <w:numFmt w:val="upperLetter"/>
      <w:start w:val="1"/>
    </w:lvl>
  </w:abstractNum>
  <w:abstractNum w:abstractNumId="107">
    <w:nsid w:val="631F1690"/>
    <w:multiLevelType w:val="hybridMultilevel"/>
    <w:lvl w:ilvl="0">
      <w:lvlJc w:val="left"/>
      <w:lvlText w:val="(%1)"/>
      <w:numFmt w:val="upperLetter"/>
      <w:start w:val="5"/>
    </w:lvl>
    <w:lvl w:ilvl="1">
      <w:lvlJc w:val="left"/>
      <w:lvlText w:val="(%2)"/>
      <w:numFmt w:val="lowerLetter"/>
      <w:start w:val="4"/>
    </w:lvl>
  </w:abstractNum>
  <w:abstractNum w:abstractNumId="108">
    <w:nsid w:val="25973E32"/>
    <w:multiLevelType w:val="hybridMultilevel"/>
    <w:lvl w:ilvl="0">
      <w:lvlJc w:val="left"/>
      <w:lvlText w:val="(%1)"/>
      <w:numFmt w:val="lowerRoman"/>
      <w:start w:val="1"/>
    </w:lvl>
  </w:abstractNum>
  <w:abstractNum w:abstractNumId="109">
    <w:nsid w:val="EAD6F57"/>
    <w:multiLevelType w:val="hybridMultilevel"/>
    <w:lvl w:ilvl="0">
      <w:lvlJc w:val="left"/>
      <w:lvlText w:val="(%1)"/>
      <w:numFmt w:val="lowerLetter"/>
      <w:start w:val="2"/>
    </w:lvl>
  </w:abstractNum>
  <w:abstractNum w:abstractNumId="110">
    <w:nsid w:val="6EC9D844"/>
    <w:multiLevelType w:val="hybridMultilevel"/>
    <w:lvl w:ilvl="0">
      <w:lvlJc w:val="left"/>
      <w:lvlText w:val="%1"/>
      <w:numFmt w:val="lowerRoman"/>
      <w:start w:val="1"/>
    </w:lvl>
    <w:lvl w:ilvl="1">
      <w:lvlJc w:val="left"/>
      <w:lvlText w:val="(%2)"/>
      <w:numFmt w:val="lowerLetter"/>
      <w:start w:val="2"/>
    </w:lvl>
  </w:abstractNum>
  <w:abstractNum w:abstractNumId="111">
    <w:nsid w:val="5C49EAEE"/>
    <w:multiLevelType w:val="hybridMultilevel"/>
    <w:lvl w:ilvl="0">
      <w:lvlJc w:val="left"/>
      <w:lvlText w:val="(%1)"/>
      <w:numFmt w:val="lowerRoman"/>
      <w:start w:val="1"/>
    </w:lvl>
    <w:lvl w:ilvl="1">
      <w:lvlJc w:val="left"/>
      <w:lvlText w:val="%2"/>
      <w:numFmt w:val="lowerLetter"/>
      <w:start w:val="1"/>
    </w:lvl>
  </w:abstractNum>
  <w:abstractNum w:abstractNumId="112">
    <w:nsid w:val="64AF49B"/>
    <w:multiLevelType w:val="hybridMultilevel"/>
    <w:lvl w:ilvl="0">
      <w:lvlJc w:val="left"/>
      <w:lvlText w:val="(%1)"/>
      <w:numFmt w:val="lowerLetter"/>
      <w:start w:val="3"/>
    </w:lvl>
  </w:abstractNum>
  <w:abstractNum w:abstractNumId="113">
    <w:nsid w:val="397C46BC"/>
    <w:multiLevelType w:val="hybridMultilevel"/>
    <w:lvl w:ilvl="0">
      <w:lvlJc w:val="left"/>
      <w:lvlText w:val="(%1)"/>
      <w:numFmt w:val="lowerLetter"/>
      <w:start w:val="1"/>
    </w:lvl>
  </w:abstractNum>
  <w:abstractNum w:abstractNumId="114">
    <w:nsid w:val="7E448DE9"/>
    <w:multiLevelType w:val="hybridMultilevel"/>
    <w:lvl w:ilvl="0">
      <w:lvlJc w:val="left"/>
      <w:lvlText w:val="(%1)"/>
      <w:numFmt w:val="lowerLetter"/>
      <w:start w:val="1"/>
    </w:lvl>
  </w:abstractNum>
  <w:abstractNum w:abstractNumId="115">
    <w:nsid w:val="5A9CC3E5"/>
    <w:multiLevelType w:val="hybridMultilevel"/>
    <w:lvl w:ilvl="0">
      <w:lvlJc w:val="left"/>
      <w:lvlText w:val="(%1)"/>
      <w:numFmt w:val="lowerLetter"/>
      <w:start w:val="5"/>
    </w:lvl>
  </w:abstractNum>
  <w:abstractNum w:abstractNumId="116">
    <w:nsid w:val="1AFE3625"/>
    <w:multiLevelType w:val="hybridMultilevel"/>
    <w:lvl w:ilvl="0">
      <w:lvlJc w:val="left"/>
      <w:lvlText w:val="(%1)"/>
      <w:numFmt w:val="lowerLetter"/>
      <w:start w:val="1"/>
    </w:lvl>
  </w:abstractNum>
  <w:abstractNum w:abstractNumId="117">
    <w:nsid w:val="3CA88ECF"/>
    <w:multiLevelType w:val="hybridMultilevel"/>
    <w:lvl w:ilvl="0">
      <w:lvlJc w:val="left"/>
      <w:lvlText w:val="(%1)"/>
      <w:numFmt w:val="lowerLetter"/>
      <w:start w:val="1"/>
    </w:lvl>
  </w:abstractNum>
  <w:abstractNum w:abstractNumId="118">
    <w:nsid w:val="6EBE4208"/>
    <w:multiLevelType w:val="hybridMultilevel"/>
    <w:lvl w:ilvl="0">
      <w:lvlJc w:val="left"/>
      <w:lvlText w:val="(%1)"/>
      <w:numFmt w:val="lowerLetter"/>
      <w:start w:val="1"/>
    </w:lvl>
  </w:abstractNum>
  <w:abstractNum w:abstractNumId="119">
    <w:nsid w:val="C058DF5"/>
    <w:multiLevelType w:val="hybridMultilevel"/>
    <w:lvl w:ilvl="0">
      <w:lvlJc w:val="left"/>
      <w:lvlText w:val="(%1)"/>
      <w:numFmt w:val="lowerLetter"/>
      <w:start w:val="11"/>
    </w:lvl>
  </w:abstractNum>
  <w:abstractNum w:abstractNumId="120">
    <w:nsid w:val="CBE5BE9"/>
    <w:multiLevelType w:val="hybridMultilevel"/>
    <w:lvl w:ilvl="0">
      <w:lvlJc w:val="left"/>
      <w:lvlText w:val="(%1)"/>
      <w:numFmt w:val="lowerLetter"/>
      <w:start w:val="15"/>
    </w:lvl>
  </w:abstractNum>
  <w:abstractNum w:abstractNumId="121">
    <w:nsid w:val="3102BBE2"/>
    <w:multiLevelType w:val="hybridMultilevel"/>
    <w:lvl w:ilvl="0">
      <w:lvlJc w:val="left"/>
      <w:lvlText w:val="(%1)"/>
      <w:numFmt w:val="lowerLetter"/>
      <w:start w:val="27"/>
    </w:lvl>
  </w:abstractNum>
  <w:abstractNum w:abstractNumId="122">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9"/>
    </w:lvl>
  </w:abstractNum>
  <w:abstractNum w:abstractNumId="123">
    <w:nsid w:val="541C8153"/>
    <w:multiLevelType w:val="hybridMultilevel"/>
    <w:lvl w:ilvl="0">
      <w:lvlJc w:val="left"/>
      <w:lvlText w:val="(%1)"/>
      <w:numFmt w:val="lowerLetter"/>
      <w:start w:val="9"/>
    </w:lvl>
    <w:lvl w:ilvl="1">
      <w:lvlJc w:val="left"/>
      <w:lvlText w:val="(%2)"/>
      <w:numFmt w:val="lowerRoman"/>
    </w:lvl>
    <w:lvl w:ilvl="2">
      <w:lvlJc w:val="left"/>
      <w:lvlText w:val="(%3)"/>
      <w:numFmt w:val="lowerLetter"/>
      <w:start w:val="38"/>
    </w:lvl>
  </w:abstractNum>
  <w:abstractNum w:abstractNumId="124">
    <w:nsid w:val="67906F6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9"/>
    </w:lvl>
  </w:abstractNum>
  <w:abstractNum w:abstractNumId="125">
    <w:nsid w:val="10DB9DAA"/>
    <w:multiLevelType w:val="hybridMultilevel"/>
    <w:lvl w:ilvl="0">
      <w:lvlJc w:val="left"/>
      <w:lvlText w:val="(%1)"/>
      <w:numFmt w:val="lowerLetter"/>
      <w:start w:val="2"/>
    </w:lvl>
  </w:abstractNum>
  <w:abstractNum w:abstractNumId="126">
    <w:nsid w:val="697D2D2"/>
    <w:multiLevelType w:val="hybridMultilevel"/>
    <w:lvl w:ilvl="0">
      <w:lvlJc w:val="left"/>
      <w:lvlText w:val="%1"/>
      <w:numFmt w:val="lowerLetter"/>
      <w:start w:val="1"/>
    </w:lvl>
    <w:lvl w:ilvl="1">
      <w:lvlJc w:val="left"/>
      <w:lvlText w:val="(%2)"/>
      <w:numFmt w:val="lowerLetter"/>
      <w:start w:val="3"/>
    </w:lvl>
  </w:abstractNum>
  <w:abstractNum w:abstractNumId="127">
    <w:nsid w:val="6D68AB2"/>
    <w:multiLevelType w:val="hybridMultilevel"/>
    <w:lvl w:ilvl="0">
      <w:lvlJc w:val="left"/>
      <w:lvlText w:val="(%1)"/>
      <w:numFmt w:val="lowerLetter"/>
      <w:start w:val="9"/>
    </w:lvl>
    <w:lvl w:ilvl="1">
      <w:lvlJc w:val="left"/>
      <w:lvlText w:val="(%2)"/>
      <w:numFmt w:val="lowerLetter"/>
      <w:start w:val="7"/>
    </w:lvl>
  </w:abstractNum>
  <w:abstractNum w:abstractNumId="128">
    <w:nsid w:val="3A966CD0"/>
    <w:multiLevelType w:val="hybridMultilevel"/>
    <w:lvl w:ilvl="0">
      <w:lvlJc w:val="left"/>
      <w:lvlText w:val="(%1)"/>
      <w:numFmt w:val="lowerLetter"/>
      <w:start w:val="2"/>
    </w:lvl>
  </w:abstractNum>
  <w:abstractNum w:abstractNumId="129">
    <w:nsid w:val="63F37E85"/>
    <w:multiLevelType w:val="hybridMultilevel"/>
    <w:lvl w:ilvl="0">
      <w:lvlJc w:val="left"/>
      <w:lvlText w:val="%1"/>
      <w:numFmt w:val="lowerLetter"/>
      <w:start w:val="1"/>
    </w:lvl>
    <w:lvl w:ilvl="1">
      <w:lvlJc w:val="left"/>
      <w:lvlText w:val="(%2)"/>
      <w:numFmt w:val="lowerLetter"/>
      <w:start w:val="1"/>
    </w:lvl>
  </w:abstractNum>
  <w:abstractNum w:abstractNumId="130">
    <w:nsid w:val="5895F5FA"/>
    <w:multiLevelType w:val="hybridMultilevel"/>
    <w:lvl w:ilvl="0">
      <w:lvlJc w:val="left"/>
      <w:lvlText w:val="(%1)"/>
      <w:numFmt w:val="lowerLetter"/>
      <w:start w:val="35"/>
    </w:lvl>
    <w:lvl w:ilvl="1">
      <w:lvlJc w:val="left"/>
      <w:lvlText w:val="(%2)"/>
      <w:numFmt w:val="lowerLetter"/>
      <w:start w:val="2"/>
    </w:lvl>
  </w:abstractNum>
  <w:abstractNum w:abstractNumId="131">
    <w:nsid w:val="38A5D054"/>
    <w:multiLevelType w:val="hybridMultilevel"/>
    <w:lvl w:ilvl="0">
      <w:lvlJc w:val="left"/>
      <w:lvlText w:val="(%1)"/>
      <w:numFmt w:val="lowerLetter"/>
      <w:start w:val="4"/>
    </w:lvl>
  </w:abstractNum>
  <w:abstractNum w:abstractNumId="132">
    <w:nsid w:val="F3F09D8"/>
    <w:multiLevelType w:val="hybridMultilevel"/>
    <w:lvl w:ilvl="0">
      <w:lvlJc w:val="left"/>
      <w:lvlText w:val="(%1)"/>
      <w:numFmt w:val="lowerLetter"/>
      <w:start w:val="1"/>
    </w:lvl>
  </w:abstractNum>
  <w:abstractNum w:abstractNumId="133">
    <w:nsid w:val="4B793735"/>
    <w:multiLevelType w:val="hybridMultilevel"/>
    <w:lvl w:ilvl="0">
      <w:lvlJc w:val="left"/>
      <w:lvlText w:val="(%1)"/>
      <w:numFmt w:val="lowerRoman"/>
      <w:start w:val="1"/>
    </w:lvl>
  </w:abstractNum>
  <w:abstractNum w:abstractNumId="134">
    <w:nsid w:val="4A10B4E8"/>
    <w:multiLevelType w:val="hybridMultilevel"/>
    <w:lvl w:ilvl="0">
      <w:lvlJc w:val="left"/>
      <w:lvlText w:val="%1"/>
      <w:numFmt w:val="lowerLetter"/>
      <w:start w:val="1"/>
    </w:lvl>
    <w:lvl w:ilvl="1">
      <w:lvlJc w:val="left"/>
      <w:lvlText w:val="(%2)"/>
      <w:numFmt w:val="lowerLetter"/>
      <w:start w:val="2"/>
    </w:lvl>
  </w:abstractNum>
  <w:abstractNum w:abstractNumId="135">
    <w:nsid w:val="43D3BCD4"/>
    <w:multiLevelType w:val="hybridMultilevel"/>
    <w:lvl w:ilvl="0">
      <w:lvlJc w:val="left"/>
      <w:lvlText w:val="(%1)"/>
      <w:numFmt w:val="lowerLetter"/>
      <w:start w:val="35"/>
    </w:lvl>
    <w:lvl w:ilvl="1">
      <w:lvlJc w:val="left"/>
      <w:lvlText w:val="(%2)"/>
      <w:numFmt w:val="lowerLetter"/>
      <w:start w:val="3"/>
    </w:lvl>
  </w:abstractNum>
  <w:abstractNum w:abstractNumId="136">
    <w:nsid w:val="4C2A7166"/>
    <w:multiLevelType w:val="hybridMultilevel"/>
    <w:lvl w:ilvl="0">
      <w:lvlJc w:val="left"/>
      <w:lvlText w:val="(%1)"/>
      <w:numFmt w:val="lowerLetter"/>
      <w:start w:val="4"/>
    </w:lvl>
  </w:abstractNum>
  <w:abstractNum w:abstractNumId="137">
    <w:nsid w:val="2E534A82"/>
    <w:multiLevelType w:val="hybridMultilevel"/>
    <w:lvl w:ilvl="0">
      <w:lvlJc w:val="left"/>
      <w:lvlText w:val="%1"/>
      <w:numFmt w:val="lowerLetter"/>
      <w:start w:val="1"/>
    </w:lvl>
    <w:lvl w:ilvl="1">
      <w:lvlJc w:val="left"/>
      <w:lvlText w:val="(%2)"/>
      <w:numFmt w:val="lowerLetter"/>
      <w:start w:val="1"/>
    </w:lvl>
  </w:abstractNum>
  <w:abstractNum w:abstractNumId="138">
    <w:nsid w:val="26F2D364"/>
    <w:multiLevelType w:val="hybridMultilevel"/>
    <w:lvl w:ilvl="0">
      <w:lvlJc w:val="left"/>
      <w:lvlText w:val="(%1)"/>
      <w:numFmt w:val="lowerLetter"/>
      <w:start w:val="9"/>
    </w:lvl>
    <w:lvl w:ilvl="1">
      <w:lvlJc w:val="left"/>
      <w:lvlText w:val="%2"/>
      <w:numFmt w:val="lowerLetter"/>
      <w:start w:val="1"/>
    </w:lvl>
  </w:abstractNum>
  <w:abstractNum w:abstractNumId="139">
    <w:nsid w:val="71C1AF98"/>
    <w:multiLevelType w:val="hybridMultilevel"/>
    <w:lvl w:ilvl="0">
      <w:lvlJc w:val="left"/>
      <w:lvlText w:val="(%1)"/>
      <w:numFmt w:val="lowerRoman"/>
      <w:start w:val="2"/>
    </w:lvl>
  </w:abstractNum>
  <w:abstractNum w:abstractNumId="140">
    <w:nsid w:val="3D00B9D9"/>
    <w:multiLevelType w:val="hybridMultilevel"/>
    <w:lvl w:ilvl="0">
      <w:lvlJc w:val="left"/>
      <w:lvlText w:val="(%1)"/>
      <w:numFmt w:val="lowerRoman"/>
      <w:start w:val="3"/>
    </w:lvl>
  </w:abstractNum>
  <w:abstractNum w:abstractNumId="141">
    <w:nsid w:val="15BCABA8"/>
    <w:multiLevelType w:val="hybridMultilevel"/>
    <w:lvl w:ilvl="0">
      <w:lvlJc w:val="left"/>
      <w:lvlText w:val="(%1)"/>
      <w:numFmt w:val="lowerRoman"/>
      <w:start w:val="4"/>
    </w:lvl>
  </w:abstractNum>
  <w:abstractNum w:abstractNumId="142">
    <w:nsid w:val="4E0B9A87"/>
    <w:multiLevelType w:val="hybridMultilevel"/>
    <w:lvl w:ilvl="0">
      <w:lvlJc w:val="left"/>
      <w:lvlText w:val="(%1)"/>
      <w:numFmt w:val="lowerRoman"/>
      <w:start w:val="5"/>
    </w:lvl>
  </w:abstractNum>
  <w:abstractNum w:abstractNumId="143">
    <w:nsid w:val="434BAE75"/>
    <w:multiLevelType w:val="hybridMultilevel"/>
    <w:lvl w:ilvl="0">
      <w:lvlJc w:val="left"/>
      <w:lvlText w:val="(%1)"/>
      <w:numFmt w:val="lowerRoman"/>
      <w:start w:val="6"/>
    </w:lvl>
  </w:abstractNum>
  <w:abstractNum w:abstractNumId="144">
    <w:nsid w:val="4F38F265"/>
    <w:multiLevelType w:val="hybridMultilevel"/>
    <w:lvl w:ilvl="0">
      <w:lvlJc w:val="left"/>
      <w:lvlText w:val="(%1)"/>
      <w:numFmt w:val="lowerRoman"/>
      <w:start w:val="7"/>
    </w:lvl>
    <w:lvl w:ilvl="1">
      <w:lvlJc w:val="left"/>
      <w:lvlText w:val="(%2)"/>
      <w:numFmt w:val="lowerLetter"/>
      <w:start w:val="2"/>
    </w:lvl>
  </w:abstractNum>
  <w:abstractNum w:abstractNumId="145">
    <w:nsid w:val="4C502870"/>
    <w:multiLevelType w:val="hybridMultilevel"/>
    <w:lvl w:ilvl="0">
      <w:lvlJc w:val="left"/>
      <w:lvlText w:val="(%1)"/>
      <w:numFmt w:val="lowerRoman"/>
      <w:start w:val="2"/>
    </w:lvl>
  </w:abstractNum>
  <w:abstractNum w:abstractNumId="146">
    <w:nsid w:val="1DE8725A"/>
    <w:multiLevelType w:val="hybridMultilevel"/>
    <w:lvl w:ilvl="0">
      <w:lvlJc w:val="left"/>
      <w:lvlText w:val="(%1)"/>
      <w:numFmt w:val="upperLetter"/>
      <w:start w:val="1"/>
    </w:lvl>
    <w:lvl w:ilvl="1">
      <w:lvlJc w:val="left"/>
      <w:lvlText w:val="(%2)"/>
      <w:numFmt w:val="lowerLetter"/>
      <w:start w:val="4"/>
    </w:lvl>
  </w:abstractNum>
  <w:abstractNum w:abstractNumId="147">
    <w:nsid w:val="6A37288A"/>
    <w:multiLevelType w:val="hybridMultilevel"/>
    <w:lvl w:ilvl="0">
      <w:lvlJc w:val="left"/>
      <w:lvlText w:val="(%1)"/>
      <w:numFmt w:val="lowerRoman"/>
      <w:start w:val="1"/>
    </w:lvl>
  </w:abstractNum>
  <w:abstractNum w:abstractNumId="148">
    <w:nsid w:val="8F8B73F"/>
    <w:multiLevelType w:val="hybridMultilevel"/>
    <w:lvl w:ilvl="0">
      <w:lvlJc w:val="left"/>
      <w:lvlText w:val="(%1)"/>
      <w:numFmt w:val="lowerLetter"/>
      <w:start w:val="2"/>
    </w:lvl>
  </w:abstractNum>
  <w:abstractNum w:abstractNumId="149">
    <w:nsid w:val="CA6B462"/>
    <w:multiLevelType w:val="hybridMultilevel"/>
    <w:lvl w:ilvl="0">
      <w:lvlJc w:val="left"/>
      <w:lvlText w:val="%1"/>
      <w:numFmt w:val="lowerRoman"/>
      <w:start w:val="1"/>
    </w:lvl>
    <w:lvl w:ilvl="1">
      <w:lvlJc w:val="left"/>
      <w:lvlText w:val="(%2)"/>
      <w:numFmt w:val="lowerLetter"/>
      <w:start w:val="2"/>
    </w:lvl>
  </w:abstractNum>
  <w:abstractNum w:abstractNumId="150">
    <w:nsid w:val="763CB680"/>
    <w:multiLevelType w:val="hybridMultilevel"/>
    <w:lvl w:ilvl="0">
      <w:lvlJc w:val="left"/>
      <w:lvlText w:val="(%1)"/>
      <w:numFmt w:val="lowerRoman"/>
      <w:start w:val="1"/>
    </w:lvl>
    <w:lvl w:ilvl="1">
      <w:lvlJc w:val="left"/>
      <w:lvlText w:val="%2"/>
      <w:numFmt w:val="lowerLetter"/>
      <w:start w:val="1"/>
    </w:lvl>
  </w:abstractNum>
  <w:abstractNum w:abstractNumId="151">
    <w:nsid w:val="15B71329"/>
    <w:multiLevelType w:val="hybridMultilevel"/>
    <w:lvl w:ilvl="0">
      <w:lvlJc w:val="left"/>
      <w:lvlText w:val="(%1)"/>
      <w:numFmt w:val="lowerLetter"/>
      <w:start w:val="3"/>
    </w:lvl>
  </w:abstractNum>
  <w:abstractNum w:abstractNumId="152">
    <w:nsid w:val="3DA97044"/>
    <w:multiLevelType w:val="hybridMultilevel"/>
    <w:lvl w:ilvl="0">
      <w:lvlJc w:val="left"/>
      <w:lvlText w:val="(%1)"/>
      <w:numFmt w:val="lowerLetter"/>
      <w:start w:val="1"/>
    </w:lvl>
  </w:abstractNum>
  <w:abstractNum w:abstractNumId="153">
    <w:nsid w:val="1CDCE2DE"/>
    <w:multiLevelType w:val="hybridMultilevel"/>
    <w:lvl w:ilvl="0">
      <w:lvlJc w:val="left"/>
      <w:lvlText w:val="(%1)"/>
      <w:numFmt w:val="lowerLetter"/>
      <w:start w:val="1"/>
    </w:lvl>
  </w:abstractNum>
  <w:abstractNum w:abstractNumId="154">
    <w:nsid w:val="69D3947C"/>
    <w:multiLevelType w:val="hybridMultilevel"/>
    <w:lvl w:ilvl="0">
      <w:lvlJc w:val="left"/>
      <w:lvlText w:val="(%1)"/>
      <w:numFmt w:val="lowerLetter"/>
      <w:start w:val="1"/>
    </w:lvl>
  </w:abstractNum>
  <w:abstractNum w:abstractNumId="155">
    <w:nsid w:val="2539DFA5"/>
    <w:multiLevelType w:val="hybridMultilevel"/>
    <w:lvl w:ilvl="0">
      <w:lvlJc w:val="left"/>
      <w:lvlText w:val="(%1)"/>
      <w:numFmt w:val="lowerLetter"/>
      <w:start w:val="1"/>
    </w:lvl>
  </w:abstractNum>
  <w:abstractNum w:abstractNumId="156">
    <w:nsid w:val="2DB88089"/>
    <w:multiLevelType w:val="hybridMultilevel"/>
    <w:lvl w:ilvl="0">
      <w:lvlJc w:val="left"/>
      <w:lvlText w:val="(%1)"/>
      <w:numFmt w:val="lowerLetter"/>
      <w:start w:val="3"/>
    </w:lvl>
  </w:abstractNum>
  <w:abstractNum w:abstractNumId="157">
    <w:nsid w:val="706B674E"/>
    <w:multiLevelType w:val="hybridMultilevel"/>
    <w:lvl w:ilvl="0">
      <w:lvlJc w:val="left"/>
      <w:lvlText w:val="(%1)"/>
      <w:numFmt w:val="lowerLetter"/>
      <w:start w:val="1"/>
    </w:lvl>
  </w:abstractNum>
  <w:abstractNum w:abstractNumId="158">
    <w:nsid w:val="2C106A57"/>
    <w:multiLevelType w:val="hybridMultilevel"/>
    <w:lvl w:ilvl="0">
      <w:lvlJc w:val="left"/>
      <w:lvlText w:val="(%1)"/>
      <w:numFmt w:val="lowerLetter"/>
      <w:start w:val="1"/>
    </w:lvl>
  </w:abstractNum>
  <w:abstractNum w:abstractNumId="159">
    <w:nsid w:val="684EED59"/>
    <w:multiLevelType w:val="hybridMultilevel"/>
    <w:lvl w:ilvl="0">
      <w:lvlJc w:val="left"/>
      <w:lvlText w:val="(%1)"/>
      <w:numFmt w:val="lowerLetter"/>
      <w:start w:val="2"/>
    </w:lvl>
  </w:abstractNum>
  <w:abstractNum w:abstractNumId="160">
    <w:nsid w:val="545EE5D3"/>
    <w:multiLevelType w:val="hybridMultilevel"/>
    <w:lvl w:ilvl="0">
      <w:lvlJc w:val="left"/>
      <w:lvlText w:val="(%1)"/>
      <w:numFmt w:val="lowerLetter"/>
      <w:start w:val="1"/>
    </w:lvl>
  </w:abstractNum>
  <w:abstractNum w:abstractNumId="161">
    <w:nsid w:val="4A66051"/>
    <w:multiLevelType w:val="hybridMultilevel"/>
    <w:lvl w:ilvl="0">
      <w:lvlJc w:val="left"/>
      <w:lvlText w:val="(%1)"/>
      <w:numFmt w:val="lowerLetter"/>
      <w:start w:val="1"/>
    </w:lvl>
  </w:abstractNum>
  <w:abstractNum w:abstractNumId="162">
    <w:nsid w:val="20F4BDAD"/>
    <w:multiLevelType w:val="hybridMultilevel"/>
    <w:lvl w:ilvl="0">
      <w:lvlJc w:val="left"/>
      <w:lvlText w:val="(%1)"/>
      <w:numFmt w:val="lowerLetter"/>
      <w:start w:val="12"/>
    </w:lvl>
  </w:abstractNum>
  <w:abstractNum w:abstractNumId="163">
    <w:nsid w:val="639DEFAC"/>
    <w:multiLevelType w:val="hybridMultilevel"/>
    <w:lvl w:ilvl="0">
      <w:lvlJc w:val="left"/>
      <w:lvlText w:val="(%1)"/>
      <w:numFmt w:val="lowerLetter"/>
      <w:start w:val="1"/>
    </w:lvl>
  </w:abstractNum>
  <w:abstractNum w:abstractNumId="164">
    <w:nsid w:val="501F9786"/>
    <w:multiLevelType w:val="hybridMultilevel"/>
    <w:lvl w:ilvl="0">
      <w:lvlJc w:val="left"/>
      <w:lvlText w:val="(%1)"/>
      <w:numFmt w:val="lowerLetter"/>
      <w:start w:val="2"/>
    </w:lvl>
  </w:abstractNum>
  <w:abstractNum w:abstractNumId="165">
    <w:nsid w:val="6B057295"/>
    <w:multiLevelType w:val="hybridMultilevel"/>
    <w:lvl w:ilvl="0">
      <w:lvlJc w:val="left"/>
      <w:lvlText w:val="(%1)"/>
      <w:numFmt w:val="lowerLetter"/>
      <w:start w:val="1"/>
    </w:lvl>
  </w:abstractNum>
  <w:abstractNum w:abstractNumId="166">
    <w:nsid w:val="2771AC80"/>
    <w:multiLevelType w:val="hybridMultilevel"/>
    <w:lvl w:ilvl="0">
      <w:lvlJc w:val="left"/>
      <w:lvlText w:val="(%1)"/>
      <w:numFmt w:val="lowerLetter"/>
      <w:start w:val="4"/>
    </w:lvl>
  </w:abstractNum>
  <w:abstractNum w:abstractNumId="167">
    <w:nsid w:val="1C4A08EC"/>
    <w:multiLevelType w:val="hybridMultilevel"/>
    <w:lvl w:ilvl="0">
      <w:lvlJc w:val="left"/>
      <w:lvlText w:val="(%1)"/>
      <w:numFmt w:val="lowerRoman"/>
      <w:start w:val="2"/>
    </w:lvl>
  </w:abstractNum>
  <w:abstractNum w:abstractNumId="168">
    <w:nsid w:val="1958BD17"/>
    <w:multiLevelType w:val="hybridMultilevel"/>
    <w:lvl w:ilvl="0">
      <w:lvlJc w:val="left"/>
      <w:lvlText w:val="(%1)"/>
      <w:numFmt w:val="lowerLetter"/>
      <w:start w:val="2"/>
    </w:lvl>
  </w:abstractNum>
  <w:abstractNum w:abstractNumId="169">
    <w:nsid w:val="4E647FE4"/>
    <w:multiLevelType w:val="hybridMultilevel"/>
    <w:lvl w:ilvl="0">
      <w:lvlJc w:val="left"/>
      <w:lvlText w:val="(%1)"/>
      <w:numFmt w:val="lowerLetter"/>
      <w:start w:val="1"/>
    </w:lvl>
  </w:abstractNum>
  <w:abstractNum w:abstractNumId="170">
    <w:nsid w:val="E0BB885"/>
    <w:multiLevelType w:val="hybridMultilevel"/>
    <w:lvl w:ilvl="0">
      <w:lvlJc w:val="left"/>
      <w:lvlText w:val="(%1)"/>
      <w:numFmt w:val="lowerRoman"/>
      <w:start w:val="1"/>
    </w:lvl>
  </w:abstractNum>
  <w:abstractNum w:abstractNumId="171">
    <w:nsid w:val="565976F1"/>
    <w:multiLevelType w:val="hybridMultilevel"/>
    <w:lvl w:ilvl="0">
      <w:lvlJc w:val="left"/>
      <w:lvlText w:val="(%1)"/>
      <w:numFmt w:val="lowerLetter"/>
      <w:start w:val="3"/>
    </w:lvl>
  </w:abstractNum>
  <w:abstractNum w:abstractNumId="172">
    <w:nsid w:val="64212B8C"/>
    <w:multiLevelType w:val="hybridMultilevel"/>
    <w:lvl w:ilvl="0">
      <w:lvlJc w:val="left"/>
      <w:lvlText w:val="%1."/>
      <w:numFmt w:val="decimal"/>
      <w:start w:val="1"/>
    </w:lvl>
  </w:abstractNum>
  <w:abstractNum w:abstractNumId="173">
    <w:nsid w:val="5C17530C"/>
    <w:multiLevelType w:val="hybridMultilevel"/>
    <w:lvl w:ilvl="0">
      <w:lvlJc w:val="left"/>
      <w:lvlText w:val="(%1)"/>
      <w:numFmt w:val="lowerLetter"/>
      <w:start w:val="1"/>
    </w:lvl>
  </w:abstractNum>
  <w:abstractNum w:abstractNumId="174">
    <w:nsid w:val="19A52566"/>
    <w:multiLevelType w:val="hybridMultilevel"/>
    <w:lvl w:ilvl="0">
      <w:lvlJc w:val="left"/>
      <w:lvlText w:val="(%1)"/>
      <w:numFmt w:val="lowerRoman"/>
      <w:start w:val="2"/>
    </w:lvl>
  </w:abstractNum>
  <w:abstractNum w:abstractNumId="175">
    <w:nsid w:val="335A1DF1"/>
    <w:multiLevelType w:val="hybridMultilevel"/>
    <w:lvl w:ilvl="0">
      <w:lvlJc w:val="left"/>
      <w:lvlText w:val="%1."/>
      <w:numFmt w:val="decimal"/>
      <w:start w:val="3"/>
    </w:lvl>
  </w:abstractNum>
  <w:abstractNum w:abstractNumId="176">
    <w:nsid w:val="28677B7C"/>
    <w:multiLevelType w:val="hybridMultilevel"/>
    <w:lvl w:ilvl="0">
      <w:lvlJc w:val="left"/>
      <w:lvlText w:val="(%1)"/>
      <w:numFmt w:val="lowerLetter"/>
      <w:start w:val="1"/>
    </w:lvl>
  </w:abstractNum>
  <w:abstractNum w:abstractNumId="177">
    <w:nsid w:val="378D97C0"/>
    <w:multiLevelType w:val="hybridMultilevel"/>
    <w:lvl w:ilvl="0">
      <w:lvlJc w:val="left"/>
      <w:lvlText w:val="(%1)"/>
      <w:numFmt w:val="lowerLetter"/>
      <w:start w:val="2"/>
    </w:lvl>
  </w:abstractNum>
  <w:abstractNum w:abstractNumId="178">
    <w:nsid w:val="1D91467C"/>
    <w:multiLevelType w:val="hybridMultilevel"/>
    <w:lvl w:ilvl="0">
      <w:lvlJc w:val="left"/>
      <w:lvlText w:val="%1."/>
      <w:numFmt w:val="decimal"/>
      <w:start w:val="4"/>
    </w:lvl>
  </w:abstractNum>
  <w:abstractNum w:abstractNumId="179">
    <w:nsid w:val="316032BB"/>
    <w:multiLevelType w:val="hybridMultilevel"/>
    <w:lvl w:ilvl="0">
      <w:lvlJc w:val="left"/>
      <w:lvlText w:val="(%1)"/>
      <w:numFmt w:val="lowerLetter"/>
      <w:start w:val="1"/>
    </w:lvl>
  </w:abstractNum>
  <w:abstractNum w:abstractNumId="180">
    <w:nsid w:val="44344C22"/>
    <w:multiLevelType w:val="hybridMultilevel"/>
    <w:lvl w:ilvl="0">
      <w:lvlJc w:val="left"/>
      <w:lvlText w:val="(%1)"/>
      <w:numFmt w:val="lowerRoman"/>
      <w:start w:val="1"/>
    </w:lvl>
  </w:abstractNum>
  <w:abstractNum w:abstractNumId="181">
    <w:nsid w:val="13CDFCFC"/>
    <w:multiLevelType w:val="hybridMultilevel"/>
    <w:lvl w:ilvl="0">
      <w:lvlJc w:val="left"/>
      <w:lvlText w:val="(%1)"/>
      <w:numFmt w:val="lowerRoman"/>
      <w:start w:val="3"/>
    </w:lvl>
  </w:abstractNum>
  <w:abstractNum w:abstractNumId="182">
    <w:nsid w:val="471745E4"/>
    <w:multiLevelType w:val="hybridMultilevel"/>
    <w:lvl w:ilvl="0">
      <w:lvlJc w:val="left"/>
      <w:lvlText w:val="%1."/>
      <w:numFmt w:val="decimal"/>
      <w:start w:val="6"/>
    </w:lvl>
  </w:abstractNum>
  <w:abstractNum w:abstractNumId="183">
    <w:nsid w:val="1DDBC66"/>
    <w:multiLevelType w:val="hybridMultilevel"/>
    <w:lvl w:ilvl="0">
      <w:lvlJc w:val="left"/>
      <w:lvlText w:val="(%1)"/>
      <w:numFmt w:val="lowerLetter"/>
      <w:start w:val="1"/>
    </w:lvl>
  </w:abstractNum>
  <w:abstractNum w:abstractNumId="184">
    <w:nsid w:val="30AADFDA"/>
    <w:multiLevelType w:val="hybridMultilevel"/>
    <w:lvl w:ilvl="0">
      <w:lvlJc w:val="left"/>
      <w:lvlText w:val="(%1)"/>
      <w:numFmt w:val="lowerRoman"/>
      <w:start w:val="1"/>
    </w:lvl>
  </w:abstractNum>
  <w:abstractNum w:abstractNumId="185">
    <w:nsid w:val="30EADA61"/>
    <w:multiLevelType w:val="hybridMultilevel"/>
    <w:lvl w:ilvl="0">
      <w:lvlJc w:val="left"/>
      <w:lvlText w:val="(%1)"/>
      <w:numFmt w:val="lowerRoman"/>
      <w:start w:val="2"/>
    </w:lvl>
  </w:abstractNum>
  <w:abstractNum w:abstractNumId="186">
    <w:nsid w:val="27179C0B"/>
    <w:multiLevelType w:val="hybridMultilevel"/>
    <w:lvl w:ilvl="0">
      <w:lvlJc w:val="left"/>
      <w:lvlText w:val="(%1)"/>
      <w:numFmt w:val="lowerRoman"/>
      <w:start w:val="3"/>
    </w:lvl>
  </w:abstractNum>
  <w:abstractNum w:abstractNumId="187">
    <w:nsid w:val="5E636063"/>
    <w:multiLevelType w:val="hybridMultilevel"/>
    <w:lvl w:ilvl="0">
      <w:lvlJc w:val="left"/>
      <w:lvlText w:val="(%1)"/>
      <w:numFmt w:val="upperLetter"/>
      <w:start w:val="1"/>
    </w:lvl>
  </w:abstractNum>
  <w:abstractNum w:abstractNumId="188">
    <w:nsid w:val="215641AF"/>
    <w:multiLevelType w:val="hybridMultilevel"/>
    <w:lvl w:ilvl="0">
      <w:lvlJc w:val="left"/>
      <w:lvlText w:val="(%1)"/>
      <w:numFmt w:val="lowerRoman"/>
      <w:start w:val="1"/>
    </w:lvl>
  </w:abstractNum>
  <w:abstractNum w:abstractNumId="189">
    <w:nsid w:val="53280662"/>
    <w:multiLevelType w:val="hybridMultilevel"/>
    <w:lvl w:ilvl="0">
      <w:lvlJc w:val="left"/>
      <w:lvlText w:val="(%1)"/>
      <w:numFmt w:val="lowerRoman"/>
      <w:start w:val="4"/>
    </w:lvl>
  </w:abstractNum>
  <w:abstractNum w:abstractNumId="190">
    <w:nsid w:val="46B24DBC"/>
    <w:multiLevelType w:val="hybridMultilevel"/>
    <w:lvl w:ilvl="0">
      <w:lvlJc w:val="left"/>
      <w:lvlText w:val="(%1)"/>
      <w:numFmt w:val="lowerLetter"/>
      <w:start w:val="2"/>
    </w:lvl>
  </w:abstractNum>
  <w:abstractNum w:abstractNumId="191">
    <w:nsid w:val="75B52783"/>
    <w:multiLevelType w:val="hybridMultilevel"/>
    <w:lvl w:ilvl="0">
      <w:lvlJc w:val="left"/>
      <w:lvlText w:val="(%1)"/>
      <w:numFmt w:val="lowerRoman"/>
      <w:start w:val="1"/>
    </w:lvl>
  </w:abstractNum>
  <w:abstractNum w:abstractNumId="192">
    <w:nsid w:val="57CE66B4"/>
    <w:multiLevelType w:val="hybridMultilevel"/>
    <w:lvl w:ilvl="0">
      <w:lvlJc w:val="left"/>
      <w:lvlText w:val="(%1)"/>
      <w:numFmt w:val="lowerRoman"/>
      <w:start w:val="3"/>
    </w:lvl>
  </w:abstractNum>
  <w:abstractNum w:abstractNumId="193">
    <w:nsid w:val="67A70B69"/>
    <w:multiLevelType w:val="hybridMultilevel"/>
    <w:lvl w:ilvl="0">
      <w:lvlJc w:val="left"/>
      <w:lvlText w:val="(%1)"/>
      <w:numFmt w:val="upperLetter"/>
      <w:start w:val="1"/>
    </w:lvl>
  </w:abstractNum>
  <w:abstractNum w:abstractNumId="194">
    <w:nsid w:val="5953172F"/>
    <w:multiLevelType w:val="hybridMultilevel"/>
    <w:lvl w:ilvl="0">
      <w:lvlJc w:val="left"/>
      <w:lvlText w:val="(%1)"/>
      <w:numFmt w:val="lowerRoman"/>
      <w:start w:val="4"/>
    </w:lvl>
  </w:abstractNum>
  <w:abstractNum w:abstractNumId="195">
    <w:nsid w:val="27EDFE3A"/>
    <w:multiLevelType w:val="hybridMultilevel"/>
    <w:lvl w:ilvl="0">
      <w:lvlJc w:val="left"/>
      <w:lvlText w:val="(%1)"/>
      <w:numFmt w:val="lowerLetter"/>
      <w:start w:val="3"/>
    </w:lvl>
  </w:abstractNum>
  <w:abstractNum w:abstractNumId="196">
    <w:nsid w:val="52AC7DFF"/>
    <w:multiLevelType w:val="hybridMultilevel"/>
    <w:lvl w:ilvl="0">
      <w:lvlJc w:val="left"/>
      <w:lvlText w:val="(%1)"/>
      <w:numFmt w:val="lowerLetter"/>
      <w:start w:val="5"/>
    </w:lvl>
  </w:abstractNum>
  <w:abstractNum w:abstractNumId="197">
    <w:nsid w:val="C4C3AF"/>
    <w:multiLevelType w:val="hybridMultilevel"/>
    <w:lvl w:ilvl="0">
      <w:lvlJc w:val="left"/>
      <w:lvlText w:val="(%1)"/>
      <w:numFmt w:val="lowerLetter"/>
      <w:start w:val="6"/>
    </w:lvl>
  </w:abstractNum>
  <w:abstractNum w:abstractNumId="198">
    <w:nsid w:val="44380727"/>
    <w:multiLevelType w:val="hybridMultilevel"/>
    <w:lvl w:ilvl="0">
      <w:lvlJc w:val="left"/>
      <w:lvlText w:val="(%1)"/>
      <w:numFmt w:val="lowerRoman"/>
      <w:start w:val="1"/>
    </w:lvl>
  </w:abstractNum>
  <w:abstractNum w:abstractNumId="199">
    <w:nsid w:val="6C053B16"/>
    <w:multiLevelType w:val="hybridMultilevel"/>
    <w:lvl w:ilvl="0">
      <w:lvlJc w:val="left"/>
      <w:lvlText w:val="(%1)"/>
      <w:numFmt w:val="upperLetter"/>
      <w:start w:val="1"/>
    </w:lvl>
  </w:abstractNum>
  <w:abstractNum w:abstractNumId="200">
    <w:nsid w:val="4F294393"/>
    <w:multiLevelType w:val="hybridMultilevel"/>
    <w:lvl w:ilvl="0">
      <w:lvlJc w:val="left"/>
      <w:lvlText w:val="(%1)"/>
      <w:numFmt w:val="upperLetter"/>
      <w:start w:val="2"/>
    </w:lvl>
  </w:abstractNum>
  <w:abstractNum w:abstractNumId="201">
    <w:nsid w:val="5243BFAC"/>
    <w:multiLevelType w:val="hybridMultilevel"/>
    <w:lvl w:ilvl="0">
      <w:lvlJc w:val="left"/>
      <w:lvlText w:val="(%1)"/>
      <w:numFmt w:val="lowerRoman"/>
      <w:start w:val="3"/>
    </w:lvl>
  </w:abstractNum>
  <w:abstractNum w:abstractNumId="202">
    <w:nsid w:val="425EB207"/>
    <w:multiLevelType w:val="hybridMultilevel"/>
    <w:lvl w:ilvl="0">
      <w:lvlJc w:val="left"/>
      <w:lvlText w:val="(%1)"/>
      <w:numFmt w:val="upperLetter"/>
      <w:start w:val="1"/>
    </w:lvl>
  </w:abstractNum>
  <w:abstractNum w:abstractNumId="203">
    <w:nsid w:val="334A6F1F"/>
    <w:multiLevelType w:val="hybridMultilevel"/>
    <w:lvl w:ilvl="0">
      <w:lvlJc w:val="left"/>
      <w:lvlText w:val="%1."/>
      <w:numFmt w:val="decimal"/>
      <w:start w:val="7"/>
    </w:lvl>
  </w:abstractNum>
  <w:abstractNum w:abstractNumId="204">
    <w:nsid w:val="2E5B12B8"/>
    <w:multiLevelType w:val="hybridMultilevel"/>
    <w:lvl w:ilvl="0">
      <w:lvlJc w:val="left"/>
      <w:lvlText w:val="%1."/>
      <w:numFmt w:val="decimal"/>
      <w:start w:val="8"/>
    </w:lvl>
  </w:abstractNum>
  <w:abstractNum w:abstractNumId="205">
    <w:nsid w:val="5C03D76D"/>
    <w:multiLevelType w:val="hybridMultilevel"/>
    <w:lvl w:ilvl="0">
      <w:lvlJc w:val="left"/>
      <w:lvlText w:val="%1."/>
      <w:numFmt w:val="decimal"/>
      <w:start w:val="1"/>
    </w:lvl>
  </w:abstractNum>
  <w:abstractNum w:abstractNumId="206">
    <w:nsid w:val="66A48D11"/>
    <w:multiLevelType w:val="hybridMultilevel"/>
    <w:lvl w:ilvl="0">
      <w:lvlJc w:val="left"/>
      <w:lvlText w:val="%1."/>
      <w:numFmt w:val="decimal"/>
      <w:start w:val="2"/>
    </w:lvl>
  </w:abstractNum>
  <w:abstractNum w:abstractNumId="207">
    <w:nsid w:val="56C28E34"/>
    <w:multiLevelType w:val="hybridMultilevel"/>
    <w:lvl w:ilvl="0">
      <w:lvlJc w:val="left"/>
      <w:lvlText w:val="(%1)"/>
      <w:numFmt w:val="lowerRoman"/>
      <w:start w:val="3"/>
    </w:lvl>
  </w:abstractNum>
  <w:abstractNum w:abstractNumId="208">
    <w:nsid w:val="13916F2D"/>
    <w:multiLevelType w:val="hybridMultilevel"/>
    <w:lvl w:ilvl="0">
      <w:lvlJc w:val="left"/>
      <w:lvlText w:val="(%1)"/>
      <w:numFmt w:val="lowerLetter"/>
      <w:start w:val="1"/>
    </w:lvl>
  </w:abstractNum>
  <w:abstractNum w:abstractNumId="209">
    <w:nsid w:val="435D38D"/>
    <w:multiLevelType w:val="hybridMultilevel"/>
    <w:lvl w:ilvl="0">
      <w:lvlJc w:val="left"/>
      <w:lvlText w:val="(%1)"/>
      <w:numFmt w:val="lowerLetter"/>
      <w:start w:val="2"/>
    </w:lvl>
  </w:abstractNum>
  <w:abstractNum w:abstractNumId="210">
    <w:nsid w:val="822C0EF"/>
    <w:multiLevelType w:val="hybridMultilevel"/>
    <w:lvl w:ilvl="0">
      <w:lvlJc w:val="left"/>
      <w:lvlText w:val="(%1)"/>
      <w:numFmt w:val="lowerRoman"/>
      <w:start w:val="1"/>
    </w:lvl>
  </w:abstractNum>
  <w:abstractNum w:abstractNumId="211">
    <w:nsid w:val="57C5BB4F"/>
    <w:multiLevelType w:val="hybridMultilevel"/>
    <w:lvl w:ilvl="0">
      <w:lvlJc w:val="left"/>
      <w:lvlText w:val="(%1)"/>
      <w:numFmt w:val="lowerRoman"/>
      <w:start w:val="2"/>
    </w:lvl>
  </w:abstractNum>
  <w:abstractNum w:abstractNumId="212">
    <w:nsid w:val="1803D089"/>
    <w:multiLevelType w:val="hybridMultilevel"/>
    <w:lvl w:ilvl="0">
      <w:lvlJc w:val="left"/>
      <w:lvlText w:val="(%1)"/>
      <w:numFmt w:val="lowerRoman"/>
      <w:start w:val="5"/>
    </w:lvl>
  </w:abstractNum>
  <w:abstractNum w:abstractNumId="213">
    <w:nsid w:val="4F3A06D4"/>
    <w:multiLevelType w:val="hybridMultilevel"/>
    <w:lvl w:ilvl="0">
      <w:lvlJc w:val="left"/>
      <w:lvlText w:val="(%1)"/>
      <w:numFmt w:val="lowerLetter"/>
      <w:start w:val="4"/>
    </w:lvl>
  </w:abstractNum>
  <w:abstractNum w:abstractNumId="214">
    <w:nsid w:val="59A377B6"/>
    <w:multiLevelType w:val="hybridMultilevel"/>
    <w:lvl w:ilvl="0">
      <w:lvlJc w:val="left"/>
      <w:lvlText w:val="(%1)"/>
      <w:numFmt w:val="lowerLetter"/>
      <w:start w:val="1"/>
    </w:lvl>
  </w:abstractNum>
  <w:abstractNum w:abstractNumId="215">
    <w:nsid w:val="48AEB063"/>
    <w:multiLevelType w:val="hybridMultilevel"/>
    <w:lvl w:ilvl="0">
      <w:lvlJc w:val="left"/>
      <w:lvlText w:val="(%1)"/>
      <w:numFmt w:val="lowerLetter"/>
      <w:start w:val="5"/>
    </w:lvl>
  </w:abstractNum>
  <w:abstractNum w:abstractNumId="216">
    <w:nsid w:val="24E135"/>
    <w:multiLevelType w:val="hybridMultilevel"/>
    <w:lvl w:ilvl="0">
      <w:lvlJc w:val="left"/>
      <w:lvlText w:val="(%1)"/>
      <w:numFmt w:val="lowerLetter"/>
      <w:start w:val="1"/>
    </w:lvl>
  </w:abstractNum>
  <w:abstractNum w:abstractNumId="217">
    <w:nsid w:val="BB13C1"/>
    <w:multiLevelType w:val="hybridMultilevel"/>
    <w:lvl w:ilvl="0">
      <w:lvlJc w:val="left"/>
      <w:lvlText w:val="(%1)"/>
      <w:numFmt w:val="lowerLetter"/>
      <w:start w:val="1"/>
    </w:lvl>
  </w:abstractNum>
  <w:abstractNum w:abstractNumId="218">
    <w:nsid w:val="271210C7"/>
    <w:multiLevelType w:val="hybridMultilevel"/>
    <w:lvl w:ilvl="0">
      <w:lvlJc w:val="left"/>
      <w:lvlText w:val="(%1)"/>
      <w:numFmt w:val="lowerLetter"/>
      <w:start w:val="4"/>
    </w:lvl>
  </w:abstractNum>
  <w:abstractNum w:abstractNumId="219">
    <w:nsid w:val="217B22E4"/>
    <w:multiLevelType w:val="hybridMultilevel"/>
    <w:lvl w:ilvl="0">
      <w:lvlJc w:val="left"/>
      <w:lvlText w:val="(%1)"/>
      <w:numFmt w:val="lowerLetter"/>
      <w:start w:val="1"/>
    </w:lvl>
  </w:abstractNum>
  <w:abstractNum w:abstractNumId="220">
    <w:nsid w:val="53E31A24"/>
    <w:multiLevelType w:val="hybridMultilevel"/>
    <w:lvl w:ilvl="0">
      <w:lvlJc w:val="left"/>
      <w:lvlText w:val="(%1)"/>
      <w:numFmt w:val="lowerLetter"/>
      <w:start w:val="2"/>
    </w:lvl>
    <w:lvl w:ilvl="1">
      <w:lvlJc w:val="left"/>
      <w:lvlText w:val="(%2)"/>
      <w:numFmt w:val="lowerRoman"/>
      <w:start w:val="1"/>
    </w:lvl>
  </w:abstractNum>
  <w:abstractNum w:abstractNumId="221">
    <w:nsid w:val="6DC45E83"/>
    <w:multiLevelType w:val="hybridMultilevel"/>
    <w:lvl w:ilvl="0">
      <w:lvlJc w:val="left"/>
      <w:lvlText w:val="%1"/>
      <w:numFmt w:val="lowerLetter"/>
      <w:start w:val="1"/>
    </w:lvl>
    <w:lvl w:ilvl="1">
      <w:lvlJc w:val="left"/>
      <w:lvlText w:val="(%2)"/>
      <w:numFmt w:val="lowerLetter"/>
      <w:start w:val="3"/>
    </w:lvl>
  </w:abstractNum>
  <w:abstractNum w:abstractNumId="222">
    <w:nsid w:val="17304A67"/>
    <w:multiLevelType w:val="hybridMultilevel"/>
    <w:lvl w:ilvl="0">
      <w:lvlJc w:val="left"/>
      <w:lvlText w:val="(%1)"/>
      <w:numFmt w:val="lowerLetter"/>
      <w:start w:val="24"/>
    </w:lvl>
    <w:lvl w:ilvl="1">
      <w:lvlJc w:val="left"/>
      <w:lvlText w:val="(%2)"/>
      <w:numFmt w:val="lowerLetter"/>
      <w:start w:val="4"/>
    </w:lvl>
  </w:abstractNum>
  <w:abstractNum w:abstractNumId="223">
    <w:nsid w:val="2BB180D8"/>
    <w:multiLevelType w:val="hybridMultilevel"/>
    <w:lvl w:ilvl="0">
      <w:lvlJc w:val="left"/>
      <w:lvlText w:val="%1"/>
      <w:numFmt w:val="upperLetter"/>
      <w:start w:val="61"/>
    </w:lvl>
  </w:abstractNum>
  <w:abstractNum w:abstractNumId="224">
    <w:nsid w:val="556B69ED"/>
    <w:multiLevelType w:val="hybridMultilevel"/>
    <w:lvl w:ilvl="0">
      <w:lvlJc w:val="left"/>
      <w:lvlText w:val="(%1)"/>
      <w:numFmt w:val="lowerLetter"/>
      <w:start w:val="1"/>
    </w:lvl>
  </w:abstractNum>
  <w:abstractNum w:abstractNumId="225">
    <w:nsid w:val="70836196"/>
    <w:multiLevelType w:val="hybridMultilevel"/>
    <w:lvl w:ilvl="0">
      <w:lvlJc w:val="left"/>
      <w:lvlText w:val="(%1)"/>
      <w:numFmt w:val="lowerLetter"/>
      <w:start w:val="1"/>
    </w:lvl>
  </w:abstractNum>
  <w:abstractNum w:abstractNumId="226">
    <w:nsid w:val="539F7F12"/>
    <w:multiLevelType w:val="hybridMultilevel"/>
    <w:lvl w:ilvl="0">
      <w:lvlJc w:val="left"/>
      <w:lvlText w:val="(%1)"/>
      <w:numFmt w:val="lowerLetter"/>
      <w:start w:val="11"/>
    </w:lvl>
  </w:abstractNum>
  <w:abstractNum w:abstractNumId="227">
    <w:nsid w:val="2817E7EC"/>
    <w:multiLevelType w:val="hybridMultilevel"/>
    <w:lvl w:ilvl="0">
      <w:lvlJc w:val="left"/>
      <w:lvlText w:val="(%1)"/>
      <w:numFmt w:val="lowerLetter"/>
      <w:start w:val="15"/>
    </w:lvl>
  </w:abstractNum>
  <w:abstractNum w:abstractNumId="228">
    <w:nsid w:val="71482545"/>
    <w:multiLevelType w:val="hybridMultilevel"/>
    <w:lvl w:ilvl="0">
      <w:lvlJc w:val="left"/>
      <w:lvlText w:val="(%1)"/>
      <w:numFmt w:val="lowerLetter"/>
      <w:start w:val="1"/>
    </w:lvl>
  </w:abstractNum>
  <w:abstractNum w:abstractNumId="229">
    <w:nsid w:val="17D78639"/>
    <w:multiLevelType w:val="hybridMultilevel"/>
    <w:lvl w:ilvl="0">
      <w:lvlJc w:val="left"/>
      <w:lvlText w:val="(%1)"/>
      <w:numFmt w:val="lowerLetter"/>
      <w:start w:val="2"/>
    </w:lvl>
  </w:abstractNum>
  <w:abstractNum w:abstractNumId="230">
    <w:nsid w:val="141D2302"/>
    <w:multiLevelType w:val="hybridMultilevel"/>
    <w:lvl w:ilvl="0">
      <w:lvlJc w:val="left"/>
      <w:lvlText w:val="(%1)"/>
      <w:numFmt w:val="lowerRoman"/>
      <w:start w:val="2"/>
    </w:lvl>
  </w:abstractNum>
  <w:abstractNum w:abstractNumId="231">
    <w:nsid w:val="407168D8"/>
    <w:multiLevelType w:val="hybridMultilevel"/>
    <w:lvl w:ilvl="0">
      <w:lvlJc w:val="left"/>
      <w:lvlText w:val="(%1)"/>
      <w:numFmt w:val="lowerLetter"/>
      <w:start w:val="1"/>
    </w:lvl>
  </w:abstractNum>
  <w:abstractNum w:abstractNumId="232">
    <w:nsid w:val="6A1B45E5"/>
    <w:multiLevelType w:val="hybridMultilevel"/>
    <w:lvl w:ilvl="0">
      <w:lvlJc w:val="left"/>
      <w:lvlText w:val="(%1)"/>
      <w:numFmt w:val="lowerLetter"/>
      <w:start w:val="1"/>
    </w:lvl>
  </w:abstractNum>
  <w:abstractNum w:abstractNumId="233">
    <w:nsid w:val="567BD50A"/>
    <w:multiLevelType w:val="hybridMultilevel"/>
    <w:lvl w:ilvl="0">
      <w:lvlJc w:val="left"/>
      <w:lvlText w:val="(%1)"/>
      <w:numFmt w:val="lowerLetter"/>
      <w:start w:val="2"/>
    </w:lvl>
  </w:abstractNum>
  <w:abstractNum w:abstractNumId="234">
    <w:nsid w:val="73BBD7F8"/>
    <w:multiLevelType w:val="hybridMultilevel"/>
    <w:lvl w:ilvl="0">
      <w:lvlJc w:val="left"/>
      <w:lvlText w:val="(%1)"/>
      <w:numFmt w:val="lowerLetter"/>
      <w:start w:val="4"/>
    </w:lvl>
  </w:abstractNum>
  <w:abstractNum w:abstractNumId="235">
    <w:nsid w:val="1876589D"/>
    <w:multiLevelType w:val="hybridMultilevel"/>
    <w:lvl w:ilvl="0">
      <w:lvlJc w:val="left"/>
      <w:lvlText w:val="(%1)"/>
      <w:numFmt w:val="lowerLetter"/>
      <w:start w:val="6"/>
    </w:lvl>
  </w:abstractNum>
  <w:abstractNum w:abstractNumId="236">
    <w:nsid w:val="327FAC77"/>
    <w:multiLevelType w:val="hybridMultilevel"/>
    <w:lvl w:ilvl="0">
      <w:lvlJc w:val="left"/>
      <w:lvlText w:val="(%1)"/>
      <w:numFmt w:val="lowerLetter"/>
      <w:start w:val="1"/>
    </w:lvl>
  </w:abstractNum>
  <w:abstractNum w:abstractNumId="237">
    <w:nsid w:val="5A606509"/>
    <w:multiLevelType w:val="hybridMultilevel"/>
    <w:lvl w:ilvl="0">
      <w:lvlJc w:val="left"/>
      <w:lvlText w:val="(%1)"/>
      <w:numFmt w:val="lowerLetter"/>
      <w:start w:val="2"/>
    </w:lvl>
  </w:abstractNum>
  <w:abstractNum w:abstractNumId="238">
    <w:nsid w:val="6F38E6D1"/>
    <w:multiLevelType w:val="hybridMultilevel"/>
    <w:lvl w:ilvl="0">
      <w:lvlJc w:val="left"/>
      <w:lvlText w:val="(%1)"/>
      <w:numFmt w:val="lowerRoman"/>
      <w:start w:val="1"/>
    </w:lvl>
  </w:abstractNum>
  <w:abstractNum w:abstractNumId="239">
    <w:nsid w:val="46111BA5"/>
    <w:multiLevelType w:val="hybridMultilevel"/>
    <w:lvl w:ilvl="0">
      <w:lvlJc w:val="left"/>
      <w:lvlText w:val="%1"/>
      <w:numFmt w:val="lowerLetter"/>
      <w:start w:val="1"/>
    </w:lvl>
    <w:lvl w:ilvl="1">
      <w:lvlJc w:val="left"/>
      <w:lvlText w:val="(%2)"/>
      <w:numFmt w:val="lowerRoman"/>
      <w:start w:val="2"/>
    </w:lvl>
  </w:abstractNum>
  <w:abstractNum w:abstractNumId="240">
    <w:nsid w:val="5E963896"/>
    <w:multiLevelType w:val="hybridMultilevel"/>
    <w:lvl w:ilvl="0">
      <w:lvlJc w:val="left"/>
      <w:lvlText w:val="(%1)"/>
      <w:numFmt w:val="lowerLetter"/>
      <w:start w:val="25"/>
    </w:lvl>
    <w:lvl w:ilvl="1">
      <w:lvlJc w:val="left"/>
      <w:lvlText w:val="%2"/>
      <w:numFmt w:val="lowerRoman"/>
      <w:start w:val="1"/>
    </w:lvl>
  </w:abstractNum>
  <w:abstractNum w:abstractNumId="241">
    <w:nsid w:val="775BA7C1"/>
    <w:multiLevelType w:val="hybridMultilevel"/>
    <w:lvl w:ilvl="0">
      <w:lvlJc w:val="left"/>
      <w:lvlText w:val="(%1)"/>
      <w:numFmt w:val="lowerLetter"/>
      <w:start w:val="4"/>
    </w:lvl>
  </w:abstractNum>
  <w:abstractNum w:abstractNumId="242">
    <w:nsid w:val="1DD6D6F4"/>
    <w:multiLevelType w:val="hybridMultilevel"/>
    <w:lvl w:ilvl="0">
      <w:lvlJc w:val="left"/>
      <w:lvlText w:val="(%1)"/>
      <w:numFmt w:val="lowerLetter"/>
      <w:start w:val="1"/>
    </w:lvl>
  </w:abstractNum>
  <w:abstractNum w:abstractNumId="243">
    <w:nsid w:val="769A091F"/>
    <w:multiLevelType w:val="hybridMultilevel"/>
    <w:lvl w:ilvl="0">
      <w:lvlJc w:val="left"/>
      <w:lvlText w:val="(%1)"/>
      <w:numFmt w:val="lowerLetter"/>
      <w:start w:val="6"/>
    </w:lvl>
  </w:abstractNum>
  <w:abstractNum w:abstractNumId="244">
    <w:nsid w:val="4695AE95"/>
    <w:multiLevelType w:val="hybridMultilevel"/>
    <w:lvl w:ilvl="0">
      <w:lvlJc w:val="left"/>
      <w:lvlText w:val="%1."/>
      <w:numFmt w:val="decimal"/>
      <w:start w:val="1"/>
    </w:lvl>
  </w:abstractNum>
  <w:abstractNum w:abstractNumId="245">
    <w:nsid w:val="777A4EAA"/>
    <w:multiLevelType w:val="hybridMultilevel"/>
    <w:lvl w:ilvl="0">
      <w:lvlJc w:val="left"/>
      <w:lvlText w:val="(%1)"/>
      <w:numFmt w:val="lowerRoman"/>
      <w:start w:val="1"/>
    </w:lvl>
  </w:abstractNum>
  <w:abstractNum w:abstractNumId="246">
    <w:nsid w:val="3F48B982"/>
    <w:multiLevelType w:val="hybridMultilevel"/>
    <w:lvl w:ilvl="0">
      <w:lvlJc w:val="left"/>
      <w:lvlText w:val="(%1)"/>
      <w:numFmt w:val="lowerLetter"/>
      <w:start w:val="2"/>
    </w:lvl>
  </w:abstractNum>
  <w:abstractNum w:abstractNumId="247">
    <w:nsid w:val="46BA8FCA"/>
    <w:multiLevelType w:val="hybridMultilevel"/>
    <w:lvl w:ilvl="0">
      <w:lvlJc w:val="left"/>
      <w:lvlText w:val="%1."/>
      <w:numFmt w:val="decimal"/>
      <w:start w:val="4"/>
    </w:lvl>
  </w:abstractNum>
  <w:abstractNum w:abstractNumId="248">
    <w:nsid w:val="7835626C"/>
    <w:multiLevelType w:val="hybridMultilevel"/>
    <w:lvl w:ilvl="0">
      <w:lvlJc w:val="left"/>
      <w:lvlText w:val="%1."/>
      <w:numFmt w:val="decimal"/>
      <w:start w:val="6"/>
    </w:lvl>
    <w:lvl w:ilvl="1">
      <w:lvlJc w:val="left"/>
      <w:lvlText w:val="(%2)"/>
      <w:numFmt w:val="lowerLetter"/>
      <w:start w:val="1"/>
    </w:lvl>
  </w:abstractNum>
  <w:abstractNum w:abstractNumId="249">
    <w:nsid w:val="665ACA49"/>
    <w:multiLevelType w:val="hybridMultilevel"/>
    <w:lvl w:ilvl="0">
      <w:lvlJc w:val="left"/>
      <w:lvlText w:val="(%1)"/>
      <w:numFmt w:val="lowerLetter"/>
      <w:start w:val="4"/>
    </w:lvl>
  </w:abstractNum>
  <w:abstractNum w:abstractNumId="250">
    <w:nsid w:val="6835B2AE"/>
    <w:multiLevelType w:val="hybridMultilevel"/>
    <w:lvl w:ilvl="0">
      <w:lvlJc w:val="left"/>
      <w:lvlText w:val="(%1)"/>
      <w:numFmt w:val="lowerLetter"/>
      <w:start w:val="1"/>
    </w:lvl>
  </w:abstractNum>
  <w:abstractNum w:abstractNumId="251">
    <w:nsid w:val="4C187C90"/>
    <w:multiLevelType w:val="hybridMultilevel"/>
    <w:lvl w:ilvl="0">
      <w:lvlJc w:val="left"/>
      <w:lvlText w:val="(%1)"/>
      <w:numFmt w:val="lowerLetter"/>
      <w:start w:val="9"/>
    </w:lvl>
  </w:abstractNum>
  <w:abstractNum w:abstractNumId="252">
    <w:nsid w:val="541F28CD"/>
    <w:multiLevelType w:val="hybridMultilevel"/>
    <w:lvl w:ilvl="0">
      <w:lvlJc w:val="left"/>
      <w:lvlText w:val="(%1)"/>
      <w:numFmt w:val="lowerLetter"/>
      <w:start w:val="2"/>
    </w:lvl>
  </w:abstractNum>
  <w:abstractNum w:abstractNumId="253">
    <w:nsid w:val="7F65FD16"/>
    <w:multiLevelType w:val="hybridMultilevel"/>
    <w:lvl w:ilvl="0">
      <w:lvlJc w:val="left"/>
      <w:lvlText w:val="(%1)"/>
      <w:numFmt w:val="lowerRoman"/>
      <w:start w:val="2"/>
    </w:lvl>
  </w:abstractNum>
  <w:abstractNum w:abstractNumId="254">
    <w:nsid w:val="77C9FD68"/>
    <w:multiLevelType w:val="hybridMultilevel"/>
    <w:lvl w:ilvl="0">
      <w:lvlJc w:val="left"/>
      <w:lvlText w:val="(%1)"/>
      <w:numFmt w:val="upperLetter"/>
      <w:start w:val="1"/>
    </w:lvl>
  </w:abstractNum>
  <w:abstractNum w:abstractNumId="255">
    <w:nsid w:val="298A92BA"/>
    <w:multiLevelType w:val="hybridMultilevel"/>
    <w:lvl w:ilvl="0">
      <w:lvlJc w:val="left"/>
      <w:lvlText w:val="(%1)"/>
      <w:numFmt w:val="lowerRoman"/>
      <w:start w:val="1"/>
    </w:lvl>
  </w:abstractNum>
  <w:abstractNum w:abstractNumId="256">
    <w:nsid w:val="6FE95EAC"/>
    <w:multiLevelType w:val="hybridMultilevel"/>
    <w:lvl w:ilvl="0">
      <w:lvlJc w:val="left"/>
      <w:lvlText w:val="(%1)"/>
      <w:numFmt w:val="lowerRoman"/>
      <w:start w:val="1"/>
    </w:lvl>
  </w:abstractNum>
  <w:abstractNum w:abstractNumId="257">
    <w:nsid w:val="4B697C7A"/>
    <w:multiLevelType w:val="hybridMultilevel"/>
    <w:lvl w:ilvl="0">
      <w:lvlJc w:val="left"/>
      <w:lvlText w:val="(%1)"/>
      <w:numFmt w:val="lowerRoman"/>
      <w:start w:val="3"/>
    </w:lvl>
  </w:abstractNum>
  <w:abstractNum w:abstractNumId="258">
    <w:nsid w:val="51A27AA6"/>
    <w:multiLevelType w:val="hybridMultilevel"/>
    <w:lvl w:ilvl="0">
      <w:lvlJc w:val="left"/>
      <w:lvlText w:val="(%1)"/>
      <w:numFmt w:val="upperLetter"/>
      <w:start w:val="4"/>
    </w:lvl>
  </w:abstractNum>
  <w:abstractNum w:abstractNumId="259">
    <w:nsid w:val="613183F2"/>
    <w:multiLevelType w:val="hybridMultilevel"/>
    <w:lvl w:ilvl="0">
      <w:lvlJc w:val="left"/>
      <w:lvlText w:val="(%1)"/>
      <w:numFmt w:val="lowerRoman"/>
      <w:start w:val="2"/>
    </w:lvl>
  </w:abstractNum>
  <w:abstractNum w:abstractNumId="260">
    <w:nsid w:val="634102B4"/>
    <w:multiLevelType w:val="hybridMultilevel"/>
    <w:lvl w:ilvl="0">
      <w:lvlJc w:val="left"/>
      <w:lvlText w:val="(%1)"/>
      <w:numFmt w:val="upperLetter"/>
      <w:start w:val="6"/>
    </w:lvl>
  </w:abstractNum>
  <w:abstractNum w:abstractNumId="261">
    <w:nsid w:val="65BF9DA8"/>
    <w:multiLevelType w:val="hybridMultilevel"/>
    <w:lvl w:ilvl="0">
      <w:lvlJc w:val="left"/>
      <w:lvlText w:val="(%1)"/>
      <w:numFmt w:val="lowerRoman"/>
      <w:start w:val="1"/>
    </w:lvl>
  </w:abstractNum>
  <w:abstractNum w:abstractNumId="262">
    <w:nsid w:val="21A2ECCA"/>
    <w:multiLevelType w:val="hybridMultilevel"/>
    <w:lvl w:ilvl="0">
      <w:lvlJc w:val="left"/>
      <w:lvlText w:val="(%1)"/>
      <w:numFmt w:val="upperLetter"/>
      <w:start w:val="8"/>
    </w:lvl>
  </w:abstractNum>
  <w:abstractNum w:abstractNumId="263">
    <w:nsid w:val="4D5C4899"/>
    <w:multiLevelType w:val="hybridMultilevel"/>
    <w:lvl w:ilvl="0">
      <w:lvlJc w:val="left"/>
      <w:lvlText w:val="(%1)"/>
      <w:numFmt w:val="lowerRoman"/>
      <w:start w:val="1"/>
    </w:lvl>
  </w:abstractNum>
  <w:abstractNum w:abstractNumId="264">
    <w:nsid w:val="3C3B72B2"/>
    <w:multiLevelType w:val="hybridMultilevel"/>
    <w:lvl w:ilvl="0">
      <w:lvlJc w:val="left"/>
      <w:lvlText w:val="(%1)"/>
      <w:numFmt w:val="upperLetter"/>
      <w:start w:val="10"/>
    </w:lvl>
  </w:abstractNum>
  <w:abstractNum w:abstractNumId="265">
    <w:nsid w:val="155EC4C2"/>
    <w:multiLevelType w:val="hybridMultilevel"/>
    <w:lvl w:ilvl="0">
      <w:lvlJc w:val="left"/>
      <w:lvlText w:val="%1."/>
      <w:numFmt w:val="decimal"/>
      <w:start w:val="1"/>
    </w:lvl>
    <w:lvl w:ilvl="1">
      <w:lvlJc w:val="left"/>
      <w:lvlText w:val="%2)"/>
      <w:numFmt w:val="lowerLetter"/>
      <w:start w:val="1"/>
    </w:lvl>
  </w:abstractNum>
  <w:abstractNum w:abstractNumId="266">
    <w:nsid w:val="65D2A137"/>
    <w:multiLevelType w:val="hybridMultilevel"/>
    <w:lvl w:ilvl="0">
      <w:lvlJc w:val="left"/>
      <w:lvlText w:val="%1."/>
      <w:numFmt w:val="decimal"/>
      <w:start w:val="1"/>
    </w:lvl>
    <w:lvl w:ilvl="1">
      <w:lvlJc w:val="left"/>
      <w:lvlText w:val="%2)"/>
      <w:numFmt w:val="lowerLetter"/>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25" Type="http://schemas.openxmlformats.org/officeDocument/2006/relationships/hyperlink" Target="http://www.sec.gov/Archives/edgar/data/857855/000085785520000016/exhibit21-agreementand.htm" TargetMode="External"/><Relationship Id="rId126" Type="http://schemas.openxmlformats.org/officeDocument/2006/relationships/hyperlink" Target="http://www.sec.gov/Archives/edgar/data/857855/000157104915003882/t82199_ex3-2.htm" TargetMode="External"/><Relationship Id="rId127" Type="http://schemas.openxmlformats.org/officeDocument/2006/relationships/hyperlink" Target="http://www.sec.gov/Archives/edgar/data/857855/000110465920072017/tm2022256d1_ex4-2.htm" TargetMode="External"/><Relationship Id="rId128" Type="http://schemas.openxmlformats.org/officeDocument/2006/relationships/hyperlink" Target="http://www.sec.gov/Archives/edgar/data/857855/000110465920074182/tm2022777d1_ex4-1.htm" TargetMode="External"/><Relationship Id="rId129" Type="http://schemas.openxmlformats.org/officeDocument/2006/relationships/hyperlink" Target="http://www.sec.gov/Archives/edgar/data/857855/000110465920074182/tm2022777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2020-08-06T14:57:09Z</dcterms:created>
  <dcterms:modified xsi:type="dcterms:W3CDTF">2020-08-06T14:57:09Z</dcterms:modified>
</cp:coreProperties>
</file>