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340" w:hanging="325"/>
        <w:spacing w:after="0"/>
        <w:tabs>
          <w:tab w:leader="none" w:pos="3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2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320" w:hanging="310"/>
        <w:spacing w:after="0"/>
        <w:tabs>
          <w:tab w:leader="none" w:pos="3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17145</wp:posOffset>
            </wp:positionV>
            <wp:extent cx="50685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32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Georgia</w:t>
            </w:r>
          </w:p>
        </w:tc>
        <w:tc>
          <w:tcPr>
            <w:tcW w:w="586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58-1807304</w:t>
            </w:r>
          </w:p>
        </w:tc>
      </w:tr>
      <w:tr>
        <w:trPr>
          <w:trHeight w:val="234"/>
        </w:trPr>
        <w:tc>
          <w:tcPr>
            <w:tcW w:w="32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2"/>
              </w:rPr>
              <w:t>(State of Incorporation)</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6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(I.R.S. Employer Identification No.)</w:t>
            </w:r>
          </w:p>
        </w:tc>
      </w:tr>
      <w:tr>
        <w:trPr>
          <w:trHeight w:val="612"/>
        </w:trPr>
        <w:tc>
          <w:tcPr>
            <w:tcW w:w="3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125 Highway 515 East</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41"/>
        </w:trPr>
        <w:tc>
          <w:tcPr>
            <w:tcW w:w="3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Blairsville, Georgia</w:t>
            </w:r>
          </w:p>
        </w:tc>
        <w:tc>
          <w:tcPr>
            <w:tcW w:w="586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30512</w:t>
            </w:r>
          </w:p>
        </w:tc>
      </w:tr>
      <w:tr>
        <w:trPr>
          <w:trHeight w:val="198"/>
        </w:trPr>
        <w:tc>
          <w:tcPr>
            <w:tcW w:w="28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Address of Principal</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60" w:type="dxa"/>
            <w:vAlign w:val="bottom"/>
            <w:tcBorders>
              <w:top w:val="single" w:sz="8" w:color="auto"/>
            </w:tcBorders>
          </w:tcPr>
          <w:p>
            <w:pPr>
              <w:jc w:val="right"/>
              <w:ind w:right="930"/>
              <w:spacing w:after="0" w:line="198" w:lineRule="exact"/>
              <w:rPr>
                <w:sz w:val="20"/>
                <w:szCs w:val="20"/>
                <w:color w:val="auto"/>
              </w:rPr>
            </w:pPr>
            <w:r>
              <w:rPr>
                <w:rFonts w:ascii="Arial" w:cs="Arial" w:eastAsia="Arial" w:hAnsi="Arial"/>
                <w:sz w:val="18"/>
                <w:szCs w:val="18"/>
                <w:b w:val="1"/>
                <w:bCs w:val="1"/>
                <w:color w:val="auto"/>
              </w:rPr>
              <w:t>(Zip Code)</w:t>
            </w:r>
          </w:p>
        </w:tc>
      </w:tr>
      <w:tr>
        <w:trPr>
          <w:trHeight w:val="234"/>
        </w:trPr>
        <w:tc>
          <w:tcPr>
            <w:tcW w:w="3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Executive Offices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39"/>
        </w:trPr>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(706) 781-2265</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60" w:type="dxa"/>
            <w:vAlign w:val="bottom"/>
            <w:gridSpan w:val="4"/>
          </w:tcPr>
          <w:p>
            <w:pPr>
              <w:jc w:val="right"/>
              <w:ind w:right="3690"/>
              <w:spacing w:after="0"/>
              <w:rPr>
                <w:sz w:val="20"/>
                <w:szCs w:val="20"/>
                <w:color w:val="auto"/>
              </w:rPr>
            </w:pPr>
            <w:r>
              <w:rPr>
                <w:rFonts w:ascii="Arial" w:cs="Arial" w:eastAsia="Arial" w:hAnsi="Arial"/>
                <w:sz w:val="18"/>
                <w:szCs w:val="18"/>
                <w:b w:val="1"/>
                <w:bCs w:val="1"/>
                <w:color w:val="auto"/>
                <w:w w:val="77"/>
              </w:rPr>
              <w:t>(Telephone Number)</w:t>
            </w:r>
          </w:p>
        </w:tc>
      </w:tr>
    </w:tbl>
    <w:p>
      <w:pPr>
        <w:spacing w:after="0" w:line="17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25"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25" w:lineRule="exact"/>
        <w:rPr>
          <w:sz w:val="24"/>
          <w:szCs w:val="24"/>
          <w:color w:val="auto"/>
        </w:rPr>
      </w:pPr>
    </w:p>
    <w:p>
      <w:pPr>
        <w:jc w:val="both"/>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Large accelerated filer o</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Accelerated filer x</w:t>
      </w:r>
    </w:p>
    <w:p>
      <w:pPr>
        <w:spacing w:after="0" w:line="200" w:lineRule="exact"/>
        <w:rPr>
          <w:sz w:val="24"/>
          <w:szCs w:val="24"/>
          <w:color w:val="auto"/>
        </w:rPr>
      </w:pPr>
    </w:p>
    <w:p>
      <w:pPr>
        <w:sectPr>
          <w:pgSz w:w="11900" w:h="16838" w:orient="portrait"/>
          <w:cols w:equalWidth="0" w:num="2">
            <w:col w:w="9300" w:space="720"/>
            <w:col w:w="1400"/>
          </w:cols>
          <w:pgMar w:left="240" w:top="31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Smaller Reporting Company o</w:t>
      </w:r>
    </w:p>
    <w:p>
      <w:pPr>
        <w:spacing w:after="0" w:line="200" w:lineRule="exact"/>
        <w:rPr>
          <w:sz w:val="24"/>
          <w:szCs w:val="24"/>
          <w:color w:val="auto"/>
        </w:rPr>
      </w:pPr>
    </w:p>
    <w:p>
      <w:pPr>
        <w:sectPr>
          <w:pgSz w:w="11900" w:h="16838" w:orient="portrait"/>
          <w:cols w:equalWidth="0" w:num="2">
            <w:col w:w="8340" w:space="720"/>
            <w:col w:w="2360"/>
          </w:cols>
          <w:pgMar w:left="240" w:top="31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o NO x</w:t>
      </w:r>
    </w:p>
    <w:p>
      <w:pPr>
        <w:sectPr>
          <w:pgSz w:w="11900" w:h="16838" w:orient="portrait"/>
          <w:cols w:equalWidth="0" w:num="1">
            <w:col w:w="11420"/>
          </w:cols>
          <w:pgMar w:left="240" w:top="310" w:right="239" w:bottom="1440" w:gutter="0" w:footer="0" w:header="0"/>
          <w:type w:val="continuous"/>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45,230,240 shares voting and 14,189,006 shares non-voting outstanding as of October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w w:val="94"/>
              </w:rPr>
              <w:t>Consolidated Statement of Income (unaudited) for the Three and Nine Months Ended September 30, 2013 and 2012</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4"/>
        </w:trPr>
        <w:tc>
          <w:tcPr>
            <w:tcW w:w="620" w:type="dxa"/>
            <w:vAlign w:val="bottom"/>
          </w:tcPr>
          <w:p>
            <w:pPr>
              <w:spacing w:after="0"/>
              <w:rPr>
                <w:sz w:val="24"/>
                <w:szCs w:val="24"/>
                <w:color w:val="auto"/>
              </w:rPr>
            </w:pP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w w:val="93"/>
              </w:rPr>
              <w:t>Consolidated Statement of Comprehensive Income (unaudited) for the Three and Nine Months Ended September 30,</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4"/>
        </w:trPr>
        <w:tc>
          <w:tcPr>
            <w:tcW w:w="6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rPr>
              <w:t>2013 and 2012</w:t>
            </w:r>
          </w:p>
        </w:tc>
        <w:tc>
          <w:tcPr>
            <w:tcW w:w="52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rPr>
              <w:t>Consolidated Balance Sheet (unaudited) at September 30, 2013, December 31, 2012 and September 30, 2012</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14"/>
        </w:trPr>
        <w:tc>
          <w:tcPr>
            <w:tcW w:w="620" w:type="dxa"/>
            <w:vAlign w:val="bottom"/>
          </w:tcPr>
          <w:p>
            <w:pPr>
              <w:spacing w:after="0"/>
              <w:rPr>
                <w:sz w:val="24"/>
                <w:szCs w:val="24"/>
                <w:color w:val="auto"/>
              </w:rPr>
            </w:pP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w w:val="94"/>
              </w:rPr>
              <w:t>Consolidated Statement of Changes in Shareholders’ Equity (unaudited) for the Nine Months Ended September 30,</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34"/>
        </w:trPr>
        <w:tc>
          <w:tcPr>
            <w:tcW w:w="6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rPr>
              <w:t>2013 and 2012</w:t>
            </w:r>
          </w:p>
        </w:tc>
        <w:tc>
          <w:tcPr>
            <w:tcW w:w="52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rPr>
              <w:t>Consolidated Statement of Cash Flows (unaudited) for the Nine Months Ended September 30, 2013 and 2012</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32"/>
        </w:trPr>
        <w:tc>
          <w:tcPr>
            <w:tcW w:w="620" w:type="dxa"/>
            <w:vAlign w:val="bottom"/>
          </w:tcPr>
          <w:p>
            <w:pPr>
              <w:spacing w:after="0"/>
              <w:rPr>
                <w:sz w:val="24"/>
                <w:szCs w:val="24"/>
                <w:color w:val="auto"/>
              </w:rPr>
            </w:pP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rPr>
              <w:t>Notes to Consolidated Financial Statements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360" w:type="dxa"/>
            <w:vAlign w:val="bottom"/>
          </w:tcPr>
          <w:p>
            <w:pPr>
              <w:ind w:left="80"/>
              <w:spacing w:after="0"/>
              <w:rPr>
                <w:sz w:val="20"/>
                <w:szCs w:val="20"/>
                <w:color w:val="auto"/>
              </w:rPr>
            </w:pPr>
            <w:r>
              <w:rPr>
                <w:rFonts w:ascii="Arial" w:cs="Arial" w:eastAsia="Arial" w:hAnsi="Arial"/>
                <w:sz w:val="18"/>
                <w:szCs w:val="18"/>
                <w:b w:val="1"/>
                <w:bCs w:val="1"/>
                <w:color w:val="auto"/>
              </w:rPr>
              <w:t>Controls and Procedures.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920"/>
              <w:spacing w:after="0"/>
              <w:rPr>
                <w:sz w:val="20"/>
                <w:szCs w:val="20"/>
                <w:color w:val="auto"/>
              </w:rPr>
            </w:pPr>
            <w:r>
              <w:rPr>
                <w:rFonts w:ascii="Arial" w:cs="Arial" w:eastAsia="Arial" w:hAnsi="Arial"/>
                <w:sz w:val="18"/>
                <w:szCs w:val="18"/>
                <w:b w:val="1"/>
                <w:bCs w:val="1"/>
                <w:color w:val="auto"/>
              </w:rPr>
              <w:t>Item 1.</w:t>
            </w: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Legal Proceedings.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8740" w:type="dxa"/>
            <w:vAlign w:val="bottom"/>
            <w:gridSpan w:val="2"/>
          </w:tcPr>
          <w:p>
            <w:pPr>
              <w:ind w:left="920"/>
              <w:spacing w:after="0"/>
              <w:rPr>
                <w:sz w:val="20"/>
                <w:szCs w:val="20"/>
                <w:color w:val="auto"/>
              </w:rPr>
            </w:pPr>
            <w:r>
              <w:rPr>
                <w:rFonts w:ascii="Arial" w:cs="Arial" w:eastAsia="Arial" w:hAnsi="Arial"/>
                <w:sz w:val="18"/>
                <w:szCs w:val="18"/>
                <w:b w:val="1"/>
                <w:bCs w:val="1"/>
                <w:color w:val="auto"/>
              </w:rPr>
              <w:t>Item 1A. Risk Factors.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8740" w:type="dxa"/>
            <w:vAlign w:val="bottom"/>
            <w:gridSpan w:val="2"/>
          </w:tcPr>
          <w:p>
            <w:pPr>
              <w:ind w:left="9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8740" w:type="dxa"/>
            <w:vAlign w:val="bottom"/>
            <w:gridSpan w:val="2"/>
          </w:tcPr>
          <w:p>
            <w:pPr>
              <w:ind w:left="920"/>
              <w:spacing w:after="0"/>
              <w:rPr>
                <w:sz w:val="20"/>
                <w:szCs w:val="20"/>
                <w:color w:val="auto"/>
              </w:rPr>
            </w:pPr>
            <w:r>
              <w:rPr>
                <w:rFonts w:ascii="Arial" w:cs="Arial" w:eastAsia="Arial" w:hAnsi="Arial"/>
                <w:sz w:val="18"/>
                <w:szCs w:val="18"/>
                <w:b w:val="1"/>
                <w:bCs w:val="1"/>
                <w:color w:val="auto"/>
              </w:rPr>
              <w:t>Item 3.  Defaults Upon Senior Securities.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1540" w:type="dxa"/>
            <w:vAlign w:val="bottom"/>
          </w:tcPr>
          <w:p>
            <w:pPr>
              <w:ind w:left="920"/>
              <w:spacing w:after="0"/>
              <w:rPr>
                <w:sz w:val="20"/>
                <w:szCs w:val="20"/>
                <w:color w:val="auto"/>
              </w:rPr>
            </w:pPr>
            <w:r>
              <w:rPr>
                <w:rFonts w:ascii="Arial" w:cs="Arial" w:eastAsia="Arial" w:hAnsi="Arial"/>
                <w:sz w:val="18"/>
                <w:szCs w:val="18"/>
                <w:b w:val="1"/>
                <w:bCs w:val="1"/>
                <w:color w:val="auto"/>
              </w:rPr>
              <w:t>Item 4.</w:t>
            </w: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1540" w:type="dxa"/>
            <w:vAlign w:val="bottom"/>
          </w:tcPr>
          <w:p>
            <w:pPr>
              <w:ind w:left="920"/>
              <w:spacing w:after="0"/>
              <w:rPr>
                <w:sz w:val="20"/>
                <w:szCs w:val="20"/>
                <w:color w:val="auto"/>
              </w:rPr>
            </w:pPr>
            <w:r>
              <w:rPr>
                <w:rFonts w:ascii="Arial" w:cs="Arial" w:eastAsia="Arial" w:hAnsi="Arial"/>
                <w:sz w:val="18"/>
                <w:szCs w:val="18"/>
                <w:b w:val="1"/>
                <w:bCs w:val="1"/>
                <w:color w:val="auto"/>
              </w:rPr>
              <w:t>Item 5.</w:t>
            </w: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34"/>
        </w:trPr>
        <w:tc>
          <w:tcPr>
            <w:tcW w:w="1540" w:type="dxa"/>
            <w:vAlign w:val="bottom"/>
          </w:tcPr>
          <w:p>
            <w:pPr>
              <w:ind w:left="920"/>
              <w:spacing w:after="0"/>
              <w:rPr>
                <w:sz w:val="20"/>
                <w:szCs w:val="20"/>
                <w:color w:val="auto"/>
              </w:rPr>
            </w:pPr>
            <w:r>
              <w:rPr>
                <w:rFonts w:ascii="Arial" w:cs="Arial" w:eastAsia="Arial" w:hAnsi="Arial"/>
                <w:sz w:val="18"/>
                <w:szCs w:val="18"/>
                <w:b w:val="1"/>
                <w:bCs w:val="1"/>
                <w:color w:val="auto"/>
              </w:rPr>
              <w:t>Item 6.</w:t>
            </w: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648"/>
        </w:trPr>
        <w:tc>
          <w:tcPr>
            <w:tcW w:w="1540" w:type="dxa"/>
            <w:vAlign w:val="bottom"/>
            <w:tcBorders>
              <w:bottom w:val="single" w:sz="8" w:color="DCDCDC"/>
            </w:tcBorders>
          </w:tcPr>
          <w:p>
            <w:pPr>
              <w:spacing w:after="0"/>
              <w:rPr>
                <w:sz w:val="24"/>
                <w:szCs w:val="24"/>
                <w:color w:val="auto"/>
              </w:rPr>
            </w:pPr>
          </w:p>
        </w:tc>
        <w:tc>
          <w:tcPr>
            <w:tcW w:w="7200" w:type="dxa"/>
            <w:vAlign w:val="bottom"/>
            <w:tcBorders>
              <w:bottom w:val="single" w:sz="8" w:color="DCDCDC"/>
            </w:tcBorders>
          </w:tcPr>
          <w:p>
            <w:pPr>
              <w:ind w:left="4120"/>
              <w:spacing w:after="0"/>
              <w:rPr>
                <w:sz w:val="20"/>
                <w:szCs w:val="20"/>
                <w:color w:val="auto"/>
              </w:rPr>
            </w:pPr>
            <w:r>
              <w:rPr>
                <w:rFonts w:ascii="Arial" w:cs="Arial" w:eastAsia="Arial" w:hAnsi="Arial"/>
                <w:sz w:val="18"/>
                <w:szCs w:val="18"/>
                <w:color w:val="auto"/>
              </w:rPr>
              <w:t>2</w:t>
            </w:r>
          </w:p>
        </w:tc>
        <w:tc>
          <w:tcPr>
            <w:tcW w:w="26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2" w:name="page3"/>
    <w:bookmarkEnd w:id="2"/>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8"/>
              </w:rPr>
              <w:t>Nine Months Ended</w:t>
            </w:r>
          </w:p>
        </w:tc>
      </w:tr>
      <w:tr>
        <w:trPr>
          <w:trHeight w:val="241"/>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418"/>
        </w:trPr>
        <w:tc>
          <w:tcPr>
            <w:tcW w:w="6400" w:type="dxa"/>
            <w:vAlign w:val="bottom"/>
          </w:tcPr>
          <w:p>
            <w:pPr>
              <w:spacing w:after="0"/>
              <w:rPr>
                <w:sz w:val="20"/>
                <w:szCs w:val="20"/>
                <w:color w:val="auto"/>
              </w:rPr>
            </w:pPr>
            <w:r>
              <w:rPr>
                <w:rFonts w:ascii="Arial" w:cs="Arial" w:eastAsia="Arial" w:hAnsi="Arial"/>
                <w:sz w:val="18"/>
                <w:szCs w:val="18"/>
                <w:b w:val="1"/>
                <w:bCs w:val="1"/>
                <w:color w:val="auto"/>
              </w:rPr>
              <w:t>Interest revenue: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Loans, including fees</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50,114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53,868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151,776</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163,805</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Investment securities, including tax exempt of $202, $225, $624 and $737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29,518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34,772</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Deposits in banks and short-term investments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3,093</w:t>
            </w:r>
          </w:p>
        </w:tc>
      </w:tr>
      <w:tr>
        <w:trPr>
          <w:trHeight w:val="223"/>
        </w:trPr>
        <w:tc>
          <w:tcPr>
            <w:tcW w:w="6400" w:type="dxa"/>
            <w:vAlign w:val="bottom"/>
          </w:tcPr>
          <w:p>
            <w:pPr>
              <w:ind w:left="660"/>
              <w:spacing w:after="0"/>
              <w:rPr>
                <w:sz w:val="20"/>
                <w:szCs w:val="20"/>
                <w:color w:val="auto"/>
              </w:rPr>
            </w:pPr>
            <w:r>
              <w:rPr>
                <w:rFonts w:ascii="Arial" w:cs="Arial" w:eastAsia="Arial" w:hAnsi="Arial"/>
                <w:sz w:val="18"/>
                <w:szCs w:val="18"/>
                <w:color w:val="auto"/>
              </w:rPr>
              <w:t>Total interest revenue</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60,993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65,559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184,087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201,670</w:t>
            </w:r>
          </w:p>
        </w:tc>
      </w:tr>
      <w:tr>
        <w:trPr>
          <w:trHeight w:val="418"/>
        </w:trPr>
        <w:tc>
          <w:tcPr>
            <w:tcW w:w="64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400" w:type="dxa"/>
            <w:vAlign w:val="bottom"/>
          </w:tcPr>
          <w:p>
            <w:pPr>
              <w:ind w:left="500"/>
              <w:spacing w:after="0"/>
              <w:rPr>
                <w:sz w:val="20"/>
                <w:szCs w:val="20"/>
                <w:color w:val="auto"/>
              </w:rPr>
            </w:pPr>
            <w:r>
              <w:rPr>
                <w:rFonts w:ascii="Arial" w:cs="Arial" w:eastAsia="Arial" w:hAnsi="Arial"/>
                <w:sz w:val="18"/>
                <w:szCs w:val="18"/>
                <w:color w:val="auto"/>
              </w:rPr>
              <w:t>NOW</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1,587</w:t>
            </w:r>
          </w:p>
        </w:tc>
      </w:tr>
      <w:tr>
        <w:trPr>
          <w:trHeight w:val="216"/>
        </w:trPr>
        <w:tc>
          <w:tcPr>
            <w:tcW w:w="6400" w:type="dxa"/>
            <w:vAlign w:val="bottom"/>
          </w:tcPr>
          <w:p>
            <w:pPr>
              <w:ind w:left="500"/>
              <w:spacing w:after="0"/>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1,901</w:t>
            </w:r>
          </w:p>
        </w:tc>
      </w:tr>
      <w:tr>
        <w:trPr>
          <w:trHeight w:val="216"/>
        </w:trPr>
        <w:tc>
          <w:tcPr>
            <w:tcW w:w="6400" w:type="dxa"/>
            <w:vAlign w:val="bottom"/>
          </w:tcPr>
          <w:p>
            <w:pPr>
              <w:ind w:left="500"/>
              <w:spacing w:after="0"/>
              <w:rPr>
                <w:sz w:val="20"/>
                <w:szCs w:val="20"/>
                <w:color w:val="auto"/>
              </w:rPr>
            </w:pPr>
            <w:r>
              <w:rPr>
                <w:rFonts w:ascii="Arial" w:cs="Arial" w:eastAsia="Arial" w:hAnsi="Arial"/>
                <w:sz w:val="18"/>
                <w:szCs w:val="18"/>
                <w:color w:val="auto"/>
              </w:rPr>
              <w:t>Savings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37"/>
        </w:trPr>
        <w:tc>
          <w:tcPr>
            <w:tcW w:w="6400" w:type="dxa"/>
            <w:vAlign w:val="bottom"/>
          </w:tcPr>
          <w:p>
            <w:pPr>
              <w:ind w:left="500"/>
              <w:spacing w:after="0"/>
              <w:rPr>
                <w:sz w:val="20"/>
                <w:szCs w:val="20"/>
                <w:color w:val="auto"/>
              </w:rPr>
            </w:pPr>
            <w:r>
              <w:rPr>
                <w:rFonts w:ascii="Arial" w:cs="Arial" w:eastAsia="Arial" w:hAnsi="Arial"/>
                <w:sz w:val="18"/>
                <w:szCs w:val="18"/>
                <w:color w:val="auto"/>
              </w:rPr>
              <w:t>Time</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8,636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15,844</w:t>
            </w:r>
          </w:p>
        </w:tc>
      </w:tr>
      <w:tr>
        <w:trPr>
          <w:trHeight w:val="202"/>
        </w:trPr>
        <w:tc>
          <w:tcPr>
            <w:tcW w:w="6400" w:type="dxa"/>
            <w:vAlign w:val="bottom"/>
          </w:tcPr>
          <w:p>
            <w:pPr>
              <w:ind w:left="660"/>
              <w:spacing w:after="0" w:line="201" w:lineRule="exact"/>
              <w:rPr>
                <w:sz w:val="20"/>
                <w:szCs w:val="20"/>
                <w:color w:val="auto"/>
              </w:rPr>
            </w:pPr>
            <w:r>
              <w:rPr>
                <w:rFonts w:ascii="Arial" w:cs="Arial" w:eastAsia="Arial" w:hAnsi="Arial"/>
                <w:sz w:val="18"/>
                <w:szCs w:val="18"/>
                <w:color w:val="auto"/>
              </w:rPr>
              <w:t>Total deposit interest expense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3,481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5,695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11,672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19,444</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2,463</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882</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7,119</w:t>
            </w: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interest expense</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8,607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21,631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29,908</w:t>
            </w:r>
          </w:p>
        </w:tc>
      </w:tr>
      <w:tr>
        <w:trPr>
          <w:trHeight w:val="202"/>
        </w:trPr>
        <w:tc>
          <w:tcPr>
            <w:tcW w:w="6400" w:type="dxa"/>
            <w:vAlign w:val="bottom"/>
          </w:tcPr>
          <w:p>
            <w:pPr>
              <w:ind w:left="500"/>
              <w:spacing w:after="0" w:line="201" w:lineRule="exact"/>
              <w:rPr>
                <w:sz w:val="20"/>
                <w:szCs w:val="20"/>
                <w:color w:val="auto"/>
              </w:rPr>
            </w:pPr>
            <w:r>
              <w:rPr>
                <w:rFonts w:ascii="Arial" w:cs="Arial" w:eastAsia="Arial" w:hAnsi="Arial"/>
                <w:sz w:val="18"/>
                <w:szCs w:val="18"/>
                <w:color w:val="auto"/>
              </w:rPr>
              <w:t>Net interest revenue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53,968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56,952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162,456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171,762</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48,500</w:t>
            </w: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Net interest revenue after provision for loan losses</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50,968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41,452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99,956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123,262</w:t>
            </w:r>
          </w:p>
        </w:tc>
      </w:tr>
      <w:tr>
        <w:trPr>
          <w:trHeight w:val="418"/>
        </w:trPr>
        <w:tc>
          <w:tcPr>
            <w:tcW w:w="6400" w:type="dxa"/>
            <w:vAlign w:val="bottom"/>
          </w:tcPr>
          <w:p>
            <w:pPr>
              <w:spacing w:after="0"/>
              <w:rPr>
                <w:sz w:val="20"/>
                <w:szCs w:val="20"/>
                <w:color w:val="auto"/>
              </w:rPr>
            </w:pPr>
            <w:r>
              <w:rPr>
                <w:rFonts w:ascii="Arial" w:cs="Arial" w:eastAsia="Arial" w:hAnsi="Arial"/>
                <w:sz w:val="18"/>
                <w:szCs w:val="18"/>
                <w:b w:val="1"/>
                <w:bCs w:val="1"/>
                <w:color w:val="auto"/>
              </w:rPr>
              <w:t>Fee revenue: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Service charges and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23,295</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Mortgage loan and other related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7,221</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Brokerage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2,331</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Securities gains,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7,047</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Loss from prepayment of debt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(6,681)</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8,797</w:t>
            </w: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fee revenue</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14,144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13,764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43,282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42,010</w:t>
            </w: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55,216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143,238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165,272</w:t>
            </w:r>
          </w:p>
        </w:tc>
      </w:tr>
      <w:tr>
        <w:trPr>
          <w:trHeight w:val="418"/>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Salaries and employee benefits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23,090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22,918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72,440</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Communications and equipment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9,620</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10,849</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Advertising and public relations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2,868</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Postage, printing and supplies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2,849</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6,107</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Foreclosed property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9,382</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FDIC assessments and other regulatory charges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7,592</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2,190</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11,691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12,151</w:t>
            </w: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40,097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44,783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132,690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136,048</w:t>
            </w:r>
          </w:p>
        </w:tc>
      </w:tr>
      <w:tr>
        <w:trPr>
          <w:trHeight w:val="202"/>
        </w:trPr>
        <w:tc>
          <w:tcPr>
            <w:tcW w:w="6400" w:type="dxa"/>
            <w:vAlign w:val="bottom"/>
          </w:tcPr>
          <w:p>
            <w:pPr>
              <w:ind w:left="520"/>
              <w:spacing w:after="0" w:line="201" w:lineRule="exact"/>
              <w:rPr>
                <w:sz w:val="20"/>
                <w:szCs w:val="20"/>
                <w:color w:val="auto"/>
              </w:rPr>
            </w:pPr>
            <w:r>
              <w:rPr>
                <w:rFonts w:ascii="Arial" w:cs="Arial" w:eastAsia="Arial" w:hAnsi="Arial"/>
                <w:sz w:val="18"/>
                <w:szCs w:val="18"/>
                <w:color w:val="auto"/>
              </w:rPr>
              <w:t>Net income before income taxes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25,015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10,433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10,548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29,224</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9,515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(246,681)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w:t>
            </w:r>
          </w:p>
        </w:tc>
      </w:tr>
      <w:tr>
        <w:trPr>
          <w:trHeight w:val="202"/>
        </w:trPr>
        <w:tc>
          <w:tcPr>
            <w:tcW w:w="6400" w:type="dxa"/>
            <w:vAlign w:val="bottom"/>
          </w:tcPr>
          <w:p>
            <w:pPr>
              <w:ind w:left="500"/>
              <w:spacing w:after="0" w:line="201" w:lineRule="exact"/>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15,500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10,568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257,229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28,595</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Preferred stock dividends and discount accretion</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9,166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9,103</w:t>
            </w:r>
          </w:p>
        </w:tc>
      </w:tr>
      <w:tr>
        <w:trPr>
          <w:trHeight w:val="250"/>
        </w:trPr>
        <w:tc>
          <w:tcPr>
            <w:tcW w:w="6400" w:type="dxa"/>
            <w:vAlign w:val="bottom"/>
          </w:tcPr>
          <w:p>
            <w:pPr>
              <w:ind w:left="500"/>
              <w:spacing w:after="0"/>
              <w:rPr>
                <w:sz w:val="20"/>
                <w:szCs w:val="20"/>
                <w:color w:val="auto"/>
              </w:rPr>
            </w:pPr>
            <w:r>
              <w:rPr>
                <w:rFonts w:ascii="Arial" w:cs="Arial" w:eastAsia="Arial" w:hAnsi="Arial"/>
                <w:sz w:val="18"/>
                <w:szCs w:val="18"/>
                <w:b w:val="1"/>
                <w:bCs w:val="1"/>
                <w:color w:val="auto"/>
              </w:rPr>
              <w:t>Net income available to common shareholders</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12,441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248,063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19,492</w:t>
            </w:r>
          </w:p>
        </w:tc>
      </w:tr>
      <w:tr>
        <w:trPr>
          <w:trHeight w:val="418"/>
        </w:trPr>
        <w:tc>
          <w:tcPr>
            <w:tcW w:w="640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57,880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58,443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57,826</w:t>
            </w: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59,202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57,880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58,444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57,826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87" w:orient="portrait"/>
          <w:cols w:equalWidth="0" w:num="1">
            <w:col w:w="11420"/>
          </w:cols>
          <w:pgMar w:left="240" w:top="918" w:right="239" w:bottom="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top w:val="single" w:sz="8" w:color="auto"/>
              <w:bottom w:val="single" w:sz="8" w:color="auto"/>
            </w:tcBorders>
          </w:tcPr>
          <w:p>
            <w:pPr>
              <w:spacing w:after="0"/>
              <w:rPr>
                <w:sz w:val="20"/>
                <w:szCs w:val="20"/>
                <w:color w:val="auto"/>
              </w:rPr>
            </w:pPr>
          </w:p>
        </w:tc>
        <w:tc>
          <w:tcPr>
            <w:tcW w:w="3420" w:type="dxa"/>
            <w:vAlign w:val="bottom"/>
            <w:tcBorders>
              <w:top w:val="single" w:sz="8" w:color="auto"/>
              <w:bottom w:val="single" w:sz="8" w:color="auto"/>
            </w:tcBorders>
            <w:gridSpan w:val="7"/>
          </w:tcPr>
          <w:p>
            <w:pPr>
              <w:jc w:val="right"/>
              <w:ind w:right="350"/>
              <w:spacing w:after="0"/>
              <w:rPr>
                <w:sz w:val="20"/>
                <w:szCs w:val="20"/>
                <w:color w:val="auto"/>
              </w:rPr>
            </w:pPr>
            <w:r>
              <w:rPr>
                <w:rFonts w:ascii="Arial" w:cs="Arial" w:eastAsia="Arial" w:hAnsi="Arial"/>
                <w:sz w:val="18"/>
                <w:szCs w:val="18"/>
                <w:b w:val="1"/>
                <w:bCs w:val="1"/>
                <w:color w:val="auto"/>
                <w:w w:val="96"/>
              </w:rPr>
              <w:t>Three Months Ended September 30,</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080" w:type="dxa"/>
            <w:vAlign w:val="bottom"/>
            <w:tcBorders>
              <w:top w:val="single" w:sz="8" w:color="auto"/>
              <w:bottom w:val="single" w:sz="8" w:color="auto"/>
            </w:tcBorders>
            <w:gridSpan w:val="7"/>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Before-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10"/>
              <w:spacing w:after="0" w:line="198" w:lineRule="exact"/>
              <w:rPr>
                <w:sz w:val="20"/>
                <w:szCs w:val="20"/>
                <w:color w:val="auto"/>
              </w:rPr>
            </w:pPr>
            <w:r>
              <w:rPr>
                <w:rFonts w:ascii="Arial" w:cs="Arial" w:eastAsia="Arial" w:hAnsi="Arial"/>
                <w:sz w:val="18"/>
                <w:szCs w:val="18"/>
                <w:b w:val="1"/>
                <w:bCs w:val="1"/>
                <w:color w:val="auto"/>
              </w:rPr>
              <w:t>Tax</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Before-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10"/>
              <w:spacing w:after="0" w:line="198" w:lineRule="exact"/>
              <w:rPr>
                <w:sz w:val="20"/>
                <w:szCs w:val="20"/>
                <w:color w:val="auto"/>
              </w:rPr>
            </w:pPr>
            <w:r>
              <w:rPr>
                <w:rFonts w:ascii="Arial" w:cs="Arial" w:eastAsia="Arial" w:hAnsi="Arial"/>
                <w:sz w:val="18"/>
                <w:szCs w:val="18"/>
                <w:b w:val="1"/>
                <w:bCs w:val="1"/>
                <w:color w:val="auto"/>
              </w:rPr>
              <w:t>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Net of</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85"/>
              </w:rPr>
              <w:t>(Expense)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Net of 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85"/>
              </w:rPr>
              <w:t>(Expense)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Tax</w:t>
            </w:r>
          </w:p>
        </w:tc>
        <w:tc>
          <w:tcPr>
            <w:tcW w:w="0" w:type="dxa"/>
            <w:vAlign w:val="bottom"/>
          </w:tcPr>
          <w:p>
            <w:pPr>
              <w:spacing w:after="0"/>
              <w:rPr>
                <w:sz w:val="1"/>
                <w:szCs w:val="1"/>
                <w:color w:val="auto"/>
              </w:rPr>
            </w:pPr>
          </w:p>
        </w:tc>
      </w:tr>
      <w:tr>
        <w:trPr>
          <w:trHeight w:val="241"/>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Benefit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Benefit</w:t>
            </w:r>
          </w:p>
        </w:tc>
        <w:tc>
          <w:tcPr>
            <w:tcW w:w="12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15,500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246,681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257,229</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Unrealized (losses) gains on available-for-sale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Unrealized holding gains (losses) arising during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820"/>
              <w:spacing w:after="0"/>
              <w:rPr>
                <w:sz w:val="20"/>
                <w:szCs w:val="20"/>
                <w:color w:val="auto"/>
              </w:rPr>
            </w:pPr>
            <w:r>
              <w:rPr>
                <w:rFonts w:ascii="Arial" w:cs="Arial" w:eastAsia="Arial" w:hAnsi="Arial"/>
                <w:sz w:val="18"/>
                <w:szCs w:val="18"/>
                <w:color w:val="auto"/>
              </w:rPr>
              <w:t>period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(16,784)</w:t>
            </w:r>
          </w:p>
        </w:tc>
        <w:tc>
          <w:tcPr>
            <w:tcW w:w="0" w:type="dxa"/>
            <w:vAlign w:val="bottom"/>
          </w:tcPr>
          <w:p>
            <w:pPr>
              <w:spacing w:after="0"/>
              <w:rPr>
                <w:sz w:val="1"/>
                <w:szCs w:val="1"/>
                <w:color w:val="auto"/>
              </w:rPr>
            </w:pPr>
          </w:p>
        </w:tc>
      </w:tr>
      <w:tr>
        <w:trPr>
          <w:trHeight w:val="216"/>
        </w:trPr>
        <w:tc>
          <w:tcPr>
            <w:tcW w:w="4540" w:type="dxa"/>
            <w:vAlign w:val="bottom"/>
            <w:gridSpan w:val="2"/>
          </w:tcPr>
          <w:p>
            <w:pPr>
              <w:ind w:left="660"/>
              <w:spacing w:after="0"/>
              <w:rPr>
                <w:sz w:val="20"/>
                <w:szCs w:val="20"/>
                <w:color w:val="auto"/>
              </w:rPr>
            </w:pPr>
            <w:r>
              <w:rPr>
                <w:rFonts w:ascii="Arial" w:cs="Arial" w:eastAsia="Arial" w:hAnsi="Arial"/>
                <w:sz w:val="18"/>
                <w:szCs w:val="18"/>
                <w:color w:val="auto"/>
                <w:w w:val="93"/>
              </w:rPr>
              <w:t>Reclassification adjustment for gains included in net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82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540" w:type="dxa"/>
            <w:vAlign w:val="bottom"/>
            <w:gridSpan w:val="2"/>
          </w:tcPr>
          <w:p>
            <w:pPr>
              <w:ind w:left="660"/>
              <w:spacing w:after="0"/>
              <w:rPr>
                <w:sz w:val="20"/>
                <w:szCs w:val="20"/>
                <w:color w:val="auto"/>
              </w:rPr>
            </w:pPr>
            <w:r>
              <w:rPr>
                <w:rFonts w:ascii="Arial" w:cs="Arial" w:eastAsia="Arial" w:hAnsi="Arial"/>
                <w:sz w:val="18"/>
                <w:szCs w:val="18"/>
                <w:color w:val="auto"/>
                <w:w w:val="98"/>
              </w:rPr>
              <w:t>Adjustment of valuation allowance for the change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820"/>
              <w:spacing w:after="0"/>
              <w:rPr>
                <w:sz w:val="20"/>
                <w:szCs w:val="20"/>
                <w:color w:val="auto"/>
              </w:rPr>
            </w:pPr>
            <w:r>
              <w:rPr>
                <w:rFonts w:ascii="Arial" w:cs="Arial" w:eastAsia="Arial" w:hAnsi="Arial"/>
                <w:sz w:val="18"/>
                <w:szCs w:val="18"/>
                <w:color w:val="auto"/>
              </w:rPr>
              <w:t>in deferred taxes arising from unrealized gains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820"/>
              <w:spacing w:after="0"/>
              <w:rPr>
                <w:sz w:val="20"/>
                <w:szCs w:val="20"/>
                <w:color w:val="auto"/>
              </w:rPr>
            </w:pPr>
            <w:r>
              <w:rPr>
                <w:rFonts w:ascii="Arial" w:cs="Arial" w:eastAsia="Arial" w:hAnsi="Arial"/>
                <w:sz w:val="18"/>
                <w:szCs w:val="18"/>
                <w:color w:val="auto"/>
              </w:rPr>
              <w:t>and losses on available-for-sale securities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gridSpan w:val="2"/>
          </w:tcPr>
          <w:p>
            <w:pPr>
              <w:ind w:left="820"/>
              <w:spacing w:after="0"/>
              <w:rPr>
                <w:sz w:val="20"/>
                <w:szCs w:val="20"/>
                <w:color w:val="auto"/>
              </w:rPr>
            </w:pPr>
            <w:r>
              <w:rPr>
                <w:rFonts w:ascii="Arial" w:cs="Arial" w:eastAsia="Arial" w:hAnsi="Arial"/>
                <w:sz w:val="18"/>
                <w:szCs w:val="18"/>
                <w:color w:val="auto"/>
              </w:rPr>
              <w:t>release of valuation allowance</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02"/>
        </w:trPr>
        <w:tc>
          <w:tcPr>
            <w:tcW w:w="45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Net unrealized gains (losses)</w:t>
            </w: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(13,215)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4,971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(8,244)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(27,048)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7,243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w w:val="95"/>
              </w:rPr>
              <w:t>(19,805)</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Amortization of gains included in net income 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available-for-sale securities transferred to held-to-</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maturity</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Adjustment of valuation allowance for the change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w w:val="96"/>
              </w:rPr>
              <w:t>deferred taxes arising from the amortization of gains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included in net income (loss) on available-for-sale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w w:val="96"/>
              </w:rPr>
              <w:t>securities transferred to held-to-maturity and release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of valuation allowance</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2"/>
        </w:trPr>
        <w:tc>
          <w:tcPr>
            <w:tcW w:w="45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Net unrealized losses</w:t>
            </w: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(804)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Amounts reclassified into net income on cash flow</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hedges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w w:val="99"/>
              </w:rPr>
              <w:t>Unrealized losses on derivative financial instruments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accounted for as cash flow hedges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Adjustment of valuation allowance for the change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w w:val="91"/>
              </w:rPr>
              <w:t>deferred taxes arising from unrealized gains and losses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w w:val="97"/>
              </w:rPr>
              <w:t>and amortization of gains included in net income 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gridSpan w:val="2"/>
          </w:tcPr>
          <w:p>
            <w:pPr>
              <w:ind w:left="500"/>
              <w:spacing w:after="0"/>
              <w:rPr>
                <w:sz w:val="20"/>
                <w:szCs w:val="20"/>
                <w:color w:val="auto"/>
              </w:rPr>
            </w:pPr>
            <w:r>
              <w:rPr>
                <w:rFonts w:ascii="Arial" w:cs="Arial" w:eastAsia="Arial" w:hAnsi="Arial"/>
                <w:sz w:val="18"/>
                <w:szCs w:val="18"/>
                <w:color w:val="auto"/>
                <w:w w:val="95"/>
              </w:rPr>
              <w:t>cash flow hedges and release of valuation allowance</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13,698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w:t>
            </w:r>
          </w:p>
        </w:tc>
        <w:tc>
          <w:tcPr>
            <w:tcW w:w="0" w:type="dxa"/>
            <w:vAlign w:val="bottom"/>
          </w:tcPr>
          <w:p>
            <w:pPr>
              <w:spacing w:after="0"/>
              <w:rPr>
                <w:sz w:val="1"/>
                <w:szCs w:val="1"/>
                <w:color w:val="auto"/>
              </w:rPr>
            </w:pPr>
          </w:p>
        </w:tc>
      </w:tr>
      <w:tr>
        <w:trPr>
          <w:trHeight w:val="202"/>
        </w:trPr>
        <w:tc>
          <w:tcPr>
            <w:tcW w:w="45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Net unrealized losses</w:t>
            </w: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(3,427)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1,344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(2,083)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7,831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10,663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18,494</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Net actuarial loss on defined benefit pension plan</w:t>
            </w: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w w:val="98"/>
              </w:rPr>
              <w:t>Amortization of prior service cost and actuarial losses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included in net periodic pension cost for defined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benefit pension plan</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Net defined benefit pension plan activity</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9"/>
        </w:trPr>
        <w:tc>
          <w:tcPr>
            <w:tcW w:w="4540" w:type="dxa"/>
            <w:vAlign w:val="bottom"/>
            <w:gridSpan w:val="2"/>
          </w:tcPr>
          <w:p>
            <w:pPr>
              <w:ind w:left="88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6,345</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(20,038)</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19,514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432"/>
        </w:trPr>
        <w:tc>
          <w:tcPr>
            <w:tcW w:w="4540" w:type="dxa"/>
            <w:vAlign w:val="bottom"/>
            <w:gridSpan w:val="2"/>
          </w:tcPr>
          <w:p>
            <w:pPr>
              <w:ind w:left="88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5,122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266,195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256,705</w:t>
            </w:r>
          </w:p>
        </w:tc>
        <w:tc>
          <w:tcPr>
            <w:tcW w:w="0" w:type="dxa"/>
            <w:vAlign w:val="bottom"/>
          </w:tcPr>
          <w:p>
            <w:pPr>
              <w:spacing w:after="0"/>
              <w:rPr>
                <w:sz w:val="1"/>
                <w:szCs w:val="1"/>
                <w:color w:val="auto"/>
              </w:rPr>
            </w:pPr>
          </w:p>
        </w:tc>
      </w:tr>
      <w:tr>
        <w:trPr>
          <w:trHeight w:val="21"/>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444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29,224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28,595</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Unrealized (losses) gains on available-for-sale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Unrealized holding gains (losses) arising during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820"/>
              <w:spacing w:after="0"/>
              <w:rPr>
                <w:sz w:val="20"/>
                <w:szCs w:val="20"/>
                <w:color w:val="auto"/>
              </w:rPr>
            </w:pPr>
            <w:r>
              <w:rPr>
                <w:rFonts w:ascii="Arial" w:cs="Arial" w:eastAsia="Arial" w:hAnsi="Arial"/>
                <w:sz w:val="18"/>
                <w:szCs w:val="18"/>
                <w:color w:val="auto"/>
              </w:rPr>
              <w:t>period</w:t>
            </w: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4540" w:type="dxa"/>
            <w:vAlign w:val="bottom"/>
            <w:gridSpan w:val="2"/>
          </w:tcPr>
          <w:p>
            <w:pPr>
              <w:ind w:left="660"/>
              <w:spacing w:after="0"/>
              <w:rPr>
                <w:sz w:val="20"/>
                <w:szCs w:val="20"/>
                <w:color w:val="auto"/>
              </w:rPr>
            </w:pPr>
            <w:r>
              <w:rPr>
                <w:rFonts w:ascii="Arial" w:cs="Arial" w:eastAsia="Arial" w:hAnsi="Arial"/>
                <w:sz w:val="18"/>
                <w:szCs w:val="18"/>
                <w:color w:val="auto"/>
                <w:w w:val="93"/>
              </w:rPr>
              <w:t>Reclassification adjustment for gains included in net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82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Valuation allowance for the change in deferred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820"/>
              <w:spacing w:after="0"/>
              <w:rPr>
                <w:sz w:val="20"/>
                <w:szCs w:val="20"/>
                <w:color w:val="auto"/>
              </w:rPr>
            </w:pPr>
            <w:r>
              <w:rPr>
                <w:rFonts w:ascii="Arial" w:cs="Arial" w:eastAsia="Arial" w:hAnsi="Arial"/>
                <w:sz w:val="18"/>
                <w:szCs w:val="18"/>
                <w:color w:val="auto"/>
                <w:w w:val="93"/>
              </w:rPr>
              <w:t>taxes arising from unrealized gains and losses 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gridSpan w:val="2"/>
          </w:tcPr>
          <w:p>
            <w:pPr>
              <w:ind w:left="820"/>
              <w:spacing w:after="0"/>
              <w:rPr>
                <w:sz w:val="20"/>
                <w:szCs w:val="20"/>
                <w:color w:val="auto"/>
              </w:rPr>
            </w:pPr>
            <w:r>
              <w:rPr>
                <w:rFonts w:ascii="Arial" w:cs="Arial" w:eastAsia="Arial" w:hAnsi="Arial"/>
                <w:sz w:val="18"/>
                <w:szCs w:val="18"/>
                <w:color w:val="auto"/>
              </w:rPr>
              <w:t>available-for-sale securities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2"/>
        </w:trPr>
        <w:tc>
          <w:tcPr>
            <w:tcW w:w="45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Net unrealized gains (losses)</w:t>
            </w:r>
          </w:p>
        </w:tc>
        <w:tc>
          <w:tcPr>
            <w:tcW w:w="14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5,813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5,813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Amortization of gains included in net income 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available-for-sale securities transferred to held-to-</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maturity</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w w:val="99"/>
              </w:rPr>
              <w:t>Valuation allowance for the change in deferred taxes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w w:val="96"/>
              </w:rPr>
              <w:t>arising from the amortization of gains included in net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income (loss) on available-for-sale securities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transferred to held-to-maturity</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2"/>
        </w:trPr>
        <w:tc>
          <w:tcPr>
            <w:tcW w:w="45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Net unrealized losses</w:t>
            </w: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(499)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(499)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Amortization of gains included in net income on</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bl>
    <w:p>
      <w:pPr>
        <w:sectPr>
          <w:pgSz w:w="11900" w:h="16857" w:orient="portrait"/>
          <w:cols w:equalWidth="0" w:num="1">
            <w:col w:w="11420"/>
          </w:cols>
          <w:pgMar w:left="240" w:top="918"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w w:val="96"/>
              </w:rPr>
              <w:t>terminated derivative financial instruments that were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rPr>
              <w:t>previously accounted for as cash flow hedges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w w:val="99"/>
              </w:rPr>
              <w:t>Unrealized losses on derivative financial instruments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rPr>
              <w:t>accounted for as cash flow hedges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(5,376)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w w:val="99"/>
              </w:rPr>
              <w:t>Valuation allowance for the change in deferred taxes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rPr>
              <w:t>arising from unrealized gains and losses and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w w:val="96"/>
              </w:rPr>
              <w:t>amortization of gains included in net income on cash</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7"/>
        </w:trPr>
        <w:tc>
          <w:tcPr>
            <w:tcW w:w="4200" w:type="dxa"/>
            <w:vAlign w:val="bottom"/>
          </w:tcPr>
          <w:p>
            <w:pPr>
              <w:ind w:left="160"/>
              <w:spacing w:after="0"/>
              <w:rPr>
                <w:sz w:val="20"/>
                <w:szCs w:val="20"/>
                <w:color w:val="auto"/>
              </w:rPr>
            </w:pPr>
            <w:r>
              <w:rPr>
                <w:rFonts w:ascii="Arial" w:cs="Arial" w:eastAsia="Arial" w:hAnsi="Arial"/>
                <w:sz w:val="18"/>
                <w:szCs w:val="18"/>
                <w:color w:val="auto"/>
              </w:rPr>
              <w:t>flow hedges</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(4,619)</w:t>
            </w:r>
          </w:p>
        </w:tc>
      </w:tr>
      <w:tr>
        <w:trPr>
          <w:trHeight w:val="202"/>
        </w:trPr>
        <w:tc>
          <w:tcPr>
            <w:tcW w:w="4200" w:type="dxa"/>
            <w:vAlign w:val="bottom"/>
          </w:tcPr>
          <w:p>
            <w:pPr>
              <w:ind w:left="320"/>
              <w:spacing w:after="0" w:line="201" w:lineRule="exact"/>
              <w:rPr>
                <w:sz w:val="20"/>
                <w:szCs w:val="20"/>
                <w:color w:val="auto"/>
              </w:rPr>
            </w:pPr>
            <w:r>
              <w:rPr>
                <w:rFonts w:ascii="Arial" w:cs="Arial" w:eastAsia="Arial" w:hAnsi="Arial"/>
                <w:sz w:val="18"/>
                <w:szCs w:val="18"/>
                <w:color w:val="auto"/>
              </w:rPr>
              <w:t>Net unrealized losses</w:t>
            </w: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(4,706)</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(4,706)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(11,875)</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(11,875)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actuarial loss on defined benefit pension plan</w:t>
            </w:r>
          </w:p>
        </w:tc>
        <w:tc>
          <w:tcPr>
            <w:tcW w:w="3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w w:val="98"/>
              </w:rPr>
              <w:t>Amortization of prior service cost and actuarial losses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rPr>
              <w:t>included in net periodic pension cost for defined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rPr>
              <w:t>benefit pension plan</w:t>
            </w:r>
          </w:p>
        </w:tc>
        <w:tc>
          <w:tcPr>
            <w:tcW w:w="3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w w:val="99"/>
              </w:rPr>
              <w:t>Valuation allowance for the change in deferred taxes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rPr>
              <w:t>arising from reclassification of unamortized prior</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w w:val="96"/>
              </w:rPr>
              <w:t>service cost and actuarial losses and amortization of</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7"/>
        </w:trPr>
        <w:tc>
          <w:tcPr>
            <w:tcW w:w="4200" w:type="dxa"/>
            <w:vAlign w:val="bottom"/>
          </w:tcPr>
          <w:p>
            <w:pPr>
              <w:ind w:left="160"/>
              <w:spacing w:after="0"/>
              <w:rPr>
                <w:sz w:val="20"/>
                <w:szCs w:val="20"/>
                <w:color w:val="auto"/>
              </w:rPr>
            </w:pPr>
            <w:r>
              <w:rPr>
                <w:rFonts w:ascii="Arial" w:cs="Arial" w:eastAsia="Arial" w:hAnsi="Arial"/>
                <w:sz w:val="18"/>
                <w:szCs w:val="18"/>
                <w:color w:val="auto"/>
              </w:rPr>
              <w:t>prior service cost and actuarial losses</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4200" w:type="dxa"/>
            <w:vAlign w:val="bottom"/>
          </w:tcPr>
          <w:p>
            <w:pPr>
              <w:ind w:left="320"/>
              <w:spacing w:after="0"/>
              <w:rPr>
                <w:sz w:val="20"/>
                <w:szCs w:val="20"/>
                <w:color w:val="auto"/>
              </w:rPr>
            </w:pPr>
            <w:r>
              <w:rPr>
                <w:rFonts w:ascii="Arial" w:cs="Arial" w:eastAsia="Arial" w:hAnsi="Arial"/>
                <w:sz w:val="18"/>
                <w:szCs w:val="18"/>
                <w:color w:val="auto"/>
              </w:rPr>
              <w:t>Net defined benefit pension plan activity</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439"/>
        </w:trPr>
        <w:tc>
          <w:tcPr>
            <w:tcW w:w="4200" w:type="dxa"/>
            <w:vAlign w:val="bottom"/>
          </w:tcPr>
          <w:p>
            <w:pPr>
              <w:ind w:left="5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(13,035)</w:t>
            </w:r>
          </w:p>
        </w:tc>
      </w:tr>
      <w:tr>
        <w:trPr>
          <w:trHeight w:val="432"/>
        </w:trPr>
        <w:tc>
          <w:tcPr>
            <w:tcW w:w="4200" w:type="dxa"/>
            <w:vAlign w:val="bottom"/>
          </w:tcPr>
          <w:p>
            <w:pPr>
              <w:ind w:left="5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11,195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11,330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16,189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15,560</w:t>
            </w:r>
          </w:p>
        </w:tc>
      </w:tr>
      <w:tr>
        <w:trPr>
          <w:trHeight w:val="21"/>
        </w:trPr>
        <w:tc>
          <w:tcPr>
            <w:tcW w:w="4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i w:val="1"/>
          <w:i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September</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December</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41"/>
        </w:trPr>
        <w:tc>
          <w:tcPr>
            <w:tcW w:w="766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(in thousands, except share and per share data)</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18"/>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Cash and due from banks</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70,986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66,536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57,270</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131,147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124,613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119,355</w:t>
            </w:r>
          </w:p>
        </w:tc>
        <w:tc>
          <w:tcPr>
            <w:tcW w:w="0" w:type="dxa"/>
            <w:vAlign w:val="bottom"/>
          </w:tcPr>
          <w:p>
            <w:pPr>
              <w:spacing w:after="0"/>
              <w:rPr>
                <w:sz w:val="1"/>
                <w:szCs w:val="1"/>
                <w:color w:val="auto"/>
              </w:rPr>
            </w:pPr>
          </w:p>
        </w:tc>
      </w:tr>
      <w:tr>
        <w:trPr>
          <w:trHeight w:val="237"/>
        </w:trPr>
        <w:tc>
          <w:tcPr>
            <w:tcW w:w="766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62,000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02"/>
        </w:trPr>
        <w:tc>
          <w:tcPr>
            <w:tcW w:w="7660" w:type="dxa"/>
            <w:vAlign w:val="bottom"/>
          </w:tcPr>
          <w:p>
            <w:pPr>
              <w:ind w:left="320"/>
              <w:spacing w:after="0" w:line="201"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264,133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251,149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221,625</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1,963,424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1,834,593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1,761,994</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Securities held to maturity (fair value $214,651, $261,131 and $281,336)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205,613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244,184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262,648</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11,987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28,821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30,571</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Loans, net of unearned income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4,267,067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4,175,008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4,137,845</w:t>
            </w:r>
          </w:p>
        </w:tc>
        <w:tc>
          <w:tcPr>
            <w:tcW w:w="0" w:type="dxa"/>
            <w:vAlign w:val="bottom"/>
          </w:tcPr>
          <w:p>
            <w:pPr>
              <w:spacing w:after="0"/>
              <w:rPr>
                <w:sz w:val="1"/>
                <w:szCs w:val="1"/>
                <w:color w:val="auto"/>
              </w:rPr>
            </w:pPr>
          </w:p>
        </w:tc>
      </w:tr>
      <w:tr>
        <w:trPr>
          <w:trHeight w:val="237"/>
        </w:trPr>
        <w:tc>
          <w:tcPr>
            <w:tcW w:w="7660" w:type="dxa"/>
            <w:vAlign w:val="bottom"/>
          </w:tcPr>
          <w:p>
            <w:pPr>
              <w:ind w:left="36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(80,372)</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(107,137)</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(107,642)</w:t>
            </w:r>
          </w:p>
        </w:tc>
        <w:tc>
          <w:tcPr>
            <w:tcW w:w="0" w:type="dxa"/>
            <w:vAlign w:val="bottom"/>
          </w:tcPr>
          <w:p>
            <w:pPr>
              <w:spacing w:after="0"/>
              <w:rPr>
                <w:sz w:val="1"/>
                <w:szCs w:val="1"/>
                <w:color w:val="auto"/>
              </w:rPr>
            </w:pPr>
          </w:p>
        </w:tc>
      </w:tr>
      <w:tr>
        <w:trPr>
          <w:trHeight w:val="202"/>
        </w:trPr>
        <w:tc>
          <w:tcPr>
            <w:tcW w:w="7660" w:type="dxa"/>
            <w:vAlign w:val="bottom"/>
          </w:tcPr>
          <w:p>
            <w:pPr>
              <w:ind w:left="680"/>
              <w:spacing w:after="0" w:line="201" w:lineRule="exact"/>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4,186,695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4,067,871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4,030,203</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Assets covered by loss sharing agreements with the FDIC</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47,467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53,070</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165,993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168,920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170,532</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Bank owned life insurance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80,537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81,867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81,574</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18,659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19,133</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Foreclosed property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26,958</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269,784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37,366</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34,954</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34,690</w:t>
            </w:r>
          </w:p>
        </w:tc>
        <w:tc>
          <w:tcPr>
            <w:tcW w:w="0" w:type="dxa"/>
            <w:vAlign w:val="bottom"/>
          </w:tcPr>
          <w:p>
            <w:pPr>
              <w:spacing w:after="0"/>
              <w:rPr>
                <w:sz w:val="1"/>
                <w:szCs w:val="1"/>
                <w:color w:val="auto"/>
              </w:rPr>
            </w:pPr>
          </w:p>
        </w:tc>
      </w:tr>
      <w:tr>
        <w:trPr>
          <w:trHeight w:val="216"/>
        </w:trPr>
        <w:tc>
          <w:tcPr>
            <w:tcW w:w="766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7,243,293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6,802,259</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6,699,235</w:t>
            </w:r>
          </w:p>
        </w:tc>
        <w:tc>
          <w:tcPr>
            <w:tcW w:w="0" w:type="dxa"/>
            <w:vAlign w:val="bottom"/>
          </w:tcPr>
          <w:p>
            <w:pPr>
              <w:spacing w:after="0"/>
              <w:rPr>
                <w:sz w:val="1"/>
                <w:szCs w:val="1"/>
                <w:color w:val="auto"/>
              </w:rPr>
            </w:pPr>
          </w:p>
        </w:tc>
      </w:tr>
      <w:tr>
        <w:trPr>
          <w:trHeight w:val="21"/>
        </w:trPr>
        <w:tc>
          <w:tcPr>
            <w:tcW w:w="76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6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Demand</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1,418,782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1,252,605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1,210,703</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1,279,134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1,316,453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1,184,341</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1,197,495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1,149,912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1,126,312</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249,044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227,308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222,431</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600"/>
              <w:spacing w:after="0"/>
              <w:rPr>
                <w:sz w:val="20"/>
                <w:szCs w:val="20"/>
                <w:color w:val="auto"/>
              </w:rPr>
            </w:pPr>
            <w:r>
              <w:rPr>
                <w:rFonts w:ascii="Arial" w:cs="Arial" w:eastAsia="Arial" w:hAnsi="Arial"/>
                <w:sz w:val="18"/>
                <w:szCs w:val="18"/>
                <w:color w:val="auto"/>
              </w:rPr>
              <w:t>Less than $100,000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925,089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1,055,271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1,123,672</w:t>
            </w:r>
          </w:p>
        </w:tc>
        <w:tc>
          <w:tcPr>
            <w:tcW w:w="0" w:type="dxa"/>
            <w:vAlign w:val="bottom"/>
          </w:tcPr>
          <w:p>
            <w:pPr>
              <w:spacing w:after="0"/>
              <w:rPr>
                <w:sz w:val="1"/>
                <w:szCs w:val="1"/>
                <w:color w:val="auto"/>
              </w:rPr>
            </w:pPr>
          </w:p>
        </w:tc>
      </w:tr>
      <w:tr>
        <w:trPr>
          <w:trHeight w:val="216"/>
        </w:trPr>
        <w:tc>
          <w:tcPr>
            <w:tcW w:w="7660" w:type="dxa"/>
            <w:vAlign w:val="bottom"/>
          </w:tcPr>
          <w:p>
            <w:pPr>
              <w:ind w:left="600"/>
              <w:spacing w:after="0"/>
              <w:rPr>
                <w:sz w:val="20"/>
                <w:szCs w:val="20"/>
                <w:color w:val="auto"/>
              </w:rPr>
            </w:pPr>
            <w:r>
              <w:rPr>
                <w:rFonts w:ascii="Arial" w:cs="Arial" w:eastAsia="Arial" w:hAnsi="Arial"/>
                <w:sz w:val="18"/>
                <w:szCs w:val="18"/>
                <w:color w:val="auto"/>
              </w:rPr>
              <w:t>Greater than $100,000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624,019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705,558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731,766</w:t>
            </w:r>
          </w:p>
        </w:tc>
        <w:tc>
          <w:tcPr>
            <w:tcW w:w="0" w:type="dxa"/>
            <w:vAlign w:val="bottom"/>
          </w:tcPr>
          <w:p>
            <w:pPr>
              <w:spacing w:after="0"/>
              <w:rPr>
                <w:sz w:val="1"/>
                <w:szCs w:val="1"/>
                <w:color w:val="auto"/>
              </w:rPr>
            </w:pPr>
          </w:p>
        </w:tc>
      </w:tr>
      <w:tr>
        <w:trPr>
          <w:trHeight w:val="237"/>
        </w:trPr>
        <w:tc>
          <w:tcPr>
            <w:tcW w:w="7660" w:type="dxa"/>
            <w:vAlign w:val="bottom"/>
          </w:tcPr>
          <w:p>
            <w:pPr>
              <w:ind w:left="360"/>
              <w:spacing w:after="0"/>
              <w:rPr>
                <w:sz w:val="20"/>
                <w:szCs w:val="20"/>
                <w:color w:val="auto"/>
              </w:rPr>
            </w:pPr>
            <w:r>
              <w:rPr>
                <w:rFonts w:ascii="Arial" w:cs="Arial" w:eastAsia="Arial" w:hAnsi="Arial"/>
                <w:sz w:val="18"/>
                <w:szCs w:val="18"/>
                <w:color w:val="auto"/>
              </w:rPr>
              <w:t>Brokered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419,344</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245,033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223,474</w:t>
            </w:r>
          </w:p>
        </w:tc>
        <w:tc>
          <w:tcPr>
            <w:tcW w:w="0" w:type="dxa"/>
            <w:vAlign w:val="bottom"/>
          </w:tcPr>
          <w:p>
            <w:pPr>
              <w:spacing w:after="0"/>
              <w:rPr>
                <w:sz w:val="1"/>
                <w:szCs w:val="1"/>
                <w:color w:val="auto"/>
              </w:rPr>
            </w:pPr>
          </w:p>
        </w:tc>
      </w:tr>
      <w:tr>
        <w:trPr>
          <w:trHeight w:val="202"/>
        </w:trPr>
        <w:tc>
          <w:tcPr>
            <w:tcW w:w="7660" w:type="dxa"/>
            <w:vAlign w:val="bottom"/>
          </w:tcPr>
          <w:p>
            <w:pPr>
              <w:ind w:left="1000"/>
              <w:spacing w:after="0" w:line="201" w:lineRule="exact"/>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6,112,907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5,952,140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5,822,699</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53,769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52,574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53,243</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40,125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50,125</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129,865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124,805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120,285</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Unsettled securities purchases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24,319</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82,800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51,210</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43,309</w:t>
            </w:r>
          </w:p>
        </w:tc>
        <w:tc>
          <w:tcPr>
            <w:tcW w:w="0" w:type="dxa"/>
            <w:vAlign w:val="bottom"/>
          </w:tcPr>
          <w:p>
            <w:pPr>
              <w:spacing w:after="0"/>
              <w:rPr>
                <w:sz w:val="1"/>
                <w:szCs w:val="1"/>
                <w:color w:val="auto"/>
              </w:rPr>
            </w:pPr>
          </w:p>
        </w:tc>
      </w:tr>
      <w:tr>
        <w:trPr>
          <w:trHeight w:val="223"/>
        </w:trPr>
        <w:tc>
          <w:tcPr>
            <w:tcW w:w="766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6,391,076</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6,220,854</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6,113,980</w:t>
            </w:r>
          </w:p>
        </w:tc>
        <w:tc>
          <w:tcPr>
            <w:tcW w:w="0" w:type="dxa"/>
            <w:vAlign w:val="bottom"/>
          </w:tcPr>
          <w:p>
            <w:pPr>
              <w:spacing w:after="0"/>
              <w:rPr>
                <w:sz w:val="1"/>
                <w:szCs w:val="1"/>
                <w:color w:val="auto"/>
              </w:rPr>
            </w:pPr>
          </w:p>
        </w:tc>
      </w:tr>
      <w:tr>
        <w:trPr>
          <w:trHeight w:val="202"/>
        </w:trPr>
        <w:tc>
          <w:tcPr>
            <w:tcW w:w="7660" w:type="dxa"/>
            <w:vAlign w:val="bottom"/>
          </w:tcPr>
          <w:p>
            <w:pPr>
              <w:ind w:left="60"/>
              <w:spacing w:after="0" w:line="201" w:lineRule="exact"/>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40"/>
              <w:spacing w:after="0"/>
              <w:rPr>
                <w:sz w:val="20"/>
                <w:szCs w:val="20"/>
                <w:color w:val="auto"/>
              </w:rPr>
            </w:pPr>
            <w:r>
              <w:rPr>
                <w:rFonts w:ascii="Arial" w:cs="Arial" w:eastAsia="Arial" w:hAnsi="Arial"/>
                <w:sz w:val="18"/>
                <w:szCs w:val="18"/>
                <w:color w:val="auto"/>
              </w:rPr>
              <w:t>Preferred stock, $1 par value; 10,000,000 shares authorized;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8"/>
                <w:szCs w:val="18"/>
                <w:color w:val="auto"/>
              </w:rPr>
              <w:t>Series A; $10 stated value; 21,700 shares issued and outstanding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8"/>
                <w:szCs w:val="18"/>
                <w:color w:val="auto"/>
              </w:rPr>
              <w:t>Series B; $1,000 stated value; 180,000 shares issued and outstanding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179,714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178,557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178,183</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8"/>
                <w:szCs w:val="18"/>
                <w:color w:val="auto"/>
              </w:rPr>
              <w:t>Series D; $1,000 stated value; 16,613 shares issued and outstanding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16,613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16"/>
        </w:trPr>
        <w:tc>
          <w:tcPr>
            <w:tcW w:w="7660" w:type="dxa"/>
            <w:vAlign w:val="bottom"/>
          </w:tcPr>
          <w:p>
            <w:pPr>
              <w:ind w:left="240"/>
              <w:spacing w:after="0"/>
              <w:rPr>
                <w:sz w:val="20"/>
                <w:szCs w:val="20"/>
                <w:color w:val="auto"/>
              </w:rPr>
            </w:pPr>
            <w:r>
              <w:rPr>
                <w:rFonts w:ascii="Arial" w:cs="Arial" w:eastAsia="Arial" w:hAnsi="Arial"/>
                <w:sz w:val="18"/>
                <w:szCs w:val="18"/>
                <w:color w:val="auto"/>
              </w:rPr>
              <w:t>Common stock, $1 par value; 100,000,000 shares authorized;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20"/>
              <w:spacing w:after="0"/>
              <w:rPr>
                <w:sz w:val="20"/>
                <w:szCs w:val="20"/>
                <w:color w:val="auto"/>
              </w:rPr>
            </w:pPr>
            <w:r>
              <w:rPr>
                <w:rFonts w:ascii="Arial" w:cs="Arial" w:eastAsia="Arial" w:hAnsi="Arial"/>
                <w:sz w:val="18"/>
                <w:szCs w:val="18"/>
                <w:color w:val="auto"/>
              </w:rPr>
              <w:t>45,222,839, 42,423,870 and 42,393,319 shares issued and outstanding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45,223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42,424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42,393</w:t>
            </w:r>
          </w:p>
        </w:tc>
        <w:tc>
          <w:tcPr>
            <w:tcW w:w="0" w:type="dxa"/>
            <w:vAlign w:val="bottom"/>
          </w:tcPr>
          <w:p>
            <w:pPr>
              <w:spacing w:after="0"/>
              <w:rPr>
                <w:sz w:val="1"/>
                <w:szCs w:val="1"/>
                <w:color w:val="auto"/>
              </w:rPr>
            </w:pPr>
          </w:p>
        </w:tc>
      </w:tr>
      <w:tr>
        <w:trPr>
          <w:trHeight w:val="216"/>
        </w:trPr>
        <w:tc>
          <w:tcPr>
            <w:tcW w:w="7660" w:type="dxa"/>
            <w:vAlign w:val="bottom"/>
          </w:tcPr>
          <w:p>
            <w:pPr>
              <w:ind w:left="240"/>
              <w:spacing w:after="0"/>
              <w:rPr>
                <w:sz w:val="20"/>
                <w:szCs w:val="20"/>
                <w:color w:val="auto"/>
              </w:rPr>
            </w:pPr>
            <w:r>
              <w:rPr>
                <w:rFonts w:ascii="Arial" w:cs="Arial" w:eastAsia="Arial" w:hAnsi="Arial"/>
                <w:sz w:val="18"/>
                <w:szCs w:val="18"/>
                <w:color w:val="auto"/>
              </w:rPr>
              <w:t>Common stock, non-voting, $1 par value; 30,000,000 shares authorized;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20"/>
              <w:spacing w:after="0"/>
              <w:rPr>
                <w:sz w:val="20"/>
                <w:szCs w:val="20"/>
                <w:color w:val="auto"/>
              </w:rPr>
            </w:pPr>
            <w:r>
              <w:rPr>
                <w:rFonts w:ascii="Arial" w:cs="Arial" w:eastAsia="Arial" w:hAnsi="Arial"/>
                <w:sz w:val="18"/>
                <w:szCs w:val="18"/>
                <w:color w:val="auto"/>
              </w:rPr>
              <w:t>14,189,006, 15,316,794 and 15,316,794 shares issued and outstanding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16"/>
        </w:trPr>
        <w:tc>
          <w:tcPr>
            <w:tcW w:w="7660" w:type="dxa"/>
            <w:vAlign w:val="bottom"/>
          </w:tcPr>
          <w:p>
            <w:pPr>
              <w:ind w:left="240"/>
              <w:spacing w:after="0"/>
              <w:rPr>
                <w:sz w:val="20"/>
                <w:szCs w:val="20"/>
                <w:color w:val="auto"/>
              </w:rPr>
            </w:pPr>
            <w:r>
              <w:rPr>
                <w:rFonts w:ascii="Arial" w:cs="Arial" w:eastAsia="Arial" w:hAnsi="Arial"/>
                <w:sz w:val="18"/>
                <w:szCs w:val="18"/>
                <w:color w:val="auto"/>
              </w:rPr>
              <w:t>Common stock issuable; 242,262, 133,238 and 129,270 shares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16"/>
        </w:trPr>
        <w:tc>
          <w:tcPr>
            <w:tcW w:w="7660" w:type="dxa"/>
            <w:vAlign w:val="bottom"/>
          </w:tcPr>
          <w:p>
            <w:pPr>
              <w:ind w:left="24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1,077,536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1,057,951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1,056,998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(461,090)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(709,153)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(711,369)</w:t>
            </w:r>
          </w:p>
        </w:tc>
        <w:tc>
          <w:tcPr>
            <w:tcW w:w="0" w:type="dxa"/>
            <w:vAlign w:val="bottom"/>
          </w:tcPr>
          <w:p>
            <w:pPr>
              <w:spacing w:after="0"/>
              <w:rPr>
                <w:sz w:val="1"/>
                <w:szCs w:val="1"/>
                <w:color w:val="auto"/>
              </w:rPr>
            </w:pPr>
          </w:p>
        </w:tc>
      </w:tr>
      <w:tr>
        <w:trPr>
          <w:trHeight w:val="237"/>
        </w:trPr>
        <w:tc>
          <w:tcPr>
            <w:tcW w:w="76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(24,164)</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23"/>
        </w:trPr>
        <w:tc>
          <w:tcPr>
            <w:tcW w:w="7660" w:type="dxa"/>
            <w:vAlign w:val="bottom"/>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852,217</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581,405</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585,255</w:t>
            </w:r>
          </w:p>
        </w:tc>
        <w:tc>
          <w:tcPr>
            <w:tcW w:w="0" w:type="dxa"/>
            <w:vAlign w:val="bottom"/>
          </w:tcPr>
          <w:p>
            <w:pPr>
              <w:spacing w:after="0"/>
              <w:rPr>
                <w:sz w:val="1"/>
                <w:szCs w:val="1"/>
                <w:color w:val="auto"/>
              </w:rPr>
            </w:pPr>
          </w:p>
        </w:tc>
      </w:tr>
      <w:tr>
        <w:trPr>
          <w:trHeight w:val="216"/>
        </w:trPr>
        <w:tc>
          <w:tcPr>
            <w:tcW w:w="7660" w:type="dxa"/>
            <w:vAlign w:val="bottom"/>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7,243,293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6,802,259</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6,699,235</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099"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6"/>
            <w:vMerge w:val="restart"/>
          </w:tcPr>
          <w:p>
            <w:pPr>
              <w:ind w:left="240"/>
              <w:spacing w:after="0"/>
              <w:rPr>
                <w:sz w:val="20"/>
                <w:szCs w:val="20"/>
                <w:color w:val="auto"/>
              </w:rPr>
            </w:pPr>
            <w:r>
              <w:rPr>
                <w:rFonts w:ascii="Arial" w:cs="Arial" w:eastAsia="Arial" w:hAnsi="Arial"/>
                <w:sz w:val="18"/>
                <w:szCs w:val="18"/>
                <w:b w:val="1"/>
                <w:bCs w:val="1"/>
                <w:color w:val="auto"/>
              </w:rPr>
              <w:t>Preferred 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6"/>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6"/>
              </w:rPr>
              <w:t>Non-Voting</w:t>
            </w:r>
          </w:p>
        </w:tc>
        <w:tc>
          <w:tcPr>
            <w:tcW w:w="8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7"/>
              </w:rPr>
              <w:t>Common</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80" w:type="dxa"/>
            <w:vAlign w:val="bottom"/>
            <w:gridSpan w:val="2"/>
          </w:tcPr>
          <w:p>
            <w:pPr>
              <w:spacing w:after="0" w:line="198" w:lineRule="exact"/>
              <w:rPr>
                <w:sz w:val="20"/>
                <w:szCs w:val="20"/>
                <w:color w:val="auto"/>
              </w:rPr>
            </w:pPr>
            <w:r>
              <w:rPr>
                <w:rFonts w:ascii="Arial" w:cs="Arial" w:eastAsia="Arial" w:hAnsi="Arial"/>
                <w:sz w:val="18"/>
                <w:szCs w:val="18"/>
                <w:i w:val="1"/>
                <w:iCs w:val="1"/>
                <w:color w:val="auto"/>
              </w:rPr>
              <w:t>(in thousands, except</w:t>
            </w:r>
          </w:p>
        </w:tc>
        <w:tc>
          <w:tcPr>
            <w:tcW w:w="54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2"/>
              </w:rPr>
              <w:t>Series</w:t>
            </w: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9"/>
              </w:rPr>
              <w:t>Series</w:t>
            </w: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Series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4"/>
              </w:rPr>
              <w:t>Common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89"/>
              </w:rPr>
              <w:t>Stock</w:t>
            </w:r>
          </w:p>
        </w:tc>
        <w:tc>
          <w:tcPr>
            <w:tcW w:w="60" w:type="dxa"/>
            <w:vAlign w:val="bottom"/>
          </w:tcPr>
          <w:p>
            <w:pPr>
              <w:spacing w:after="0"/>
              <w:rPr>
                <w:sz w:val="17"/>
                <w:szCs w:val="17"/>
                <w:color w:val="auto"/>
              </w:rPr>
            </w:pPr>
          </w:p>
        </w:tc>
        <w:tc>
          <w:tcPr>
            <w:tcW w:w="92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Capital</w:t>
            </w:r>
          </w:p>
        </w:tc>
        <w:tc>
          <w:tcPr>
            <w:tcW w:w="116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7"/>
                <w:szCs w:val="17"/>
                <w:color w:val="auto"/>
              </w:rPr>
            </w:pPr>
          </w:p>
        </w:tc>
        <w:tc>
          <w:tcPr>
            <w:tcW w:w="1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1"/>
              </w:rPr>
              <w:t>Comprehensive</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gridSpan w:val="2"/>
          </w:tcPr>
          <w:p>
            <w:pPr>
              <w:spacing w:after="0"/>
              <w:rPr>
                <w:sz w:val="20"/>
                <w:szCs w:val="20"/>
                <w:color w:val="auto"/>
              </w:rPr>
            </w:pPr>
            <w:r>
              <w:rPr>
                <w:rFonts w:ascii="Arial" w:cs="Arial" w:eastAsia="Arial" w:hAnsi="Arial"/>
                <w:sz w:val="18"/>
                <w:szCs w:val="18"/>
                <w:i w:val="1"/>
                <w:iCs w:val="1"/>
                <w:color w:val="auto"/>
              </w:rPr>
              <w:t>share and per share data)</w:t>
            </w:r>
          </w:p>
        </w:tc>
        <w:tc>
          <w:tcPr>
            <w:tcW w:w="16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rPr>
              <w:t>A</w:t>
            </w:r>
          </w:p>
        </w:tc>
        <w:tc>
          <w:tcPr>
            <w:tcW w:w="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B</w:t>
            </w:r>
          </w:p>
        </w:tc>
        <w:tc>
          <w:tcPr>
            <w:tcW w:w="60" w:type="dxa"/>
            <w:vAlign w:val="bottom"/>
          </w:tcPr>
          <w:p>
            <w:pPr>
              <w:spacing w:after="0"/>
              <w:rPr>
                <w:sz w:val="20"/>
                <w:szCs w:val="20"/>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b w:val="1"/>
                <w:bCs w:val="1"/>
                <w:color w:val="auto"/>
              </w:rPr>
              <w:t>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8"/>
              </w:rPr>
              <w:t>Issuable</w:t>
            </w:r>
          </w:p>
        </w:tc>
        <w:tc>
          <w:tcPr>
            <w:tcW w:w="6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Surplus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91"/>
              </w:rPr>
              <w:t>Balance, December 31, 2011</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99"/>
              </w:rPr>
              <w:t>217</w:t>
            </w:r>
          </w:p>
        </w:tc>
        <w:tc>
          <w:tcPr>
            <w:tcW w:w="60" w:type="dxa"/>
            <w:vAlign w:val="bottom"/>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$177,092</w:t>
            </w:r>
          </w:p>
        </w:tc>
        <w:tc>
          <w:tcPr>
            <w:tcW w:w="60" w:type="dxa"/>
            <w:vAlign w:val="bottom"/>
          </w:tcPr>
          <w:p>
            <w:pPr>
              <w:spacing w:after="0"/>
              <w:rPr>
                <w:sz w:val="17"/>
                <w:szCs w:val="17"/>
                <w:color w:val="auto"/>
              </w:rPr>
            </w:pPr>
          </w:p>
        </w:tc>
        <w:tc>
          <w:tcPr>
            <w:tcW w:w="700" w:type="dxa"/>
            <w:vAlign w:val="bottom"/>
            <w:tcBorders>
              <w:top w:val="single" w:sz="8" w:color="auto"/>
            </w:tcBorders>
            <w:gridSpan w:val="2"/>
          </w:tcPr>
          <w:p>
            <w:pPr>
              <w:jc w:val="center"/>
              <w:ind w:right="80"/>
              <w:spacing w:after="0" w:line="201" w:lineRule="exact"/>
              <w:rPr>
                <w:sz w:val="20"/>
                <w:szCs w:val="20"/>
                <w:color w:val="auto"/>
              </w:rPr>
            </w:pPr>
            <w:r>
              <w:rPr>
                <w:rFonts w:ascii="Arial" w:cs="Arial" w:eastAsia="Arial" w:hAnsi="Arial"/>
                <w:sz w:val="18"/>
                <w:szCs w:val="18"/>
                <w:color w:val="auto"/>
                <w:w w:val="88"/>
              </w:rPr>
              <w:t>$ 16,613</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41,647</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15,914</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3,233</w:t>
            </w:r>
          </w:p>
        </w:tc>
        <w:tc>
          <w:tcPr>
            <w:tcW w:w="6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$ 1,054,940</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(730,861)</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(3,309)</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$ 575,486</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28,595</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to dividend reinvestment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w w:val="98"/>
              </w:rPr>
              <w:t>plan and employee benefit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plans (87,086 shares)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Conversion of non-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voting common stock to</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voting common stock</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(597,415 shares)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Amortization of stock</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w w:val="94"/>
              </w:rPr>
              <w:t>options and restricted stock</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awards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Vesting of restricted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w w:val="90"/>
              </w:rPr>
              <w:t>stock (59,081 shares issued,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36,673 shares deferred)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plan, net, including</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dividend equivalents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Shares issued from</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plan (2,637 shares)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Series A</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Series B</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37"/>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Series D</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w w:val="91"/>
              </w:rPr>
              <w:t>Balance, September 30, 2012</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217</w:t>
            </w: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178,183</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8"/>
              </w:rPr>
              <w:t>$ 16,613</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42,393</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$ 1,056,998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(711,369)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(16,344)</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$ 585,255</w:t>
            </w:r>
          </w:p>
        </w:tc>
        <w:tc>
          <w:tcPr>
            <w:tcW w:w="0" w:type="dxa"/>
            <w:vAlign w:val="bottom"/>
          </w:tcPr>
          <w:p>
            <w:pPr>
              <w:spacing w:after="0"/>
              <w:rPr>
                <w:sz w:val="1"/>
                <w:szCs w:val="1"/>
                <w:color w:val="auto"/>
              </w:rPr>
            </w:pPr>
          </w:p>
        </w:tc>
      </w:tr>
      <w:tr>
        <w:trPr>
          <w:trHeight w:val="21"/>
        </w:trPr>
        <w:tc>
          <w:tcPr>
            <w:tcW w:w="2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Balance, December 31, 2012</w:t>
            </w: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280" w:type="dxa"/>
            <w:vAlign w:val="bottom"/>
            <w:gridSpan w:val="2"/>
            <w:vMerge w:val="continue"/>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380" w:type="dxa"/>
            <w:vAlign w:val="bottom"/>
          </w:tcPr>
          <w:p>
            <w:pPr>
              <w:ind w:left="60"/>
              <w:spacing w:after="0" w:line="195" w:lineRule="exact"/>
              <w:rPr>
                <w:sz w:val="20"/>
                <w:szCs w:val="20"/>
                <w:color w:val="auto"/>
              </w:rPr>
            </w:pPr>
            <w:r>
              <w:rPr>
                <w:rFonts w:ascii="Arial" w:cs="Arial" w:eastAsia="Arial" w:hAnsi="Arial"/>
                <w:sz w:val="18"/>
                <w:szCs w:val="18"/>
                <w:color w:val="auto"/>
                <w:w w:val="99"/>
              </w:rPr>
              <w:t>217</w:t>
            </w:r>
          </w:p>
        </w:tc>
        <w:tc>
          <w:tcPr>
            <w:tcW w:w="60" w:type="dxa"/>
            <w:vAlign w:val="bottom"/>
            <w:vMerge w:val="continue"/>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w w:val="87"/>
              </w:rPr>
              <w:t>$178,557</w:t>
            </w:r>
          </w:p>
        </w:tc>
        <w:tc>
          <w:tcPr>
            <w:tcW w:w="60" w:type="dxa"/>
            <w:vAlign w:val="bottom"/>
            <w:vMerge w:val="continue"/>
          </w:tcPr>
          <w:p>
            <w:pPr>
              <w:spacing w:after="0"/>
              <w:rPr>
                <w:sz w:val="16"/>
                <w:szCs w:val="16"/>
                <w:color w:val="auto"/>
              </w:rPr>
            </w:pPr>
          </w:p>
        </w:tc>
        <w:tc>
          <w:tcPr>
            <w:tcW w:w="70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8"/>
              </w:rPr>
              <w:t>$ 16,613</w:t>
            </w:r>
          </w:p>
        </w:tc>
        <w:tc>
          <w:tcPr>
            <w:tcW w:w="60" w:type="dxa"/>
            <w:vAlign w:val="bottom"/>
            <w:vMerge w:val="continue"/>
          </w:tcPr>
          <w:p>
            <w:pPr>
              <w:spacing w:after="0"/>
              <w:rPr>
                <w:sz w:val="16"/>
                <w:szCs w:val="16"/>
                <w:color w:val="auto"/>
              </w:rPr>
            </w:pPr>
          </w:p>
        </w:tc>
        <w:tc>
          <w:tcPr>
            <w:tcW w:w="120" w:type="dxa"/>
            <w:vAlign w:val="bottom"/>
          </w:tcPr>
          <w:p>
            <w:pPr>
              <w:spacing w:after="0" w:line="195"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42,424</w:t>
            </w:r>
          </w:p>
        </w:tc>
        <w:tc>
          <w:tcPr>
            <w:tcW w:w="80" w:type="dxa"/>
            <w:vAlign w:val="bottom"/>
            <w:vMerge w:val="continue"/>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15,317</w:t>
            </w:r>
          </w:p>
        </w:tc>
        <w:tc>
          <w:tcPr>
            <w:tcW w:w="80" w:type="dxa"/>
            <w:vAlign w:val="bottom"/>
            <w:vMerge w:val="continue"/>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3,119</w:t>
            </w:r>
          </w:p>
        </w:tc>
        <w:tc>
          <w:tcPr>
            <w:tcW w:w="60" w:type="dxa"/>
            <w:vAlign w:val="bottom"/>
            <w:vMerge w:val="continue"/>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86"/>
              </w:rPr>
              <w:t>$ 1,057,951</w:t>
            </w:r>
          </w:p>
        </w:tc>
        <w:tc>
          <w:tcPr>
            <w:tcW w:w="80" w:type="dxa"/>
            <w:vAlign w:val="bottom"/>
            <w:vMerge w:val="continue"/>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(709,153)</w:t>
            </w:r>
          </w:p>
        </w:tc>
        <w:tc>
          <w:tcPr>
            <w:tcW w:w="80" w:type="dxa"/>
            <w:vAlign w:val="bottom"/>
            <w:vMerge w:val="continue"/>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(23,640)</w:t>
            </w:r>
          </w:p>
        </w:tc>
        <w:tc>
          <w:tcPr>
            <w:tcW w:w="80" w:type="dxa"/>
            <w:vAlign w:val="bottom"/>
            <w:vMerge w:val="continue"/>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w w:val="84"/>
              </w:rPr>
              <w:t>$ 581,405</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257,229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257,229</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w w:val="96"/>
              </w:rPr>
              <w:t>Other comprehensive income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to dividend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reinvestment plan and to</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employee benefit plans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(49,830 shares)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Conversion of non-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voting common stock to</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voting (1,127,788 shares)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w w:val="99"/>
              </w:rPr>
              <w:t>Warrant exercise (1,551,126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17,838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19,389</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Amortization of stock options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w w:val="94"/>
              </w:rPr>
              <w:t>and restricted stock awards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w w:val="93"/>
              </w:rPr>
              <w:t>Vesting of restricted stock, net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of shares surrendered to</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w w:val="96"/>
              </w:rPr>
              <w:t>cover payroll taxes (51,995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shares issued, 115,664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shares deferred)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plan, net, including</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dividend equivalents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w w:val="99"/>
              </w:rPr>
              <w:t>Shares issued from deferred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w w:val="95"/>
              </w:rPr>
              <w:t>compensation plan (18,230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Series A</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Series B</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37"/>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Series D</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w w:val="91"/>
              </w:rPr>
              <w:t>Balance, September 30, 2013</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217</w:t>
            </w: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179,714</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8"/>
              </w:rPr>
              <w:t>$ 16,613</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45,223</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$ 1,077,536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(461,090)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(24,164)</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$ 852,217</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8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257,229</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20,847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Losses and write downs on sales of other real estate owned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Loss on prepayment of borrowings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80"/>
              <w:spacing w:after="0"/>
              <w:rPr>
                <w:sz w:val="20"/>
                <w:szCs w:val="20"/>
                <w:color w:val="auto"/>
              </w:rPr>
            </w:pPr>
            <w:r>
              <w:rPr>
                <w:rFonts w:ascii="Arial" w:cs="Arial" w:eastAsia="Arial" w:hAnsi="Arial"/>
                <w:sz w:val="18"/>
                <w:szCs w:val="18"/>
                <w:color w:val="auto"/>
              </w:rPr>
              <w:t>Other assets and accrued interest receivable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31,562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Pr>
          <w:p>
            <w:pPr>
              <w:ind w:left="48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(6,690)</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162,336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139,216</w:t>
            </w:r>
          </w:p>
        </w:tc>
        <w:tc>
          <w:tcPr>
            <w:tcW w:w="0" w:type="dxa"/>
            <w:vAlign w:val="bottom"/>
          </w:tcPr>
          <w:p>
            <w:pPr>
              <w:spacing w:after="0"/>
              <w:rPr>
                <w:sz w:val="1"/>
                <w:szCs w:val="1"/>
                <w:color w:val="auto"/>
              </w:rPr>
            </w:pPr>
          </w:p>
        </w:tc>
      </w:tr>
      <w:tr>
        <w:trPr>
          <w:trHeight w:val="418"/>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Investment securities held-to-maturity: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Proceeds from maturities and calls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45,578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Investment securities available-for-sale: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Proceeds from sales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Proceeds from maturities and calls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399,304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Net increase in loans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Proceeds from note sales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91,913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Collections from FDIC under loss sharing agreements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24,049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22,309</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(288,282)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33,103</w:t>
            </w:r>
          </w:p>
        </w:tc>
        <w:tc>
          <w:tcPr>
            <w:tcW w:w="0" w:type="dxa"/>
            <w:vAlign w:val="bottom"/>
          </w:tcPr>
          <w:p>
            <w:pPr>
              <w:spacing w:after="0"/>
              <w:rPr>
                <w:sz w:val="1"/>
                <w:szCs w:val="1"/>
                <w:color w:val="auto"/>
              </w:rPr>
            </w:pPr>
          </w:p>
        </w:tc>
      </w:tr>
      <w:tr>
        <w:trPr>
          <w:trHeight w:val="418"/>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Net change in deposits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160,767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Settlement of Federal Home Loan Bank advances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(1,621,701)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Proceeds from issuance of senior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Repayment of subordinated debentures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Proceeds from warrant exercise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Cash dividends on preferred stock</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138,930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(329,110)</w:t>
            </w:r>
          </w:p>
        </w:tc>
        <w:tc>
          <w:tcPr>
            <w:tcW w:w="0" w:type="dxa"/>
            <w:vAlign w:val="bottom"/>
          </w:tcPr>
          <w:p>
            <w:pPr>
              <w:spacing w:after="0"/>
              <w:rPr>
                <w:sz w:val="1"/>
                <w:szCs w:val="1"/>
                <w:color w:val="auto"/>
              </w:rPr>
            </w:pPr>
          </w:p>
        </w:tc>
      </w:tr>
      <w:tr>
        <w:trPr>
          <w:trHeight w:val="202"/>
        </w:trPr>
        <w:tc>
          <w:tcPr>
            <w:tcW w:w="8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Net change in cash and cash equivalents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12,984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(156,791)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251,149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378,416</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264,133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221,625</w:t>
            </w:r>
          </w:p>
        </w:tc>
        <w:tc>
          <w:tcPr>
            <w:tcW w:w="0" w:type="dxa"/>
            <w:vAlign w:val="bottom"/>
          </w:tcPr>
          <w:p>
            <w:pPr>
              <w:spacing w:after="0"/>
              <w:rPr>
                <w:sz w:val="1"/>
                <w:szCs w:val="1"/>
                <w:color w:val="auto"/>
              </w:rPr>
            </w:pPr>
          </w:p>
        </w:tc>
      </w:tr>
      <w:tr>
        <w:trPr>
          <w:trHeight w:val="21"/>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Cash paid (received) during the period for: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26,517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Unsettled securities purchases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Transfers of loans to foreclosed property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26,854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099"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2012.</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January 2013, the FASB issued Accounting Standards Update No. 2013-01, </w:t>
      </w:r>
      <w:r>
        <w:rPr>
          <w:rFonts w:ascii="Arial" w:cs="Arial" w:eastAsia="Arial" w:hAnsi="Arial"/>
          <w:sz w:val="17"/>
          <w:szCs w:val="17"/>
          <w:i w:val="1"/>
          <w:iCs w:val="1"/>
          <w:color w:val="auto"/>
        </w:rPr>
        <w:t>Clarifying the Scope of Disclosures about Offsetting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This ASU limits the scope of the new balance sheet offsetting disclosures to derivatives, repurchase agreements, and securities lending</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to the extent that they are (1) offset in the financial statements or (2) subject to an enforceable master netting agreement. The disclosure requirements were effective for annual reporting periods beginning on or after January 1, 2013 and interim periods within those annual periods. This guidance did not have a material impact on United’s financial position or results of operations, and resulted in additional disclosures.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2013, the FASB issued Accounting Standards Update No. 2013-02, </w:t>
      </w:r>
      <w:r>
        <w:rPr>
          <w:rFonts w:ascii="Arial" w:cs="Arial" w:eastAsia="Arial" w:hAnsi="Arial"/>
          <w:sz w:val="18"/>
          <w:szCs w:val="18"/>
          <w:i w:val="1"/>
          <w:iCs w:val="1"/>
          <w:color w:val="auto"/>
        </w:rPr>
        <w:t>Reporting of Amounts Reclassified Out of 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The amendments in this update require an entity to provide information about the amounts reclassified out of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by component and by the respective line items of net income. The standard was effective for fiscal years, and interim periods within those years, beginning after December 15, 2012. This guidance did not have a material impact on United’s financial position or results of operations, and resulted in additional disclosures.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July 2013, the FASB issued Accounting Standards Update No. 2013-10, </w:t>
      </w:r>
      <w:r>
        <w:rPr>
          <w:rFonts w:ascii="Arial" w:cs="Arial" w:eastAsia="Arial" w:hAnsi="Arial"/>
          <w:sz w:val="17"/>
          <w:szCs w:val="17"/>
          <w:i w:val="1"/>
          <w:iCs w:val="1"/>
          <w:color w:val="auto"/>
        </w:rPr>
        <w:t>Inclusion of the Fed Funds Effective Swap Rate (or Overnight Index Swap 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 a Benchmark Interest Rate for Hedge Accounting Purposes. </w:t>
      </w:r>
      <w:r>
        <w:rPr>
          <w:rFonts w:ascii="Arial" w:cs="Arial" w:eastAsia="Arial" w:hAnsi="Arial"/>
          <w:sz w:val="17"/>
          <w:szCs w:val="17"/>
          <w:color w:val="auto"/>
        </w:rPr>
        <w:t>The amendments in this update permit the Fed Funds Effective Swap Rate (OIS) to be used as</w:t>
      </w:r>
      <w:r>
        <w:rPr>
          <w:rFonts w:ascii="Arial" w:cs="Arial" w:eastAsia="Arial" w:hAnsi="Arial"/>
          <w:sz w:val="17"/>
          <w:szCs w:val="17"/>
          <w:i w:val="1"/>
          <w:iCs w:val="1"/>
          <w:color w:val="auto"/>
        </w:rPr>
        <w:t xml:space="preserve"> </w:t>
      </w:r>
      <w:r>
        <w:rPr>
          <w:rFonts w:ascii="Arial" w:cs="Arial" w:eastAsia="Arial" w:hAnsi="Arial"/>
          <w:sz w:val="17"/>
          <w:szCs w:val="17"/>
          <w:color w:val="auto"/>
        </w:rPr>
        <w:t>a benchmark interest rate for hedge accounting in addition to UST and LIBOR. The amendments also remove the restriction on using different benchmark rates for similar hedges. The standard is effective prospectively for qualifying new or re-designated hedging relationships entered into on or after July 17, 2013. This guidance did not have a material impact on United’s financial position, results of operations or disclosures.</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July 2013, the FASB issued Accounting Standards Update No. 2013-11, </w:t>
      </w:r>
      <w:r>
        <w:rPr>
          <w:rFonts w:ascii="Arial" w:cs="Arial" w:eastAsia="Arial" w:hAnsi="Arial"/>
          <w:sz w:val="17"/>
          <w:szCs w:val="17"/>
          <w:i w:val="1"/>
          <w:iCs w:val="1"/>
          <w:color w:val="auto"/>
        </w:rPr>
        <w:t>Presentation of an Unrecognized Tax Benefit When a Net Operating 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Carryforward, a Similar Tax Loss, or a Tax Credit Carryforward exists. </w:t>
      </w:r>
      <w:r>
        <w:rPr>
          <w:rFonts w:ascii="Arial" w:cs="Arial" w:eastAsia="Arial" w:hAnsi="Arial"/>
          <w:sz w:val="17"/>
          <w:szCs w:val="17"/>
          <w:color w:val="auto"/>
        </w:rPr>
        <w:t>This ASU provides explicit guidance on the financial statement presentation of an</w:t>
      </w:r>
      <w:r>
        <w:rPr>
          <w:rFonts w:ascii="Arial" w:cs="Arial" w:eastAsia="Arial" w:hAnsi="Arial"/>
          <w:sz w:val="17"/>
          <w:szCs w:val="17"/>
          <w:i w:val="1"/>
          <w:iCs w:val="1"/>
          <w:color w:val="auto"/>
        </w:rPr>
        <w:t xml:space="preserve"> </w:t>
      </w:r>
      <w:r>
        <w:rPr>
          <w:rFonts w:ascii="Arial" w:cs="Arial" w:eastAsia="Arial" w:hAnsi="Arial"/>
          <w:sz w:val="17"/>
          <w:szCs w:val="17"/>
          <w:color w:val="auto"/>
        </w:rPr>
        <w:t>unrecognized tax benefit when a net operating loss carryforward, a similar tax loss, or a tax credit carryforward exists. The amendments in this update are effective for fiscal years, and interim periods within those years, beginning after December 15, 2013. Since United has both unrecognized tax benefits and net operating loss and tax credit carryforwards, this ASU could have an impact on United’s financial position, results of operations or disclosures; however, United does not expect the impact to be material to United’s financial position, results of operations or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Offsetting Assets and Liabilities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also enters into derivative transactions that are subject to master netting arrangements; however there were no offsetting positions with the same counterparty at September 30, 2013, December 31, 2012 or September 30, 2012.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a summary of amounts outstanding under master netting agreements as of September 30, 2013 and December 31, 2012, and September 30,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Gross Amounts not Offset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Amounts of</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Offset on the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2013</w:t>
            </w:r>
          </w:p>
        </w:tc>
        <w:tc>
          <w:tcPr>
            <w:tcW w:w="100" w:type="dxa"/>
            <w:vAlign w:val="bottom"/>
          </w:tcPr>
          <w:p>
            <w:pPr>
              <w:spacing w:after="0"/>
              <w:rPr>
                <w:sz w:val="19"/>
                <w:szCs w:val="19"/>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 Asset</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Financial</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Collateral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Instruments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Received</w:t>
            </w:r>
          </w:p>
        </w:tc>
        <w:tc>
          <w:tcPr>
            <w:tcW w:w="12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Net Amount</w:t>
            </w:r>
          </w:p>
        </w:tc>
        <w:tc>
          <w:tcPr>
            <w:tcW w:w="0" w:type="dxa"/>
            <w:vAlign w:val="bottom"/>
          </w:tcPr>
          <w:p>
            <w:pPr>
              <w:spacing w:after="0"/>
              <w:rPr>
                <w:sz w:val="1"/>
                <w:szCs w:val="1"/>
                <w:color w:val="auto"/>
              </w:rPr>
            </w:pPr>
          </w:p>
        </w:tc>
      </w:tr>
      <w:tr>
        <w:trPr>
          <w:trHeight w:val="418"/>
        </w:trPr>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Repurchase agreements / reverse repurchase</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405,000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8,092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413,092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63,092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63,092</w:t>
            </w:r>
          </w:p>
        </w:tc>
        <w:tc>
          <w:tcPr>
            <w:tcW w:w="0" w:type="dxa"/>
            <w:vAlign w:val="bottom"/>
          </w:tcPr>
          <w:p>
            <w:pPr>
              <w:spacing w:after="0"/>
              <w:rPr>
                <w:sz w:val="1"/>
                <w:szCs w:val="1"/>
                <w:color w:val="auto"/>
              </w:rPr>
            </w:pPr>
          </w:p>
        </w:tc>
      </w:tr>
      <w:tr>
        <w:trPr>
          <w:trHeight w:val="21"/>
        </w:trPr>
        <w:tc>
          <w:tcPr>
            <w:tcW w:w="3840" w:type="dxa"/>
            <w:vAlign w:val="bottom"/>
            <w:vMerge w:val="restart"/>
          </w:tcPr>
          <w:p>
            <w:pPr>
              <w:spacing w:after="0"/>
              <w:rPr>
                <w:sz w:val="20"/>
                <w:szCs w:val="20"/>
                <w:color w:val="auto"/>
              </w:rPr>
            </w:pPr>
            <w:r>
              <w:rPr>
                <w:rFonts w:ascii="Arial" w:cs="Arial" w:eastAsia="Arial" w:hAnsi="Arial"/>
                <w:sz w:val="18"/>
                <w:szCs w:val="18"/>
                <w:color w:val="auto"/>
                <w:w w:val="89"/>
              </w:rPr>
              <w:t>Weighted average interest rate of reverse repurchase</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Gross Amounts not Offset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Amounts of</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Offset on the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Liability</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Financial</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Instruments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Pledged</w:t>
            </w:r>
          </w:p>
        </w:tc>
        <w:tc>
          <w:tcPr>
            <w:tcW w:w="12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Net Amount</w:t>
            </w:r>
          </w:p>
        </w:tc>
        <w:tc>
          <w:tcPr>
            <w:tcW w:w="0" w:type="dxa"/>
            <w:vAlign w:val="bottom"/>
          </w:tcPr>
          <w:p>
            <w:pPr>
              <w:spacing w:after="0"/>
              <w:rPr>
                <w:sz w:val="1"/>
                <w:szCs w:val="1"/>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Repurchase agreements / reverse repurchase</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350,000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37,269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37,269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25,579</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11,690</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387,269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25,579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11,690</w:t>
            </w:r>
          </w:p>
        </w:tc>
        <w:tc>
          <w:tcPr>
            <w:tcW w:w="0" w:type="dxa"/>
            <w:vAlign w:val="bottom"/>
          </w:tcPr>
          <w:p>
            <w:pPr>
              <w:spacing w:after="0"/>
              <w:rPr>
                <w:sz w:val="1"/>
                <w:szCs w:val="1"/>
                <w:color w:val="auto"/>
              </w:rPr>
            </w:pPr>
          </w:p>
        </w:tc>
      </w:tr>
      <w:tr>
        <w:trPr>
          <w:trHeight w:val="21"/>
        </w:trPr>
        <w:tc>
          <w:tcPr>
            <w:tcW w:w="3840" w:type="dxa"/>
            <w:vAlign w:val="bottom"/>
            <w:vMerge w:val="restart"/>
          </w:tcPr>
          <w:p>
            <w:pPr>
              <w:spacing w:after="0"/>
              <w:rPr>
                <w:sz w:val="20"/>
                <w:szCs w:val="20"/>
                <w:color w:val="auto"/>
              </w:rPr>
            </w:pPr>
            <w:r>
              <w:rPr>
                <w:rFonts w:ascii="Arial" w:cs="Arial" w:eastAsia="Arial" w:hAnsi="Arial"/>
                <w:sz w:val="18"/>
                <w:szCs w:val="18"/>
                <w:color w:val="auto"/>
              </w:rPr>
              <w:t>Weighted average interest rate of repurchase</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Gross Amounts not Offset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Amounts of</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Offset on the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100" w:type="dxa"/>
            <w:vAlign w:val="bottom"/>
          </w:tcPr>
          <w:p>
            <w:pPr>
              <w:spacing w:after="0"/>
              <w:rPr>
                <w:sz w:val="19"/>
                <w:szCs w:val="19"/>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 Asset</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Financial</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Collateral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Instruments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Received</w:t>
            </w:r>
          </w:p>
        </w:tc>
        <w:tc>
          <w:tcPr>
            <w:tcW w:w="12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Net Amount</w:t>
            </w:r>
          </w:p>
        </w:tc>
        <w:tc>
          <w:tcPr>
            <w:tcW w:w="0" w:type="dxa"/>
            <w:vAlign w:val="bottom"/>
          </w:tcPr>
          <w:p>
            <w:pPr>
              <w:spacing w:after="0"/>
              <w:rPr>
                <w:sz w:val="1"/>
                <w:szCs w:val="1"/>
                <w:color w:val="auto"/>
              </w:rPr>
            </w:pPr>
          </w:p>
        </w:tc>
      </w:tr>
      <w:tr>
        <w:trPr>
          <w:trHeight w:val="418"/>
        </w:trPr>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Repurchase agreements / reverse repurchase</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325,000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Securities lending transactions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375,658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(315,000)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60,658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60,658</w:t>
            </w:r>
          </w:p>
        </w:tc>
        <w:tc>
          <w:tcPr>
            <w:tcW w:w="0" w:type="dxa"/>
            <w:vAlign w:val="bottom"/>
          </w:tcPr>
          <w:p>
            <w:pPr>
              <w:spacing w:after="0"/>
              <w:rPr>
                <w:sz w:val="1"/>
                <w:szCs w:val="1"/>
                <w:color w:val="auto"/>
              </w:rPr>
            </w:pPr>
          </w:p>
        </w:tc>
      </w:tr>
      <w:tr>
        <w:trPr>
          <w:trHeight w:val="21"/>
        </w:trPr>
        <w:tc>
          <w:tcPr>
            <w:tcW w:w="3840" w:type="dxa"/>
            <w:vAlign w:val="bottom"/>
            <w:vMerge w:val="restart"/>
          </w:tcPr>
          <w:p>
            <w:pPr>
              <w:spacing w:after="0"/>
              <w:rPr>
                <w:sz w:val="20"/>
                <w:szCs w:val="20"/>
                <w:color w:val="auto"/>
              </w:rPr>
            </w:pPr>
            <w:r>
              <w:rPr>
                <w:rFonts w:ascii="Arial" w:cs="Arial" w:eastAsia="Arial" w:hAnsi="Arial"/>
                <w:sz w:val="18"/>
                <w:szCs w:val="18"/>
                <w:color w:val="auto"/>
                <w:w w:val="89"/>
              </w:rPr>
              <w:t>Weighted average interest rate of reverse repurchase</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Gross Amounts not Offset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Amounts of</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Offset on the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Liability</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Financial</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Instruments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Pledged</w:t>
            </w:r>
          </w:p>
        </w:tc>
        <w:tc>
          <w:tcPr>
            <w:tcW w:w="12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Net Amount</w:t>
            </w:r>
          </w:p>
        </w:tc>
        <w:tc>
          <w:tcPr>
            <w:tcW w:w="0" w:type="dxa"/>
            <w:vAlign w:val="bottom"/>
          </w:tcPr>
          <w:p>
            <w:pPr>
              <w:spacing w:after="0"/>
              <w:rPr>
                <w:sz w:val="1"/>
                <w:szCs w:val="1"/>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Repurchase agreements / reverse repurchase</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265,000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Securities lending transactions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327,543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(315,000)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
        </w:trPr>
        <w:tc>
          <w:tcPr>
            <w:tcW w:w="3840" w:type="dxa"/>
            <w:vAlign w:val="bottom"/>
            <w:vMerge w:val="restart"/>
          </w:tcPr>
          <w:p>
            <w:pPr>
              <w:spacing w:after="0"/>
              <w:rPr>
                <w:sz w:val="20"/>
                <w:szCs w:val="20"/>
                <w:color w:val="auto"/>
              </w:rPr>
            </w:pPr>
            <w:r>
              <w:rPr>
                <w:rFonts w:ascii="Arial" w:cs="Arial" w:eastAsia="Arial" w:hAnsi="Arial"/>
                <w:sz w:val="18"/>
                <w:szCs w:val="18"/>
                <w:color w:val="auto"/>
              </w:rPr>
              <w:t>Weighted average interest rate of repurchase</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Gross Amounts not Offset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Amounts of</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Offset on the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2012</w:t>
            </w:r>
          </w:p>
        </w:tc>
        <w:tc>
          <w:tcPr>
            <w:tcW w:w="100" w:type="dxa"/>
            <w:vAlign w:val="bottom"/>
          </w:tcPr>
          <w:p>
            <w:pPr>
              <w:spacing w:after="0"/>
              <w:rPr>
                <w:sz w:val="19"/>
                <w:szCs w:val="19"/>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 Asset</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Financial</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Collateral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Instruments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Received</w:t>
            </w:r>
          </w:p>
        </w:tc>
        <w:tc>
          <w:tcPr>
            <w:tcW w:w="12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Net Amount</w:t>
            </w:r>
          </w:p>
        </w:tc>
        <w:tc>
          <w:tcPr>
            <w:tcW w:w="0" w:type="dxa"/>
            <w:vAlign w:val="bottom"/>
          </w:tcPr>
          <w:p>
            <w:pPr>
              <w:spacing w:after="0"/>
              <w:rPr>
                <w:sz w:val="1"/>
                <w:szCs w:val="1"/>
                <w:color w:val="auto"/>
              </w:rPr>
            </w:pPr>
          </w:p>
        </w:tc>
      </w:tr>
      <w:tr>
        <w:trPr>
          <w:trHeight w:val="418"/>
        </w:trPr>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Repurchase agreements / reverse repurchase</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270,000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Securities lending transactions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Derivatives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370,778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45,778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45,778</w:t>
            </w:r>
          </w:p>
        </w:tc>
        <w:tc>
          <w:tcPr>
            <w:tcW w:w="0" w:type="dxa"/>
            <w:vAlign w:val="bottom"/>
          </w:tcPr>
          <w:p>
            <w:pPr>
              <w:spacing w:after="0"/>
              <w:rPr>
                <w:sz w:val="1"/>
                <w:szCs w:val="1"/>
                <w:color w:val="auto"/>
              </w:rPr>
            </w:pPr>
          </w:p>
        </w:tc>
      </w:tr>
      <w:tr>
        <w:trPr>
          <w:trHeight w:val="21"/>
        </w:trPr>
        <w:tc>
          <w:tcPr>
            <w:tcW w:w="3860" w:type="dxa"/>
            <w:vAlign w:val="bottom"/>
            <w:vMerge w:val="restart"/>
          </w:tcPr>
          <w:p>
            <w:pPr>
              <w:spacing w:after="0"/>
              <w:rPr>
                <w:sz w:val="20"/>
                <w:szCs w:val="20"/>
                <w:color w:val="auto"/>
              </w:rPr>
            </w:pPr>
            <w:r>
              <w:rPr>
                <w:rFonts w:ascii="Arial" w:cs="Arial" w:eastAsia="Arial" w:hAnsi="Arial"/>
                <w:sz w:val="18"/>
                <w:szCs w:val="18"/>
                <w:color w:val="auto"/>
                <w:w w:val="90"/>
              </w:rPr>
              <w:t>Weighted average interest rate of reverse repurchase</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Gross Amounts not Offset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Amounts of</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Offset on the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in the Balance Sheet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4"/>
              </w:rPr>
              <w:t>Financial</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Liabilities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Instruments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5"/>
              </w:rPr>
              <w:t>Pledged</w:t>
            </w:r>
          </w:p>
        </w:tc>
        <w:tc>
          <w:tcPr>
            <w:tcW w:w="12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Net Amount</w:t>
            </w:r>
          </w:p>
        </w:tc>
        <w:tc>
          <w:tcPr>
            <w:tcW w:w="0" w:type="dxa"/>
            <w:vAlign w:val="bottom"/>
          </w:tcPr>
          <w:p>
            <w:pPr>
              <w:spacing w:after="0"/>
              <w:rPr>
                <w:sz w:val="1"/>
                <w:szCs w:val="1"/>
                <w:color w:val="auto"/>
              </w:rPr>
            </w:pP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Repurchase agreements / reverse repurchase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225,000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Securities lending transactions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Derivatives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10,363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11,126</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335,363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10,363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11,126</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
        </w:trPr>
        <w:tc>
          <w:tcPr>
            <w:tcW w:w="3860" w:type="dxa"/>
            <w:vAlign w:val="bottom"/>
            <w:vMerge w:val="restart"/>
          </w:tcPr>
          <w:p>
            <w:pPr>
              <w:spacing w:after="0"/>
              <w:rPr>
                <w:sz w:val="20"/>
                <w:szCs w:val="20"/>
                <w:color w:val="auto"/>
              </w:rPr>
            </w:pPr>
            <w:r>
              <w:rPr>
                <w:rFonts w:ascii="Arial" w:cs="Arial" w:eastAsia="Arial" w:hAnsi="Arial"/>
                <w:sz w:val="18"/>
                <w:szCs w:val="18"/>
                <w:color w:val="auto"/>
              </w:rPr>
              <w:t>Weighted average interest rate of repurchase</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38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jc w:val="right"/>
              <w:ind w:right="5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 and nine month periods ended September 30,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right"/>
              <w:ind w:right="65"/>
              <w:spacing w:after="0"/>
              <w:rPr>
                <w:sz w:val="20"/>
                <w:szCs w:val="20"/>
                <w:color w:val="auto"/>
              </w:rPr>
            </w:pPr>
            <w:r>
              <w:rPr>
                <w:rFonts w:ascii="Arial" w:cs="Arial" w:eastAsia="Arial" w:hAnsi="Arial"/>
                <w:sz w:val="18"/>
                <w:szCs w:val="18"/>
                <w:b w:val="1"/>
                <w:bCs w:val="1"/>
                <w:color w:val="auto"/>
                <w:w w:val="98"/>
              </w:rPr>
              <w:t>Three Months Ended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6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Proceeds from sales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371,103</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8"/>
                <w:szCs w:val="18"/>
                <w:color w:val="auto"/>
              </w:rPr>
              <w:t>Gross gains on sales</w:t>
            </w: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5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116</w:t>
            </w:r>
          </w:p>
        </w:tc>
        <w:tc>
          <w:tcPr>
            <w:tcW w:w="100" w:type="dxa"/>
            <w:vAlign w:val="bottom"/>
            <w:vMerge w:val="continue"/>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Gross losses on sales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Net gains on sales of securities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8"/>
                <w:szCs w:val="18"/>
                <w:color w:val="auto"/>
              </w:rPr>
              <w:t>Income tax expense attributable to sales</w:t>
            </w: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with a carrying value of $1.34 billion, $1.40 billion, and $1.28 billion were pledged to secure public deposits and other secured borrowings at September 30, 2013, December 31, 2012 and September 30, 2012, respectively. Substantial borrowing capacity remains available under borrowing arrangements with the Federal Home Loan Bank of Atlanta (“FHLB”) with currently pledged securities.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are classified as held-to-maturity when management has the positive intent and ability to hold them until maturity. Securities held-to-maturity are carried at amortized cost.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amortized cost, gross unrealized gains and losses and fair value of securities held-to-maturity at September 30, 2013, December 31, 2012 and September 30,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Amortized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94"/>
        </w:trPr>
        <w:tc>
          <w:tcPr>
            <w:tcW w:w="190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color w:val="auto"/>
                <w:w w:val="89"/>
              </w:rPr>
              <w:t>As of September 30, 2013</w:t>
            </w:r>
          </w:p>
        </w:tc>
        <w:tc>
          <w:tcPr>
            <w:tcW w:w="4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110"/>
              <w:spacing w:after="0" w:line="194" w:lineRule="exact"/>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30"/>
              <w:spacing w:after="0" w:line="194" w:lineRule="exact"/>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8"/>
        </w:trPr>
        <w:tc>
          <w:tcPr>
            <w:tcW w:w="6540" w:type="dxa"/>
            <w:vAlign w:val="bottom"/>
            <w:gridSpan w:val="3"/>
            <w:vMerge w:val="restart"/>
          </w:tcPr>
          <w:p>
            <w:pPr>
              <w:ind w:left="34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51,745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2,723</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54,415</w:t>
            </w:r>
          </w:p>
        </w:tc>
        <w:tc>
          <w:tcPr>
            <w:tcW w:w="0" w:type="dxa"/>
            <w:vAlign w:val="bottom"/>
          </w:tcPr>
          <w:p>
            <w:pPr>
              <w:spacing w:after="0"/>
              <w:rPr>
                <w:sz w:val="1"/>
                <w:szCs w:val="1"/>
                <w:color w:val="auto"/>
              </w:rPr>
            </w:pPr>
          </w:p>
        </w:tc>
      </w:tr>
      <w:tr>
        <w:trPr>
          <w:trHeight w:val="237"/>
        </w:trPr>
        <w:tc>
          <w:tcPr>
            <w:tcW w:w="6540" w:type="dxa"/>
            <w:vAlign w:val="bottom"/>
            <w:gridSpan w:val="3"/>
          </w:tcPr>
          <w:p>
            <w:pPr>
              <w:ind w:left="340"/>
              <w:spacing w:after="0" w:line="230"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153,868</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6,767</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160,236</w:t>
            </w:r>
          </w:p>
        </w:tc>
        <w:tc>
          <w:tcPr>
            <w:tcW w:w="0" w:type="dxa"/>
            <w:vAlign w:val="bottom"/>
          </w:tcPr>
          <w:p>
            <w:pPr>
              <w:spacing w:after="0"/>
              <w:rPr>
                <w:sz w:val="1"/>
                <w:szCs w:val="1"/>
                <w:color w:val="auto"/>
              </w:rPr>
            </w:pPr>
          </w:p>
        </w:tc>
      </w:tr>
      <w:tr>
        <w:trPr>
          <w:trHeight w:val="216"/>
        </w:trPr>
        <w:tc>
          <w:tcPr>
            <w:tcW w:w="654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205,613</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214,651</w:t>
            </w:r>
          </w:p>
        </w:tc>
        <w:tc>
          <w:tcPr>
            <w:tcW w:w="0" w:type="dxa"/>
            <w:vAlign w:val="bottom"/>
          </w:tcPr>
          <w:p>
            <w:pPr>
              <w:spacing w:after="0"/>
              <w:rPr>
                <w:sz w:val="1"/>
                <w:szCs w:val="1"/>
                <w:color w:val="auto"/>
              </w:rPr>
            </w:pPr>
          </w:p>
        </w:tc>
      </w:tr>
      <w:tr>
        <w:trPr>
          <w:trHeight w:val="21"/>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2012</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5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3"/>
          </w:tcPr>
          <w:p>
            <w:pPr>
              <w:ind w:left="3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51,780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57,266</w:t>
            </w:r>
          </w:p>
        </w:tc>
        <w:tc>
          <w:tcPr>
            <w:tcW w:w="0" w:type="dxa"/>
            <w:vAlign w:val="bottom"/>
          </w:tcPr>
          <w:p>
            <w:pPr>
              <w:spacing w:after="0"/>
              <w:rPr>
                <w:sz w:val="1"/>
                <w:szCs w:val="1"/>
                <w:color w:val="auto"/>
              </w:rPr>
            </w:pPr>
          </w:p>
        </w:tc>
      </w:tr>
      <w:tr>
        <w:trPr>
          <w:trHeight w:val="237"/>
        </w:trPr>
        <w:tc>
          <w:tcPr>
            <w:tcW w:w="6540" w:type="dxa"/>
            <w:vAlign w:val="bottom"/>
            <w:gridSpan w:val="3"/>
          </w:tcPr>
          <w:p>
            <w:pPr>
              <w:ind w:left="340"/>
              <w:spacing w:after="0" w:line="230" w:lineRule="exact"/>
              <w:rPr>
                <w:sz w:val="20"/>
                <w:szCs w:val="20"/>
                <w:color w:val="auto"/>
              </w:rPr>
            </w:pPr>
            <w:r>
              <w:rPr>
                <w:rFonts w:ascii="Arial" w:cs="Arial" w:eastAsia="Arial" w:hAnsi="Arial"/>
                <w:sz w:val="18"/>
                <w:szCs w:val="18"/>
                <w:color w:val="auto"/>
              </w:rPr>
              <w:t>Mortgage-backed securities</w:t>
            </w:r>
            <w:r>
              <w:rPr>
                <w:rFonts w:ascii="Arial" w:cs="Arial" w:eastAsia="Arial" w:hAnsi="Arial"/>
                <w:sz w:val="25"/>
                <w:szCs w:val="25"/>
                <w:color w:val="auto"/>
                <w:vertAlign w:val="superscript"/>
              </w:rPr>
              <w:t>(1)</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192,404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11,461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203,865</w:t>
            </w:r>
          </w:p>
        </w:tc>
        <w:tc>
          <w:tcPr>
            <w:tcW w:w="0" w:type="dxa"/>
            <w:vAlign w:val="bottom"/>
          </w:tcPr>
          <w:p>
            <w:pPr>
              <w:spacing w:after="0"/>
              <w:rPr>
                <w:sz w:val="1"/>
                <w:szCs w:val="1"/>
                <w:color w:val="auto"/>
              </w:rPr>
            </w:pPr>
          </w:p>
        </w:tc>
      </w:tr>
      <w:tr>
        <w:trPr>
          <w:trHeight w:val="216"/>
        </w:trPr>
        <w:tc>
          <w:tcPr>
            <w:tcW w:w="654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244,184</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16,947</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261,131</w:t>
            </w:r>
          </w:p>
        </w:tc>
        <w:tc>
          <w:tcPr>
            <w:tcW w:w="0" w:type="dxa"/>
            <w:vAlign w:val="bottom"/>
          </w:tcPr>
          <w:p>
            <w:pPr>
              <w:spacing w:after="0"/>
              <w:rPr>
                <w:sz w:val="1"/>
                <w:szCs w:val="1"/>
                <w:color w:val="auto"/>
              </w:rPr>
            </w:pPr>
          </w:p>
        </w:tc>
      </w:tr>
      <w:tr>
        <w:trPr>
          <w:trHeight w:val="21"/>
        </w:trPr>
        <w:tc>
          <w:tcPr>
            <w:tcW w:w="1900" w:type="dxa"/>
            <w:vAlign w:val="bottom"/>
            <w:gridSpan w:val="2"/>
            <w:vMerge w:val="restart"/>
          </w:tcPr>
          <w:p>
            <w:pPr>
              <w:spacing w:after="0"/>
              <w:rPr>
                <w:sz w:val="20"/>
                <w:szCs w:val="20"/>
                <w:color w:val="auto"/>
              </w:rPr>
            </w:pPr>
            <w:r>
              <w:rPr>
                <w:rFonts w:ascii="Arial" w:cs="Arial" w:eastAsia="Arial" w:hAnsi="Arial"/>
                <w:sz w:val="18"/>
                <w:szCs w:val="18"/>
                <w:color w:val="auto"/>
                <w:w w:val="89"/>
              </w:rPr>
              <w:t>As of September 30, 2012</w:t>
            </w:r>
          </w:p>
        </w:tc>
        <w:tc>
          <w:tcPr>
            <w:tcW w:w="46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1900" w:type="dxa"/>
            <w:vAlign w:val="bottom"/>
            <w:tcBorders>
              <w:bottom w:val="single" w:sz="8" w:color="auto"/>
            </w:tcBorders>
            <w:gridSpan w:val="2"/>
            <w:vMerge w:val="continue"/>
          </w:tcPr>
          <w:p>
            <w:pPr>
              <w:spacing w:after="0"/>
              <w:rPr>
                <w:sz w:val="24"/>
                <w:szCs w:val="24"/>
                <w:color w:val="auto"/>
              </w:rPr>
            </w:pPr>
          </w:p>
        </w:tc>
        <w:tc>
          <w:tcPr>
            <w:tcW w:w="4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540" w:type="dxa"/>
            <w:vAlign w:val="bottom"/>
            <w:gridSpan w:val="3"/>
          </w:tcPr>
          <w:p>
            <w:pPr>
              <w:ind w:left="3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51,790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57,585</w:t>
            </w:r>
          </w:p>
        </w:tc>
        <w:tc>
          <w:tcPr>
            <w:tcW w:w="0" w:type="dxa"/>
            <w:vAlign w:val="bottom"/>
          </w:tcPr>
          <w:p>
            <w:pPr>
              <w:spacing w:after="0"/>
              <w:rPr>
                <w:sz w:val="1"/>
                <w:szCs w:val="1"/>
                <w:color w:val="auto"/>
              </w:rPr>
            </w:pPr>
          </w:p>
        </w:tc>
      </w:tr>
      <w:tr>
        <w:trPr>
          <w:trHeight w:val="237"/>
        </w:trPr>
        <w:tc>
          <w:tcPr>
            <w:tcW w:w="6540" w:type="dxa"/>
            <w:vAlign w:val="bottom"/>
            <w:gridSpan w:val="3"/>
          </w:tcPr>
          <w:p>
            <w:pPr>
              <w:ind w:left="340"/>
              <w:spacing w:after="0" w:line="230" w:lineRule="exact"/>
              <w:rPr>
                <w:sz w:val="20"/>
                <w:szCs w:val="20"/>
                <w:color w:val="auto"/>
              </w:rPr>
            </w:pPr>
            <w:r>
              <w:rPr>
                <w:rFonts w:ascii="Arial" w:cs="Arial" w:eastAsia="Arial" w:hAnsi="Arial"/>
                <w:sz w:val="18"/>
                <w:szCs w:val="18"/>
                <w:color w:val="auto"/>
              </w:rPr>
              <w:t>Mortgage-backed securities</w:t>
            </w:r>
            <w:r>
              <w:rPr>
                <w:rFonts w:ascii="Arial" w:cs="Arial" w:eastAsia="Arial" w:hAnsi="Arial"/>
                <w:sz w:val="25"/>
                <w:szCs w:val="25"/>
                <w:color w:val="auto"/>
                <w:vertAlign w:val="superscript"/>
              </w:rPr>
              <w:t>(1)</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210,858</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12,893</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223,751</w:t>
            </w:r>
          </w:p>
        </w:tc>
        <w:tc>
          <w:tcPr>
            <w:tcW w:w="0" w:type="dxa"/>
            <w:vAlign w:val="bottom"/>
          </w:tcPr>
          <w:p>
            <w:pPr>
              <w:spacing w:after="0"/>
              <w:rPr>
                <w:sz w:val="1"/>
                <w:szCs w:val="1"/>
                <w:color w:val="auto"/>
              </w:rPr>
            </w:pPr>
          </w:p>
        </w:tc>
      </w:tr>
      <w:tr>
        <w:trPr>
          <w:trHeight w:val="216"/>
        </w:trPr>
        <w:tc>
          <w:tcPr>
            <w:tcW w:w="654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262,648</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18,688</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281,336</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All are residential type mortgage-backed securities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available-for-sale at September 30, 2013, December 31, 2012 and September 30, 2012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Amortized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94"/>
        </w:trPr>
        <w:tc>
          <w:tcPr>
            <w:tcW w:w="5400" w:type="dxa"/>
            <w:vAlign w:val="bottom"/>
            <w:gridSpan w:val="2"/>
          </w:tcPr>
          <w:p>
            <w:pPr>
              <w:spacing w:after="0" w:line="194" w:lineRule="exact"/>
              <w:rPr>
                <w:sz w:val="20"/>
                <w:szCs w:val="20"/>
                <w:color w:val="auto"/>
              </w:rPr>
            </w:pPr>
            <w:r>
              <w:rPr>
                <w:rFonts w:ascii="Arial" w:cs="Arial" w:eastAsia="Arial" w:hAnsi="Arial"/>
                <w:sz w:val="18"/>
                <w:szCs w:val="18"/>
                <w:color w:val="auto"/>
              </w:rPr>
              <w:t>As of September 30, 2013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10"/>
              <w:spacing w:after="0" w:line="194" w:lineRule="exact"/>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110"/>
              <w:spacing w:after="0" w:line="194" w:lineRule="exact"/>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
        </w:trPr>
        <w:tc>
          <w:tcPr>
            <w:tcW w:w="1880" w:type="dxa"/>
            <w:vAlign w:val="bottom"/>
            <w:tcBorders>
              <w:right w:val="single" w:sz="8" w:color="auto"/>
            </w:tcBorders>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5400" w:type="dxa"/>
            <w:vAlign w:val="bottom"/>
            <w:gridSpan w:val="2"/>
            <w:vMerge w:val="restart"/>
          </w:tcPr>
          <w:p>
            <w:pPr>
              <w:ind w:left="36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4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22,781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893</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150</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1,390,280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1,383,317</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255,391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246,951</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306,961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307,238</w:t>
            </w:r>
          </w:p>
        </w:tc>
        <w:tc>
          <w:tcPr>
            <w:tcW w:w="0" w:type="dxa"/>
            <w:vAlign w:val="bottom"/>
          </w:tcPr>
          <w:p>
            <w:pPr>
              <w:spacing w:after="0"/>
              <w:rPr>
                <w:sz w:val="1"/>
                <w:szCs w:val="1"/>
                <w:color w:val="auto"/>
              </w:rPr>
            </w:pPr>
          </w:p>
        </w:tc>
      </w:tr>
      <w:tr>
        <w:trPr>
          <w:trHeight w:val="237"/>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540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1,977,807</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18,134</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1,963,424</w:t>
            </w:r>
          </w:p>
        </w:tc>
        <w:tc>
          <w:tcPr>
            <w:tcW w:w="0" w:type="dxa"/>
            <w:vAlign w:val="bottom"/>
          </w:tcPr>
          <w:p>
            <w:pPr>
              <w:spacing w:after="0"/>
              <w:rPr>
                <w:sz w:val="1"/>
                <w:szCs w:val="1"/>
                <w:color w:val="auto"/>
              </w:rPr>
            </w:pPr>
          </w:p>
        </w:tc>
      </w:tr>
      <w:tr>
        <w:trPr>
          <w:trHeight w:val="21"/>
        </w:trPr>
        <w:tc>
          <w:tcPr>
            <w:tcW w:w="1880" w:type="dxa"/>
            <w:vAlign w:val="bottom"/>
            <w:vMerge w:val="restart"/>
          </w:tcPr>
          <w:p>
            <w:pPr>
              <w:spacing w:after="0"/>
              <w:rPr>
                <w:sz w:val="20"/>
                <w:szCs w:val="20"/>
                <w:color w:val="auto"/>
              </w:rPr>
            </w:pPr>
            <w:r>
              <w:rPr>
                <w:rFonts w:ascii="Arial" w:cs="Arial" w:eastAsia="Arial" w:hAnsi="Arial"/>
                <w:sz w:val="18"/>
                <w:szCs w:val="18"/>
                <w:color w:val="auto"/>
                <w:w w:val="90"/>
              </w:rPr>
              <w:t>As of December 31, 2012</w:t>
            </w:r>
          </w:p>
        </w:tc>
        <w:tc>
          <w:tcPr>
            <w:tcW w:w="35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1880" w:type="dxa"/>
            <w:vAlign w:val="bottom"/>
            <w:tcBorders>
              <w:bottom w:val="single" w:sz="8" w:color="auto"/>
            </w:tcBorders>
            <w:vMerge w:val="continue"/>
          </w:tcPr>
          <w:p>
            <w:pPr>
              <w:spacing w:after="0"/>
              <w:rPr>
                <w:sz w:val="24"/>
                <w:szCs w:val="24"/>
                <w:color w:val="auto"/>
              </w:rPr>
            </w:pPr>
          </w:p>
        </w:tc>
        <w:tc>
          <w:tcPr>
            <w:tcW w:w="3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27,717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1,408,042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22,552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1,428,502</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169,783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163,662</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209,411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210,556</w:t>
            </w:r>
          </w:p>
        </w:tc>
        <w:tc>
          <w:tcPr>
            <w:tcW w:w="0" w:type="dxa"/>
            <w:vAlign w:val="bottom"/>
          </w:tcPr>
          <w:p>
            <w:pPr>
              <w:spacing w:after="0"/>
              <w:rPr>
                <w:sz w:val="1"/>
                <w:szCs w:val="1"/>
                <w:color w:val="auto"/>
              </w:rPr>
            </w:pPr>
          </w:p>
        </w:tc>
      </w:tr>
      <w:tr>
        <w:trPr>
          <w:trHeight w:val="237"/>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540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1,817,774</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26,852</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1,834,593</w:t>
            </w:r>
          </w:p>
        </w:tc>
        <w:tc>
          <w:tcPr>
            <w:tcW w:w="0" w:type="dxa"/>
            <w:vAlign w:val="bottom"/>
          </w:tcPr>
          <w:p>
            <w:pPr>
              <w:spacing w:after="0"/>
              <w:rPr>
                <w:sz w:val="1"/>
                <w:szCs w:val="1"/>
                <w:color w:val="auto"/>
              </w:rPr>
            </w:pPr>
          </w:p>
        </w:tc>
      </w:tr>
      <w:tr>
        <w:trPr>
          <w:trHeight w:val="21"/>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As of September 30, 2012</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tcBorders>
              <w:right w:val="single" w:sz="8" w:color="auto"/>
            </w:tcBorders>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28,878</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1,356,002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27,689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1,382,940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143,152</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204,429</w:t>
            </w:r>
          </w:p>
        </w:tc>
        <w:tc>
          <w:tcPr>
            <w:tcW w:w="0" w:type="dxa"/>
            <w:vAlign w:val="bottom"/>
          </w:tcPr>
          <w:p>
            <w:pPr>
              <w:spacing w:after="0"/>
              <w:rPr>
                <w:sz w:val="1"/>
                <w:szCs w:val="1"/>
                <w:color w:val="auto"/>
              </w:rPr>
            </w:pPr>
          </w:p>
        </w:tc>
      </w:tr>
      <w:tr>
        <w:trPr>
          <w:trHeight w:val="237"/>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2,595</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540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1,738,837</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30,330</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1,761,994</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860" w:hanging="278"/>
        <w:spacing w:after="0"/>
        <w:tabs>
          <w:tab w:leader="none" w:pos="8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All are residential type mortgage-backed securities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held-to-maturity securities in an unrealized loss position as of September 30, 2013 (</w:t>
      </w:r>
      <w:r>
        <w:rPr>
          <w:rFonts w:ascii="Arial" w:cs="Arial" w:eastAsia="Arial" w:hAnsi="Arial"/>
          <w:sz w:val="18"/>
          <w:szCs w:val="18"/>
          <w:i w:val="1"/>
          <w:iCs w:val="1"/>
          <w:color w:val="auto"/>
        </w:rPr>
        <w:t>thousands)</w:t>
      </w:r>
      <w:r>
        <w:rPr>
          <w:rFonts w:ascii="Arial" w:cs="Arial" w:eastAsia="Arial" w:hAnsi="Arial"/>
          <w:sz w:val="18"/>
          <w:szCs w:val="18"/>
          <w:color w:val="auto"/>
        </w:rPr>
        <w:t>. As of December 31, 2012 and September 30, 2012, there were no held-to-maturity securities in an unrealized loss position.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tcPr>
          <w:p>
            <w:pPr>
              <w:spacing w:after="0"/>
              <w:rPr>
                <w:sz w:val="20"/>
                <w:szCs w:val="20"/>
                <w:color w:val="auto"/>
              </w:rPr>
            </w:pPr>
          </w:p>
        </w:tc>
      </w:tr>
      <w:tr>
        <w:trPr>
          <w:trHeight w:val="198"/>
        </w:trPr>
        <w:tc>
          <w:tcPr>
            <w:tcW w:w="1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r>
      <w:tr>
        <w:trPr>
          <w:trHeight w:val="194"/>
        </w:trPr>
        <w:tc>
          <w:tcPr>
            <w:tcW w:w="3180" w:type="dxa"/>
            <w:vAlign w:val="bottom"/>
            <w:gridSpan w:val="2"/>
          </w:tcPr>
          <w:p>
            <w:pPr>
              <w:spacing w:after="0" w:line="194" w:lineRule="exact"/>
              <w:rPr>
                <w:sz w:val="20"/>
                <w:szCs w:val="20"/>
                <w:color w:val="auto"/>
              </w:rPr>
            </w:pPr>
            <w:r>
              <w:rPr>
                <w:rFonts w:ascii="Arial" w:cs="Arial" w:eastAsia="Arial" w:hAnsi="Arial"/>
                <w:sz w:val="18"/>
                <w:szCs w:val="18"/>
                <w:color w:val="auto"/>
              </w:rPr>
              <w:t>As of September 30, 2013</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Loss</w:t>
            </w:r>
          </w:p>
        </w:tc>
      </w:tr>
      <w:tr>
        <w:trPr>
          <w:trHeight w:val="28"/>
        </w:trPr>
        <w:tc>
          <w:tcPr>
            <w:tcW w:w="1900" w:type="dxa"/>
            <w:vAlign w:val="bottom"/>
            <w:tcBorders>
              <w:top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418"/>
        </w:trPr>
        <w:tc>
          <w:tcPr>
            <w:tcW w:w="31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31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8,009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r>
      <w:tr>
        <w:trPr>
          <w:trHeight w:val="216"/>
        </w:trPr>
        <w:tc>
          <w:tcPr>
            <w:tcW w:w="3180" w:type="dxa"/>
            <w:vAlign w:val="bottom"/>
            <w:gridSpan w:val="2"/>
          </w:tcPr>
          <w:p>
            <w:pPr>
              <w:ind w:left="220"/>
              <w:spacing w:after="0"/>
              <w:rPr>
                <w:sz w:val="20"/>
                <w:szCs w:val="20"/>
                <w:color w:val="auto"/>
              </w:rPr>
            </w:pPr>
            <w:r>
              <w:rPr>
                <w:rFonts w:ascii="Arial" w:cs="Arial" w:eastAsia="Arial" w:hAnsi="Arial"/>
                <w:sz w:val="18"/>
                <w:szCs w:val="18"/>
                <w:color w:val="auto"/>
              </w:rPr>
              <w:t>Total unrealized loss position</w:t>
            </w:r>
          </w:p>
        </w:tc>
        <w:tc>
          <w:tcPr>
            <w:tcW w:w="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12,834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12,834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r>
      <w:tr>
        <w:trPr>
          <w:trHeight w:val="21"/>
        </w:trPr>
        <w:tc>
          <w:tcPr>
            <w:tcW w:w="1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69"/>
        </w:trPr>
        <w:tc>
          <w:tcPr>
            <w:tcW w:w="1900" w:type="dxa"/>
            <w:vAlign w:val="bottom"/>
            <w:tcBorders>
              <w:bottom w:val="single" w:sz="8" w:color="DCDCDC"/>
            </w:tcBorders>
          </w:tcPr>
          <w:p>
            <w:pPr>
              <w:spacing w:after="0"/>
              <w:rPr>
                <w:sz w:val="24"/>
                <w:szCs w:val="24"/>
                <w:color w:val="auto"/>
              </w:rPr>
            </w:pPr>
          </w:p>
        </w:tc>
        <w:tc>
          <w:tcPr>
            <w:tcW w:w="128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jc w:val="right"/>
              <w:ind w:right="5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September 30, 2013, December 31, 2012 and September 30,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4"/>
        </w:trPr>
        <w:tc>
          <w:tcPr>
            <w:tcW w:w="4020" w:type="dxa"/>
            <w:vAlign w:val="bottom"/>
            <w:gridSpan w:val="3"/>
          </w:tcPr>
          <w:p>
            <w:pPr>
              <w:spacing w:after="0" w:line="194" w:lineRule="exact"/>
              <w:rPr>
                <w:sz w:val="20"/>
                <w:szCs w:val="20"/>
                <w:color w:val="auto"/>
              </w:rPr>
            </w:pPr>
            <w:r>
              <w:rPr>
                <w:rFonts w:ascii="Arial" w:cs="Arial" w:eastAsia="Arial" w:hAnsi="Arial"/>
                <w:sz w:val="18"/>
                <w:szCs w:val="18"/>
                <w:color w:val="auto"/>
              </w:rPr>
              <w:t>As of September 30, 2013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8"/>
        </w:trPr>
        <w:tc>
          <w:tcPr>
            <w:tcW w:w="18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40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533,681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634,215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21,432</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115,511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53,042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9,376</w:t>
            </w: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79,015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56,181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135,196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4020" w:type="dxa"/>
            <w:vAlign w:val="bottom"/>
            <w:gridSpan w:val="3"/>
          </w:tcPr>
          <w:p>
            <w:pPr>
              <w:ind w:left="220"/>
              <w:spacing w:after="0"/>
              <w:rPr>
                <w:sz w:val="20"/>
                <w:szCs w:val="20"/>
                <w:color w:val="auto"/>
              </w:rPr>
            </w:pPr>
            <w:r>
              <w:rPr>
                <w:rFonts w:ascii="Arial" w:cs="Arial" w:eastAsia="Arial" w:hAnsi="Arial"/>
                <w:sz w:val="18"/>
                <w:szCs w:val="18"/>
                <w:color w:val="auto"/>
              </w:rPr>
              <w:t>Total unrealized loss position</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732,740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25,438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209,767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942,507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32,517</w:t>
            </w:r>
          </w:p>
        </w:tc>
        <w:tc>
          <w:tcPr>
            <w:tcW w:w="0" w:type="dxa"/>
            <w:vAlign w:val="bottom"/>
          </w:tcPr>
          <w:p>
            <w:pPr>
              <w:spacing w:after="0"/>
              <w:rPr>
                <w:sz w:val="1"/>
                <w:szCs w:val="1"/>
                <w:color w:val="auto"/>
              </w:rPr>
            </w:pPr>
          </w:p>
        </w:tc>
      </w:tr>
      <w:tr>
        <w:trPr>
          <w:trHeight w:val="21"/>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2012</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0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326,485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326,485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93,903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82,188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82,188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4020" w:type="dxa"/>
            <w:vAlign w:val="bottom"/>
            <w:gridSpan w:val="3"/>
          </w:tcPr>
          <w:p>
            <w:pPr>
              <w:ind w:left="220"/>
              <w:spacing w:after="0"/>
              <w:rPr>
                <w:sz w:val="20"/>
                <w:szCs w:val="20"/>
                <w:color w:val="auto"/>
              </w:rPr>
            </w:pPr>
            <w:r>
              <w:rPr>
                <w:rFonts w:ascii="Arial" w:cs="Arial" w:eastAsia="Arial" w:hAnsi="Arial"/>
                <w:sz w:val="18"/>
                <w:szCs w:val="18"/>
                <w:color w:val="auto"/>
              </w:rPr>
              <w:t>Total unrealized loss position</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433,595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93,913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527,508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1"/>
        </w:trPr>
        <w:tc>
          <w:tcPr>
            <w:tcW w:w="1900" w:type="dxa"/>
            <w:vAlign w:val="bottom"/>
            <w:gridSpan w:val="2"/>
            <w:vMerge w:val="restart"/>
          </w:tcPr>
          <w:p>
            <w:pPr>
              <w:spacing w:after="0"/>
              <w:rPr>
                <w:sz w:val="20"/>
                <w:szCs w:val="20"/>
                <w:color w:val="auto"/>
              </w:rPr>
            </w:pPr>
            <w:r>
              <w:rPr>
                <w:rFonts w:ascii="Arial" w:cs="Arial" w:eastAsia="Arial" w:hAnsi="Arial"/>
                <w:sz w:val="18"/>
                <w:szCs w:val="18"/>
                <w:color w:val="auto"/>
                <w:w w:val="89"/>
              </w:rPr>
              <w:t>As of September 30, 2012</w:t>
            </w:r>
          </w:p>
        </w:tc>
        <w:tc>
          <w:tcPr>
            <w:tcW w:w="2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1900" w:type="dxa"/>
            <w:vAlign w:val="bottom"/>
            <w:tcBorders>
              <w:bottom w:val="single" w:sz="8" w:color="auto"/>
            </w:tcBorders>
            <w:gridSpan w:val="2"/>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0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105,296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122,355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118,483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5,613</w:t>
            </w: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90,766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90,766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4020" w:type="dxa"/>
            <w:vAlign w:val="bottom"/>
            <w:gridSpan w:val="3"/>
          </w:tcPr>
          <w:p>
            <w:pPr>
              <w:ind w:left="220"/>
              <w:spacing w:after="0"/>
              <w:rPr>
                <w:sz w:val="20"/>
                <w:szCs w:val="20"/>
                <w:color w:val="auto"/>
              </w:rPr>
            </w:pPr>
            <w:r>
              <w:rPr>
                <w:rFonts w:ascii="Arial" w:cs="Arial" w:eastAsia="Arial" w:hAnsi="Arial"/>
                <w:sz w:val="18"/>
                <w:szCs w:val="18"/>
                <w:color w:val="auto"/>
              </w:rPr>
              <w:t>Total unrealized loss position</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200,955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130,661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331,616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September 30, 2013, there were 133 available-for-sale securities and seven held-to-maturity securities that were in an unrealized loss position. United does not intend to sell nor believes it will be required to sell securities in an unrealized loss position prior to the recovery of their amortized cost basis. Unrealized losses at September 30, 2013, December 31, 2012 and September 30, 2012 were primarily attributable to changes in interest rates, however the unrealized losses in corporate bonds also reflect downgrades in the underlying securities ratings since the time of acquisition. The bonds remain above investment grade and have recovered much of their initial market value loss. Therefore, United does not consider them to be impaired.</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nine months ended September 30, 2013 or 2012.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September 30, 2013,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Held-to-Maturity</w:t>
            </w:r>
          </w:p>
        </w:tc>
      </w:tr>
      <w:tr>
        <w:trPr>
          <w:trHeight w:val="198"/>
        </w:trPr>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1"/>
        </w:trPr>
        <w:tc>
          <w:tcPr>
            <w:tcW w:w="6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r>
      <w:tr>
        <w:trPr>
          <w:trHeight w:val="418"/>
        </w:trPr>
        <w:tc>
          <w:tcPr>
            <w:tcW w:w="654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54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2,876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16,485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17,144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13,267</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25,062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26,322</w:t>
            </w:r>
          </w:p>
        </w:tc>
      </w:tr>
      <w:tr>
        <w:trPr>
          <w:trHeight w:val="237"/>
        </w:trPr>
        <w:tc>
          <w:tcPr>
            <w:tcW w:w="65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14,826</w:t>
            </w:r>
          </w:p>
        </w:tc>
      </w:tr>
      <w:tr>
        <w:trPr>
          <w:trHeight w:val="223"/>
        </w:trPr>
        <w:tc>
          <w:tcPr>
            <w:tcW w:w="6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22,781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23,524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51,745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54,415</w:t>
            </w:r>
          </w:p>
        </w:tc>
      </w:tr>
      <w:tr>
        <w:trPr>
          <w:trHeight w:val="418"/>
        </w:trPr>
        <w:tc>
          <w:tcPr>
            <w:tcW w:w="654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38,245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206,377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198,370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10,769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10,193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255,391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246,951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65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72,616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145,680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88,665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89,021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306,961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307,238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654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54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13,267</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354,673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347,015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25,062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26,322</w:t>
            </w: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102,676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102,496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14,826</w:t>
            </w: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1,390,280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1,383,317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153,868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160,236</w:t>
            </w:r>
          </w:p>
        </w:tc>
      </w:tr>
      <w:tr>
        <w:trPr>
          <w:trHeight w:val="432"/>
        </w:trPr>
        <w:tc>
          <w:tcPr>
            <w:tcW w:w="65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1,977,807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1,963,424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205,613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214,651</w:t>
            </w:r>
          </w:p>
        </w:tc>
      </w:tr>
      <w:tr>
        <w:trPr>
          <w:trHeight w:val="21"/>
        </w:trPr>
        <w:tc>
          <w:tcPr>
            <w:tcW w:w="6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loans as of September 30, 2013, December 31, 2012 and September 30, 2012,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December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September</w:t>
            </w: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30,</w:t>
            </w:r>
          </w:p>
        </w:tc>
      </w:tr>
      <w:tr>
        <w:trPr>
          <w:trHeight w:val="241"/>
        </w:trPr>
        <w:tc>
          <w:tcPr>
            <w:tcW w:w="5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418"/>
        </w:trPr>
        <w:tc>
          <w:tcPr>
            <w:tcW w:w="54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1,742,771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1,813,365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1,819,155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457,414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458,246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459,997</w:t>
            </w: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137,146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154,769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160,765</w:t>
            </w:r>
          </w:p>
        </w:tc>
      </w:tr>
      <w:tr>
        <w:trPr>
          <w:trHeight w:val="202"/>
        </w:trPr>
        <w:tc>
          <w:tcPr>
            <w:tcW w:w="5480" w:type="dxa"/>
            <w:vAlign w:val="bottom"/>
          </w:tcPr>
          <w:p>
            <w:pPr>
              <w:ind w:left="240"/>
              <w:spacing w:after="0" w:line="201" w:lineRule="exact"/>
              <w:rPr>
                <w:sz w:val="20"/>
                <w:szCs w:val="20"/>
                <w:color w:val="auto"/>
              </w:rPr>
            </w:pPr>
            <w:r>
              <w:rPr>
                <w:rFonts w:ascii="Arial" w:cs="Arial" w:eastAsia="Arial" w:hAnsi="Arial"/>
                <w:sz w:val="18"/>
                <w:szCs w:val="18"/>
                <w:color w:val="auto"/>
              </w:rPr>
              <w:t>Total commercial</w:t>
            </w:r>
          </w:p>
        </w:tc>
        <w:tc>
          <w:tcPr>
            <w:tcW w:w="10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2,337,331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2,426,380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2,439,917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1,309,295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1,214,203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1,174,236</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317,789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381,677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388,742</w:t>
            </w: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302,652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152,748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134,950</w:t>
            </w:r>
          </w:p>
        </w:tc>
      </w:tr>
      <w:tr>
        <w:trPr>
          <w:trHeight w:val="432"/>
        </w:trPr>
        <w:tc>
          <w:tcPr>
            <w:tcW w:w="54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4,267,067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4,175,008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4,137,845</w:t>
            </w:r>
          </w:p>
        </w:tc>
      </w:tr>
      <w:tr>
        <w:trPr>
          <w:trHeight w:val="439"/>
        </w:trPr>
        <w:tc>
          <w:tcPr>
            <w:tcW w:w="54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(107,642)</w:t>
            </w:r>
          </w:p>
        </w:tc>
      </w:tr>
      <w:tr>
        <w:trPr>
          <w:trHeight w:val="432"/>
        </w:trPr>
        <w:tc>
          <w:tcPr>
            <w:tcW w:w="548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4,186,695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4,067,871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4,030,203</w:t>
            </w:r>
          </w:p>
        </w:tc>
      </w:tr>
      <w:tr>
        <w:trPr>
          <w:trHeight w:val="21"/>
        </w:trPr>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wholly-owned Georgia banking subsidiary, United Community Bank (the “Bank”) makes loans and extends credit to individuals and a variety of firms and corporations located primarily in counties in north Georgia, the Atlanta, Georgia metropolitan statistical area, the Gainesville, Georgia metropolitan statistical area, coastal Georgia, western North Carolina, east and central Tennessee and the Greenville, South Carolina metropolitan statistical area. Although the Bank has a diversified loan portfolio, a substantial portion of its loan portfolio is collateralized by improved and unimproved real estate and is dependent upon the real estate market. Home equity lines of credit are included in the residential mortgage category and are primarily responsible for the growth in that loan class compared to prior periods. Indirect auto loans are included in the consumer installment category above and contributed to the significant growth in that class of loans.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Changes in the allowance for loan losses for the three and nine months ended September 30, 2013 and 2012 are summarized as follows </w:t>
      </w:r>
      <w:r>
        <w:rPr>
          <w:rFonts w:ascii="Arial" w:cs="Arial" w:eastAsia="Arial" w:hAnsi="Arial"/>
          <w:sz w:val="16"/>
          <w:szCs w:val="16"/>
          <w:i w:val="1"/>
          <w:i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4220" w:type="dxa"/>
            <w:vAlign w:val="bottom"/>
          </w:tcPr>
          <w:p>
            <w:pPr>
              <w:ind w:left="60"/>
              <w:spacing w:after="0" w:line="201" w:lineRule="exact"/>
              <w:rPr>
                <w:sz w:val="20"/>
                <w:szCs w:val="20"/>
                <w:color w:val="auto"/>
              </w:rPr>
            </w:pPr>
            <w:r>
              <w:rPr>
                <w:rFonts w:ascii="Arial" w:cs="Arial" w:eastAsia="Arial" w:hAnsi="Arial"/>
                <w:sz w:val="18"/>
                <w:szCs w:val="18"/>
                <w:color w:val="auto"/>
              </w:rPr>
              <w:t>Balance beginning of period</w:t>
            </w:r>
          </w:p>
        </w:tc>
        <w:tc>
          <w:tcPr>
            <w:tcW w:w="23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81,845</w:t>
            </w: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112,705</w:t>
            </w: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107,137</w:t>
            </w:r>
          </w:p>
        </w:tc>
        <w:tc>
          <w:tcPr>
            <w:tcW w:w="1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Provision for loan losses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Arial" w:cs="Arial" w:eastAsia="Arial" w:hAnsi="Arial"/>
                <w:sz w:val="18"/>
                <w:szCs w:val="18"/>
                <w:color w:val="auto"/>
              </w:rPr>
              <w:t>Charge-offs: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Commercial (secured by real estate)</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Commercial &amp; industrial</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Commercial construction</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Residential mortgage</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22,608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21,706</w:t>
            </w:r>
          </w:p>
        </w:tc>
        <w:tc>
          <w:tcPr>
            <w:tcW w:w="0" w:type="dxa"/>
            <w:vAlign w:val="bottom"/>
          </w:tcPr>
          <w:p>
            <w:pPr>
              <w:spacing w:after="0"/>
              <w:rPr>
                <w:sz w:val="1"/>
                <w:szCs w:val="1"/>
                <w:color w:val="auto"/>
              </w:rPr>
            </w:pPr>
          </w:p>
        </w:tc>
      </w:tr>
      <w:tr>
        <w:trPr>
          <w:trHeight w:val="237"/>
        </w:trPr>
        <w:tc>
          <w:tcPr>
            <w:tcW w:w="4220" w:type="dxa"/>
            <w:vAlign w:val="bottom"/>
          </w:tcPr>
          <w:p>
            <w:pPr>
              <w:ind w:left="240"/>
              <w:spacing w:after="0"/>
              <w:rPr>
                <w:sz w:val="20"/>
                <w:szCs w:val="20"/>
                <w:color w:val="auto"/>
              </w:rPr>
            </w:pPr>
            <w:r>
              <w:rPr>
                <w:rFonts w:ascii="Arial" w:cs="Arial" w:eastAsia="Arial" w:hAnsi="Arial"/>
                <w:sz w:val="18"/>
                <w:szCs w:val="18"/>
                <w:color w:val="auto"/>
              </w:rPr>
              <w:t>Consumer installment</w:t>
            </w:r>
          </w:p>
        </w:tc>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422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22,234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93,866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59,093</w:t>
            </w:r>
          </w:p>
        </w:tc>
        <w:tc>
          <w:tcPr>
            <w:tcW w:w="0" w:type="dxa"/>
            <w:vAlign w:val="bottom"/>
          </w:tcPr>
          <w:p>
            <w:pPr>
              <w:spacing w:after="0"/>
              <w:rPr>
                <w:sz w:val="1"/>
                <w:szCs w:val="1"/>
                <w:color w:val="auto"/>
              </w:rPr>
            </w:pPr>
          </w:p>
        </w:tc>
      </w:tr>
      <w:tr>
        <w:trPr>
          <w:trHeight w:val="202"/>
        </w:trPr>
        <w:tc>
          <w:tcPr>
            <w:tcW w:w="4220" w:type="dxa"/>
            <w:vAlign w:val="bottom"/>
          </w:tcPr>
          <w:p>
            <w:pPr>
              <w:ind w:left="60"/>
              <w:spacing w:after="0" w:line="201" w:lineRule="exact"/>
              <w:rPr>
                <w:sz w:val="20"/>
                <w:szCs w:val="20"/>
                <w:color w:val="auto"/>
              </w:rPr>
            </w:pPr>
            <w:r>
              <w:rPr>
                <w:rFonts w:ascii="Arial" w:cs="Arial" w:eastAsia="Arial" w:hAnsi="Arial"/>
                <w:sz w:val="18"/>
                <w:szCs w:val="18"/>
                <w:color w:val="auto"/>
              </w:rPr>
              <w:t>Recoveries:</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Commercial (secured by real estate)</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Commercial &amp; industrial</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Commercial construction</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Residential mortgage</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7"/>
        </w:trPr>
        <w:tc>
          <w:tcPr>
            <w:tcW w:w="4220" w:type="dxa"/>
            <w:vAlign w:val="bottom"/>
          </w:tcPr>
          <w:p>
            <w:pPr>
              <w:ind w:left="240"/>
              <w:spacing w:after="0"/>
              <w:rPr>
                <w:sz w:val="20"/>
                <w:szCs w:val="20"/>
                <w:color w:val="auto"/>
              </w:rPr>
            </w:pPr>
            <w:r>
              <w:rPr>
                <w:rFonts w:ascii="Arial" w:cs="Arial" w:eastAsia="Arial" w:hAnsi="Arial"/>
                <w:sz w:val="18"/>
                <w:szCs w:val="18"/>
                <w:color w:val="auto"/>
              </w:rPr>
              <w:t>Consumer installment</w:t>
            </w:r>
          </w:p>
        </w:tc>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3"/>
        </w:trPr>
        <w:tc>
          <w:tcPr>
            <w:tcW w:w="422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23"/>
        </w:trPr>
        <w:tc>
          <w:tcPr>
            <w:tcW w:w="4220" w:type="dxa"/>
            <w:vAlign w:val="bottom"/>
          </w:tcPr>
          <w:p>
            <w:pPr>
              <w:ind w:left="420"/>
              <w:spacing w:after="0"/>
              <w:rPr>
                <w:sz w:val="20"/>
                <w:szCs w:val="20"/>
                <w:color w:val="auto"/>
              </w:rPr>
            </w:pPr>
            <w:r>
              <w:rPr>
                <w:rFonts w:ascii="Arial" w:cs="Arial" w:eastAsia="Arial" w:hAnsi="Arial"/>
                <w:sz w:val="18"/>
                <w:szCs w:val="18"/>
                <w:color w:val="auto"/>
              </w:rPr>
              <w:t>Net charge-offs</w:t>
            </w:r>
          </w:p>
        </w:tc>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20,563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89,265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55,326</w:t>
            </w:r>
          </w:p>
        </w:tc>
        <w:tc>
          <w:tcPr>
            <w:tcW w:w="0" w:type="dxa"/>
            <w:vAlign w:val="bottom"/>
          </w:tcPr>
          <w:p>
            <w:pPr>
              <w:spacing w:after="0"/>
              <w:rPr>
                <w:sz w:val="1"/>
                <w:szCs w:val="1"/>
                <w:color w:val="auto"/>
              </w:rPr>
            </w:pPr>
          </w:p>
        </w:tc>
      </w:tr>
      <w:tr>
        <w:trPr>
          <w:trHeight w:val="432"/>
        </w:trPr>
        <w:tc>
          <w:tcPr>
            <w:tcW w:w="422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2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80,372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107,642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80,372</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107,642</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320" w:type="dxa"/>
            <w:vAlign w:val="bottom"/>
            <w:vMerge w:val="restart"/>
          </w:tcPr>
          <w:p>
            <w:pPr>
              <w:jc w:val="right"/>
              <w:ind w:right="65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220" w:type="dxa"/>
            <w:vAlign w:val="bottom"/>
            <w:tcBorders>
              <w:bottom w:val="single" w:sz="8" w:color="DCDCDC"/>
            </w:tcBorders>
          </w:tcPr>
          <w:p>
            <w:pPr>
              <w:spacing w:after="0"/>
              <w:rPr>
                <w:sz w:val="24"/>
                <w:szCs w:val="24"/>
                <w:color w:val="auto"/>
              </w:rPr>
            </w:pPr>
          </w:p>
        </w:tc>
        <w:tc>
          <w:tcPr>
            <w:tcW w:w="2320" w:type="dxa"/>
            <w:vAlign w:val="bottom"/>
            <w:tcBorders>
              <w:bottom w:val="single" w:sz="8" w:color="DCDCDC"/>
            </w:tcBorders>
            <w:vMerge w:val="continue"/>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During the second quarter of 2013, United executed a plan to accelerate the disposition of classified assets including performing classified loans, nonperforming loans and foreclosed properties. The purpose of the accelerated classified asset disposition plan was to resolve legacy credit problems remaining from the recent financial crisis and to accelerate the improvement of United’s credit measures toward pre-crisis levels. The classified asset sales included individual note and foreclosed property sales and a large bulk sale of classified assets to a single investor. The bulk sale included performing and nonperforming classified loans and foreclosed properties. The assets were divided into four separate pools that were bid for separately by potential buyers. A single purchaser was the high bidder for each of the four pools. The table below shows the allocation among impaired loans, loans that were not considered impaired and foreclosed properties, including United’s recorded investment in those assets, the sales proceeds and the resulting net charge-offs of assets sold in the bulk sale transaction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Recorded</w:t>
            </w:r>
          </w:p>
        </w:tc>
        <w:tc>
          <w:tcPr>
            <w:tcW w:w="100" w:type="dxa"/>
            <w:vAlign w:val="bottom"/>
          </w:tcPr>
          <w:p>
            <w:pPr>
              <w:spacing w:after="0"/>
              <w:rPr>
                <w:sz w:val="18"/>
                <w:szCs w:val="18"/>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3"/>
              </w:rPr>
              <w:t>Net Sales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Charge-</w:t>
            </w:r>
          </w:p>
        </w:tc>
      </w:tr>
      <w:tr>
        <w:trPr>
          <w:trHeight w:val="241"/>
        </w:trPr>
        <w:tc>
          <w:tcPr>
            <w:tcW w:w="6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Investment</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1"/>
              </w:rPr>
              <w:t>Proceeds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Off</w:t>
            </w: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color w:val="auto"/>
              </w:rPr>
              <w:t>Loans considered impaired</w:t>
            </w:r>
          </w:p>
        </w:tc>
        <w:tc>
          <w:tcPr>
            <w:tcW w:w="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96,829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56,298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(40,531)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Loans not considered impaired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25,687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(10,460)</w:t>
            </w:r>
          </w:p>
        </w:tc>
      </w:tr>
      <w:tr>
        <w:trPr>
          <w:trHeight w:val="237"/>
        </w:trPr>
        <w:tc>
          <w:tcPr>
            <w:tcW w:w="6620" w:type="dxa"/>
            <w:vAlign w:val="bottom"/>
          </w:tcPr>
          <w:p>
            <w:pPr>
              <w:spacing w:after="0"/>
              <w:rPr>
                <w:sz w:val="20"/>
                <w:szCs w:val="20"/>
                <w:color w:val="auto"/>
              </w:rPr>
            </w:pPr>
            <w:r>
              <w:rPr>
                <w:rFonts w:ascii="Arial" w:cs="Arial" w:eastAsia="Arial" w:hAnsi="Arial"/>
                <w:sz w:val="18"/>
                <w:szCs w:val="18"/>
                <w:color w:val="auto"/>
              </w:rPr>
              <w:t>Foreclosed properties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Total assets sold</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130,914</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77,458</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(53,456)</w:t>
            </w:r>
          </w:p>
        </w:tc>
      </w:tr>
      <w:tr>
        <w:trPr>
          <w:trHeight w:val="21"/>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loans considered impaired in the table above were assigned specific reserves of $6.86 million in the most recent analysis of the allowance for loan losses prior to the sale. Because the assets were sold at liquidation prices in a bulk transaction with no recourse, the sales price was generally lower than the appraised value of the foreclosed properties and loan collateral. Although the classified asset sales increased charge-offs during the second quarter of 2013, they accomplished management’s goal of moving classified asset levels toward the pre-crisis range.</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considers all loans that are on nonaccrual with a balance of $500,000 or greater and all troubled debt restructurings (“TDRs”) to be impaired. In addition, United reviews all accruing substandard loans greater than $2 million to determine if the loan is impaired. A loan is considered impaired when, based on current events and circumstances, it is probable that all amounts due, according to the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quarter, United’s management prepares an analysis of the allowance for loan losses to determine the appropriate balance that measures and quantifies the amount of loss inherent in the loan portfolio. The allowance is comprised of specific reserves which are determined as described above, general reserves which are determined based on historical loss experience as adjusted for current trends and economic conditions and an unallocated portion. United uses eight quarters of historical loss experience weighted toward the most recent quarters to determine the loss factors to be used.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The weighted average is calculated by multiplying each quarter’s annualized historical net charge-off rate by 1 through 8, with 8 representing the most recent quarter and 1 representing the oldest quarter. United uses annualized charge-off rates under the broad assumption that losses inherent in the loan portfolio will generally be resolved within twelve months. Problem loans that are not resolved within twelve months are often larger loans that are more complex in nature requiring more time to either rehabilitate or work out of the bank. These credits are subject to impairment testing and specific reserves.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weighted loss factor results for each quarter are added together and divided by 36 (the sum of 1, 2, 3, 4, 5, 6, 7 and 8) to arrive at the weighted average historical loss factor for each category of loans. United calculates loss factors for each major category of loans (commercial real estate, commercial &amp; industrial, commercial construction, residential construction and consumer installment) except residential mortgage real estate loans which are further divided into home equity first lien, home equity junior lien and all other residential mortgage real estate loans and a loss factor is calculated for each category.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acceleration or delays in timing of recognition of losses that may render the use of annualized charge-off rates to be inappropriate, and other macro environmental factors such as changes in unemployment rates, lease vacancy rates and trends in property values and absorption rates.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validate the results, management closely monitors the loan portfolio to determine the range of potential losses based upon probability of default and losses upon default for each major loan category. The potential range of losses resulting from this analysis is compared to the resulting loss factors for each major loan category to validate the loss factors and determine if qualitative adjustments are necessary. United’s management believes that its method of determining the balance of the allowance for loan losses provides a reasonable and reliable basis for measuring and reporting losses that are inherent in the loan portfolio as of the reporting date.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balance and activity in the allowance for loan losses by portfolio segment and the recorded investment in loans by portfolio segment based on the impairment method as of September 30, 2013, December 31, 2012 and September 30,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(Secured by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430"/>
              <w:spacing w:after="0"/>
              <w:rPr>
                <w:sz w:val="20"/>
                <w:szCs w:val="20"/>
                <w:color w:val="auto"/>
              </w:rPr>
            </w:pPr>
            <w:r>
              <w:rPr>
                <w:rFonts w:ascii="Arial" w:cs="Arial" w:eastAsia="Arial" w:hAnsi="Arial"/>
                <w:sz w:val="18"/>
                <w:szCs w:val="18"/>
                <w:b w:val="1"/>
                <w:bCs w:val="1"/>
                <w:color w:val="auto"/>
              </w:rPr>
              <w:t>&amp;</w:t>
            </w:r>
          </w:p>
        </w:tc>
        <w:tc>
          <w:tcPr>
            <w:tcW w:w="1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Residential</w:t>
            </w:r>
          </w:p>
        </w:tc>
        <w:tc>
          <w:tcPr>
            <w:tcW w:w="12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3"/>
              </w:rPr>
              <w:t>Residential</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2"/>
              </w:rPr>
              <w:t>Consumer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18"/>
                <w:szCs w:val="18"/>
                <w:b w:val="1"/>
                <w:bCs w:val="1"/>
                <w:color w:val="auto"/>
              </w:rPr>
              <w:t>September 30, 2013</w:t>
            </w:r>
          </w:p>
        </w:tc>
        <w:tc>
          <w:tcPr>
            <w:tcW w:w="1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Real Estate)</w:t>
            </w:r>
          </w:p>
        </w:tc>
        <w:tc>
          <w:tcPr>
            <w:tcW w:w="10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Industrial</w:t>
            </w: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Construction</w:t>
            </w:r>
          </w:p>
        </w:tc>
        <w:tc>
          <w:tcPr>
            <w:tcW w:w="120" w:type="dxa"/>
            <w:vAlign w:val="bottom"/>
          </w:tcPr>
          <w:p>
            <w:pPr>
              <w:spacing w:after="0"/>
              <w:rPr>
                <w:sz w:val="20"/>
                <w:szCs w:val="20"/>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8"/>
              </w:rPr>
              <w:t>Mortgage</w:t>
            </w:r>
          </w:p>
        </w:tc>
        <w:tc>
          <w:tcPr>
            <w:tcW w:w="1220" w:type="dxa"/>
            <w:vAlign w:val="bottom"/>
            <w:gridSpan w:val="3"/>
          </w:tcPr>
          <w:p>
            <w:pPr>
              <w:ind w:left="120"/>
              <w:spacing w:after="0"/>
              <w:rPr>
                <w:sz w:val="20"/>
                <w:szCs w:val="20"/>
                <w:color w:val="auto"/>
              </w:rPr>
            </w:pPr>
            <w:r>
              <w:rPr>
                <w:rFonts w:ascii="Arial" w:cs="Arial" w:eastAsia="Arial" w:hAnsi="Arial"/>
                <w:sz w:val="18"/>
                <w:szCs w:val="18"/>
                <w:b w:val="1"/>
                <w:bCs w:val="1"/>
                <w:color w:val="auto"/>
                <w:w w:val="96"/>
              </w:rPr>
              <w:t>Construction</w:t>
            </w:r>
          </w:p>
        </w:tc>
        <w:tc>
          <w:tcPr>
            <w:tcW w:w="12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Installment</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Unallocated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27,847</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5,537</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8,389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26,642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26,662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2,747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107,137</w:t>
            </w: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(93,866)</w:t>
            </w: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37"/>
        </w:trPr>
        <w:tc>
          <w:tcPr>
            <w:tcW w:w="22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28,854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19,608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10,231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24,135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7,932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20,702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80,372</w:t>
            </w:r>
          </w:p>
        </w:tc>
        <w:tc>
          <w:tcPr>
            <w:tcW w:w="0" w:type="dxa"/>
            <w:vAlign w:val="bottom"/>
          </w:tcPr>
          <w:p>
            <w:pPr>
              <w:spacing w:after="0"/>
              <w:rPr>
                <w:sz w:val="1"/>
                <w:szCs w:val="1"/>
                <w:color w:val="auto"/>
              </w:rPr>
            </w:pPr>
          </w:p>
        </w:tc>
      </w:tr>
      <w:tr>
        <w:trPr>
          <w:trHeight w:val="21"/>
        </w:trPr>
        <w:tc>
          <w:tcPr>
            <w:tcW w:w="2200" w:type="dxa"/>
            <w:vAlign w:val="bottom"/>
            <w:vMerge w:val="restart"/>
          </w:tcPr>
          <w:p>
            <w:pPr>
              <w:spacing w:after="0"/>
              <w:rPr>
                <w:sz w:val="20"/>
                <w:szCs w:val="20"/>
                <w:color w:val="auto"/>
              </w:rPr>
            </w:pPr>
            <w:r>
              <w:rPr>
                <w:rFonts w:ascii="Arial" w:cs="Arial" w:eastAsia="Arial" w:hAnsi="Arial"/>
                <w:sz w:val="18"/>
                <w:szCs w:val="18"/>
                <w:color w:val="auto"/>
                <w:w w:val="92"/>
              </w:rPr>
              <w:t>Ending allowance attributable</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80"/>
              <w:spacing w:after="0"/>
              <w:rPr>
                <w:sz w:val="20"/>
                <w:szCs w:val="20"/>
                <w:color w:val="auto"/>
              </w:rPr>
            </w:pPr>
            <w:r>
              <w:rPr>
                <w:rFonts w:ascii="Arial" w:cs="Arial" w:eastAsia="Arial" w:hAnsi="Arial"/>
                <w:sz w:val="18"/>
                <w:szCs w:val="18"/>
                <w:color w:val="auto"/>
              </w:rPr>
              <w:t>to loans: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1,975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546</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22,160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18,694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13,680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75,020</w:t>
            </w:r>
          </w:p>
        </w:tc>
        <w:tc>
          <w:tcPr>
            <w:tcW w:w="0" w:type="dxa"/>
            <w:vAlign w:val="bottom"/>
          </w:tcPr>
          <w:p>
            <w:pPr>
              <w:spacing w:after="0"/>
              <w:rPr>
                <w:sz w:val="1"/>
                <w:szCs w:val="1"/>
                <w:color w:val="auto"/>
              </w:rPr>
            </w:pPr>
          </w:p>
        </w:tc>
      </w:tr>
      <w:tr>
        <w:trPr>
          <w:trHeight w:val="202"/>
        </w:trPr>
        <w:tc>
          <w:tcPr>
            <w:tcW w:w="2200" w:type="dxa"/>
            <w:vAlign w:val="bottom"/>
          </w:tcPr>
          <w:p>
            <w:pPr>
              <w:ind w:left="360"/>
              <w:spacing w:after="0" w:line="201" w:lineRule="exact"/>
              <w:rPr>
                <w:sz w:val="20"/>
                <w:szCs w:val="20"/>
                <w:color w:val="auto"/>
              </w:rPr>
            </w:pPr>
            <w:r>
              <w:rPr>
                <w:rFonts w:ascii="Arial" w:cs="Arial" w:eastAsia="Arial" w:hAnsi="Arial"/>
                <w:sz w:val="18"/>
                <w:szCs w:val="18"/>
                <w:color w:val="auto"/>
                <w:w w:val="98"/>
              </w:rPr>
              <w:t>Total ending allowance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500"/>
              <w:spacing w:after="0"/>
              <w:rPr>
                <w:sz w:val="20"/>
                <w:szCs w:val="20"/>
                <w:color w:val="auto"/>
              </w:rPr>
            </w:pPr>
            <w:r>
              <w:rPr>
                <w:rFonts w:ascii="Arial" w:cs="Arial" w:eastAsia="Arial" w:hAnsi="Arial"/>
                <w:sz w:val="18"/>
                <w:szCs w:val="18"/>
                <w:color w:val="auto"/>
              </w:rPr>
              <w:t>balance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24,135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7,932</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3,818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20,702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14,342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2,417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80,372</w:t>
            </w:r>
          </w:p>
        </w:tc>
        <w:tc>
          <w:tcPr>
            <w:tcW w:w="0" w:type="dxa"/>
            <w:vAlign w:val="bottom"/>
          </w:tcPr>
          <w:p>
            <w:pPr>
              <w:spacing w:after="0"/>
              <w:rPr>
                <w:sz w:val="1"/>
                <w:szCs w:val="1"/>
                <w:color w:val="auto"/>
              </w:rPr>
            </w:pPr>
          </w:p>
        </w:tc>
      </w:tr>
      <w:tr>
        <w:trPr>
          <w:trHeight w:val="21"/>
        </w:trPr>
        <w:tc>
          <w:tcPr>
            <w:tcW w:w="2200" w:type="dxa"/>
            <w:vAlign w:val="bottom"/>
            <w:vMerge w:val="restart"/>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54,463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4,105</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13,478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18,970</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14,121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105,341</w:t>
            </w: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1,688,308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453,309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123,668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1,290,325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303,668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302,448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4,161,726</w:t>
            </w:r>
          </w:p>
        </w:tc>
        <w:tc>
          <w:tcPr>
            <w:tcW w:w="0" w:type="dxa"/>
            <w:vAlign w:val="bottom"/>
          </w:tcPr>
          <w:p>
            <w:pPr>
              <w:spacing w:after="0"/>
              <w:rPr>
                <w:sz w:val="1"/>
                <w:szCs w:val="1"/>
                <w:color w:val="auto"/>
              </w:rPr>
            </w:pPr>
          </w:p>
        </w:tc>
      </w:tr>
      <w:tr>
        <w:trPr>
          <w:trHeight w:val="216"/>
        </w:trPr>
        <w:tc>
          <w:tcPr>
            <w:tcW w:w="22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1,742,771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457,414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137,146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1,309,295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317,789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302,652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4,267,067</w:t>
            </w:r>
          </w:p>
        </w:tc>
        <w:tc>
          <w:tcPr>
            <w:tcW w:w="0" w:type="dxa"/>
            <w:vAlign w:val="bottom"/>
          </w:tcPr>
          <w:p>
            <w:pPr>
              <w:spacing w:after="0"/>
              <w:rPr>
                <w:sz w:val="1"/>
                <w:szCs w:val="1"/>
                <w:color w:val="auto"/>
              </w:rPr>
            </w:pPr>
          </w:p>
        </w:tc>
      </w:tr>
      <w:tr>
        <w:trPr>
          <w:trHeight w:val="21"/>
        </w:trPr>
        <w:tc>
          <w:tcPr>
            <w:tcW w:w="220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20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w w:val="92"/>
              </w:rPr>
              <w:t>Ending allowance attributable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80"/>
              <w:spacing w:after="0"/>
              <w:rPr>
                <w:sz w:val="20"/>
                <w:szCs w:val="20"/>
                <w:color w:val="auto"/>
              </w:rPr>
            </w:pPr>
            <w:r>
              <w:rPr>
                <w:rFonts w:ascii="Arial" w:cs="Arial" w:eastAsia="Arial" w:hAnsi="Arial"/>
                <w:sz w:val="18"/>
                <w:szCs w:val="18"/>
                <w:color w:val="auto"/>
              </w:rPr>
              <w:t>to loans: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6,106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21,741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24,477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26,037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9,313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95,493</w:t>
            </w:r>
          </w:p>
        </w:tc>
        <w:tc>
          <w:tcPr>
            <w:tcW w:w="0" w:type="dxa"/>
            <w:vAlign w:val="bottom"/>
          </w:tcPr>
          <w:p>
            <w:pPr>
              <w:spacing w:after="0"/>
              <w:rPr>
                <w:sz w:val="1"/>
                <w:szCs w:val="1"/>
                <w:color w:val="auto"/>
              </w:rPr>
            </w:pPr>
          </w:p>
        </w:tc>
      </w:tr>
      <w:tr>
        <w:trPr>
          <w:trHeight w:val="202"/>
        </w:trPr>
        <w:tc>
          <w:tcPr>
            <w:tcW w:w="2200" w:type="dxa"/>
            <w:vAlign w:val="bottom"/>
          </w:tcPr>
          <w:p>
            <w:pPr>
              <w:ind w:left="320"/>
              <w:spacing w:after="0" w:line="201" w:lineRule="exact"/>
              <w:rPr>
                <w:sz w:val="20"/>
                <w:szCs w:val="20"/>
                <w:color w:val="auto"/>
              </w:rPr>
            </w:pPr>
            <w:r>
              <w:rPr>
                <w:rFonts w:ascii="Arial" w:cs="Arial" w:eastAsia="Arial" w:hAnsi="Arial"/>
                <w:sz w:val="18"/>
                <w:szCs w:val="18"/>
                <w:color w:val="auto"/>
              </w:rPr>
              <w:t>Total ending allowance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820"/>
              <w:spacing w:after="0"/>
              <w:rPr>
                <w:sz w:val="20"/>
                <w:szCs w:val="20"/>
                <w:color w:val="auto"/>
              </w:rPr>
            </w:pPr>
            <w:r>
              <w:rPr>
                <w:rFonts w:ascii="Arial" w:cs="Arial" w:eastAsia="Arial" w:hAnsi="Arial"/>
                <w:sz w:val="18"/>
                <w:szCs w:val="18"/>
                <w:color w:val="auto"/>
              </w:rPr>
              <w:t>balance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27,847</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5,537</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8,389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26,642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26,662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2,747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107,137</w:t>
            </w:r>
          </w:p>
        </w:tc>
        <w:tc>
          <w:tcPr>
            <w:tcW w:w="0" w:type="dxa"/>
            <w:vAlign w:val="bottom"/>
          </w:tcPr>
          <w:p>
            <w:pPr>
              <w:spacing w:after="0"/>
              <w:rPr>
                <w:sz w:val="1"/>
                <w:szCs w:val="1"/>
                <w:color w:val="auto"/>
              </w:rPr>
            </w:pPr>
          </w:p>
        </w:tc>
      </w:tr>
      <w:tr>
        <w:trPr>
          <w:trHeight w:val="21"/>
        </w:trPr>
        <w:tc>
          <w:tcPr>
            <w:tcW w:w="2200" w:type="dxa"/>
            <w:vAlign w:val="bottom"/>
            <w:vMerge w:val="restart"/>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104,409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51,501</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40,168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22,247</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34,055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252,810</w:t>
            </w: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1,708,956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406,745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114,601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1,191,956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347,622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152,318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3,922,198</w:t>
            </w:r>
          </w:p>
        </w:tc>
        <w:tc>
          <w:tcPr>
            <w:tcW w:w="0" w:type="dxa"/>
            <w:vAlign w:val="bottom"/>
          </w:tcPr>
          <w:p>
            <w:pPr>
              <w:spacing w:after="0"/>
              <w:rPr>
                <w:sz w:val="1"/>
                <w:szCs w:val="1"/>
                <w:color w:val="auto"/>
              </w:rPr>
            </w:pPr>
          </w:p>
        </w:tc>
      </w:tr>
      <w:tr>
        <w:trPr>
          <w:trHeight w:val="216"/>
        </w:trPr>
        <w:tc>
          <w:tcPr>
            <w:tcW w:w="22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1,813,365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458,246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154,769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1,214,203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381,677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152,748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4,175,008</w:t>
            </w:r>
          </w:p>
        </w:tc>
        <w:tc>
          <w:tcPr>
            <w:tcW w:w="0" w:type="dxa"/>
            <w:vAlign w:val="bottom"/>
          </w:tcPr>
          <w:p>
            <w:pPr>
              <w:spacing w:after="0"/>
              <w:rPr>
                <w:sz w:val="1"/>
                <w:szCs w:val="1"/>
                <w:color w:val="auto"/>
              </w:rPr>
            </w:pPr>
          </w:p>
        </w:tc>
      </w:tr>
      <w:tr>
        <w:trPr>
          <w:trHeight w:val="21"/>
        </w:trPr>
        <w:tc>
          <w:tcPr>
            <w:tcW w:w="220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September 30, 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Beginning balance</w:t>
            </w: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31,644</w:t>
            </w:r>
          </w:p>
        </w:tc>
        <w:tc>
          <w:tcPr>
            <w:tcW w:w="3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5,681</w:t>
            </w:r>
          </w:p>
        </w:tc>
        <w:tc>
          <w:tcPr>
            <w:tcW w:w="3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6,097</w:t>
            </w:r>
          </w:p>
        </w:tc>
        <w:tc>
          <w:tcPr>
            <w:tcW w:w="2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29,076</w:t>
            </w:r>
          </w:p>
        </w:tc>
        <w:tc>
          <w:tcPr>
            <w:tcW w:w="3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30,379</w:t>
            </w:r>
          </w:p>
        </w:tc>
        <w:tc>
          <w:tcPr>
            <w:tcW w:w="32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2,124</w:t>
            </w:r>
          </w:p>
        </w:tc>
        <w:tc>
          <w:tcPr>
            <w:tcW w:w="380" w:type="dxa"/>
            <w:vAlign w:val="bottom"/>
            <w:gridSpan w:val="2"/>
          </w:tcPr>
          <w:p>
            <w:pPr>
              <w:jc w:val="right"/>
              <w:ind w:right="105"/>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9,467</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(59,093)</w:t>
            </w: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37"/>
        </w:trPr>
        <w:tc>
          <w:tcPr>
            <w:tcW w:w="22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11,351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11,163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18,233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26,775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27,475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28,059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107,642</w:t>
            </w:r>
          </w:p>
        </w:tc>
        <w:tc>
          <w:tcPr>
            <w:tcW w:w="0" w:type="dxa"/>
            <w:vAlign w:val="bottom"/>
          </w:tcPr>
          <w:p>
            <w:pPr>
              <w:spacing w:after="0"/>
              <w:rPr>
                <w:sz w:val="1"/>
                <w:szCs w:val="1"/>
                <w:color w:val="auto"/>
              </w:rPr>
            </w:pPr>
          </w:p>
        </w:tc>
      </w:tr>
      <w:tr>
        <w:trPr>
          <w:trHeight w:val="21"/>
        </w:trPr>
        <w:tc>
          <w:tcPr>
            <w:tcW w:w="2200" w:type="dxa"/>
            <w:vAlign w:val="bottom"/>
            <w:vMerge w:val="restart"/>
          </w:tcPr>
          <w:p>
            <w:pPr>
              <w:spacing w:after="0"/>
              <w:rPr>
                <w:sz w:val="20"/>
                <w:szCs w:val="20"/>
                <w:color w:val="auto"/>
              </w:rPr>
            </w:pPr>
            <w:r>
              <w:rPr>
                <w:rFonts w:ascii="Arial" w:cs="Arial" w:eastAsia="Arial" w:hAnsi="Arial"/>
                <w:sz w:val="18"/>
                <w:szCs w:val="18"/>
                <w:color w:val="auto"/>
                <w:w w:val="92"/>
              </w:rPr>
              <w:t>Ending allowance attributable</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to loans: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6,692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2,289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1,856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50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20,083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26,789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94,789</w:t>
            </w:r>
          </w:p>
        </w:tc>
        <w:tc>
          <w:tcPr>
            <w:tcW w:w="0" w:type="dxa"/>
            <w:vAlign w:val="bottom"/>
          </w:tcPr>
          <w:p>
            <w:pPr>
              <w:spacing w:after="0"/>
              <w:rPr>
                <w:sz w:val="1"/>
                <w:szCs w:val="1"/>
                <w:color w:val="auto"/>
              </w:rPr>
            </w:pPr>
          </w:p>
        </w:tc>
      </w:tr>
      <w:tr>
        <w:trPr>
          <w:trHeight w:val="202"/>
        </w:trPr>
        <w:tc>
          <w:tcPr>
            <w:tcW w:w="2200" w:type="dxa"/>
            <w:vAlign w:val="bottom"/>
          </w:tcPr>
          <w:p>
            <w:pPr>
              <w:ind w:left="320"/>
              <w:spacing w:after="0" w:line="201" w:lineRule="exact"/>
              <w:rPr>
                <w:sz w:val="20"/>
                <w:szCs w:val="20"/>
                <w:color w:val="auto"/>
              </w:rPr>
            </w:pPr>
            <w:r>
              <w:rPr>
                <w:rFonts w:ascii="Arial" w:cs="Arial" w:eastAsia="Arial" w:hAnsi="Arial"/>
                <w:sz w:val="18"/>
                <w:szCs w:val="18"/>
                <w:color w:val="auto"/>
              </w:rPr>
              <w:t>Total ending allowance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820"/>
              <w:spacing w:after="0"/>
              <w:rPr>
                <w:sz w:val="20"/>
                <w:szCs w:val="20"/>
                <w:color w:val="auto"/>
              </w:rPr>
            </w:pPr>
            <w:r>
              <w:rPr>
                <w:rFonts w:ascii="Arial" w:cs="Arial" w:eastAsia="Arial" w:hAnsi="Arial"/>
                <w:sz w:val="18"/>
                <w:szCs w:val="18"/>
                <w:color w:val="auto"/>
              </w:rPr>
              <w:t>balance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26,775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4,858</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8,586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27,475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28,059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2,870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107,642</w:t>
            </w:r>
          </w:p>
        </w:tc>
        <w:tc>
          <w:tcPr>
            <w:tcW w:w="0" w:type="dxa"/>
            <w:vAlign w:val="bottom"/>
          </w:tcPr>
          <w:p>
            <w:pPr>
              <w:spacing w:after="0"/>
              <w:rPr>
                <w:sz w:val="1"/>
                <w:szCs w:val="1"/>
                <w:color w:val="auto"/>
              </w:rPr>
            </w:pPr>
          </w:p>
        </w:tc>
      </w:tr>
      <w:tr>
        <w:trPr>
          <w:trHeight w:val="21"/>
        </w:trPr>
        <w:tc>
          <w:tcPr>
            <w:tcW w:w="2200" w:type="dxa"/>
            <w:vAlign w:val="bottom"/>
            <w:vMerge w:val="restart"/>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119,023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53,531</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42,249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21,678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31,576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268,555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0" w:gutter="0" w:footer="0" w:header="0"/>
        </w:sectPr>
      </w:pPr>
    </w:p>
    <w:bookmarkStart w:id="19" w:name="page20"/>
    <w:bookmarkEnd w:id="19"/>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18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Collectively evaluated for</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218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1,700,132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406,466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118,516</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1,152,558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357,166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134,452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3,869,290</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$ 1,819,155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459,997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160,765</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$ 1,174,236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388,742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134,950</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$ 4,137,845</w:t>
            </w:r>
          </w:p>
        </w:tc>
      </w:tr>
      <w:tr>
        <w:trPr>
          <w:trHeight w:val="21"/>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to the local bank president that the loan be charged off. Full or partial charge-offs may also be recommended by the Collections Department, the Special Assets Department and the Foreclosure / OREO department. Nonaccrual real estate loans that are collateral dependent are generally charged down to 80% of the appraised value of the underlying collateral at the time they are placed on nonaccrual status.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committee consisting of the Chief Risk Officer, Senior Risk Officer and the Senior Credit Officers meets monthly to review charge-offs that have occurred during the previous month. The 10 largest charge-offs are reported quarterly to the Board of Directors.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charged-off unless the loan is well secured and in process of collection (within the next 90 days). Open-end (revolving) retail loans which are past due 90 cumulative days from their contractual due date are generally charged-off.</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2013, December 31, 2012 and September 30, 2012, loans with a carrying value of $1.94 billion, $1.90 billion and $1.78 billion, respectively, were pledged as collateral to secure FHLB advances and other contingent funding sources.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is presented below for the three and nine months ended September 30,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Cash Basis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Cash Basis</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During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During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41"/>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4"/>
              </w:rPr>
              <w:t>Impairment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Received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4"/>
              </w:rPr>
              <w:t>Impairment</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Received</w:t>
            </w: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line="201" w:lineRule="exact"/>
              <w:rPr>
                <w:sz w:val="20"/>
                <w:szCs w:val="20"/>
                <w:color w:val="auto"/>
              </w:rPr>
            </w:pPr>
            <w:r>
              <w:rPr>
                <w:rFonts w:ascii="Arial" w:cs="Arial" w:eastAsia="Arial" w:hAnsi="Arial"/>
                <w:sz w:val="18"/>
                <w:szCs w:val="18"/>
                <w:color w:val="auto"/>
              </w:rPr>
              <w:t>Commercial (secured by real estate)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55,303</w:t>
            </w:r>
          </w:p>
        </w:tc>
        <w:tc>
          <w:tcPr>
            <w:tcW w:w="1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1,336</w:t>
            </w:r>
          </w:p>
        </w:tc>
        <w:tc>
          <w:tcPr>
            <w:tcW w:w="12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1,461</w:t>
            </w:r>
          </w:p>
        </w:tc>
        <w:tc>
          <w:tcPr>
            <w:tcW w:w="1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124,681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1,218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13,501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43,488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2"/>
        </w:trPr>
        <w:tc>
          <w:tcPr>
            <w:tcW w:w="3900" w:type="dxa"/>
            <w:vAlign w:val="bottom"/>
          </w:tcPr>
          <w:p>
            <w:pPr>
              <w:ind w:left="4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72,993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1,694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1,811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211,933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1,597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19,070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22,920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106,413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275,960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
        </w:trPr>
        <w:tc>
          <w:tcPr>
            <w:tcW w:w="39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90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line="201" w:lineRule="exact"/>
              <w:rPr>
                <w:sz w:val="20"/>
                <w:szCs w:val="20"/>
                <w:color w:val="auto"/>
              </w:rPr>
            </w:pPr>
            <w:r>
              <w:rPr>
                <w:rFonts w:ascii="Arial" w:cs="Arial" w:eastAsia="Arial" w:hAnsi="Arial"/>
                <w:sz w:val="18"/>
                <w:szCs w:val="18"/>
                <w:color w:val="auto"/>
              </w:rPr>
              <w:t>Commercial (secured by real estate)</w:t>
            </w:r>
          </w:p>
        </w:tc>
        <w:tc>
          <w:tcPr>
            <w:tcW w:w="260" w:type="dxa"/>
            <w:vAlign w:val="bottom"/>
            <w:gridSpan w:val="3"/>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76,060</w:t>
            </w: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2,913</w:t>
            </w:r>
          </w:p>
        </w:tc>
        <w:tc>
          <w:tcPr>
            <w:tcW w:w="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3,126</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121,223</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3,883</w:t>
            </w:r>
          </w:p>
        </w:tc>
        <w:tc>
          <w:tcPr>
            <w:tcW w:w="1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14,620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40,202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2"/>
        </w:trPr>
        <w:tc>
          <w:tcPr>
            <w:tcW w:w="3900" w:type="dxa"/>
            <w:vAlign w:val="bottom"/>
          </w:tcPr>
          <w:p>
            <w:pPr>
              <w:ind w:left="4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99,501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3,755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4,522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208,688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5,055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133,854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281,307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6,798</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September 30, 2013, December 31, 2012 and September 30,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570"/>
              <w:spacing w:after="0"/>
              <w:rPr>
                <w:sz w:val="20"/>
                <w:szCs w:val="20"/>
                <w:color w:val="auto"/>
              </w:rPr>
            </w:pPr>
            <w:r>
              <w:rPr>
                <w:rFonts w:ascii="Arial" w:cs="Arial" w:eastAsia="Arial" w:hAnsi="Arial"/>
                <w:sz w:val="18"/>
                <w:szCs w:val="18"/>
                <w:b w:val="1"/>
                <w:bCs w:val="1"/>
                <w:color w:val="auto"/>
                <w:w w:val="90"/>
              </w:rPr>
              <w:t>September 30, 2013</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Borders>
              <w:bottom w:val="single" w:sz="8" w:color="auto"/>
            </w:tcBorders>
            <w:gridSpan w:val="5"/>
          </w:tcPr>
          <w:p>
            <w:pPr>
              <w:jc w:val="center"/>
              <w:ind w:left="590"/>
              <w:spacing w:after="0"/>
              <w:rPr>
                <w:sz w:val="20"/>
                <w:szCs w:val="20"/>
                <w:color w:val="auto"/>
              </w:rPr>
            </w:pPr>
            <w:r>
              <w:rPr>
                <w:rFonts w:ascii="Arial" w:cs="Arial" w:eastAsia="Arial" w:hAnsi="Arial"/>
                <w:sz w:val="18"/>
                <w:szCs w:val="18"/>
                <w:b w:val="1"/>
                <w:bCs w:val="1"/>
                <w:color w:val="auto"/>
                <w:w w:val="88"/>
              </w:rPr>
              <w:t>December 31, 2012</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Borders>
              <w:bottom w:val="single" w:sz="8" w:color="auto"/>
            </w:tcBorders>
            <w:gridSpan w:val="5"/>
          </w:tcPr>
          <w:p>
            <w:pPr>
              <w:jc w:val="center"/>
              <w:ind w:left="590"/>
              <w:spacing w:after="0"/>
              <w:rPr>
                <w:sz w:val="20"/>
                <w:szCs w:val="20"/>
                <w:color w:val="auto"/>
              </w:rPr>
            </w:pPr>
            <w:r>
              <w:rPr>
                <w:rFonts w:ascii="Arial" w:cs="Arial" w:eastAsia="Arial" w:hAnsi="Arial"/>
                <w:sz w:val="18"/>
                <w:szCs w:val="18"/>
                <w:b w:val="1"/>
                <w:bCs w:val="1"/>
                <w:color w:val="auto"/>
                <w:w w:val="90"/>
              </w:rPr>
              <w:t>September 30, 2012</w:t>
            </w:r>
          </w:p>
        </w:tc>
        <w:tc>
          <w:tcPr>
            <w:tcW w:w="780" w:type="dxa"/>
            <w:vAlign w:val="bottom"/>
            <w:tcBorders>
              <w:bottom w:val="single" w:sz="8" w:color="auto"/>
            </w:tcBorders>
          </w:tcPr>
          <w:p>
            <w:pPr>
              <w:spacing w:after="0"/>
              <w:rPr>
                <w:sz w:val="20"/>
                <w:szCs w:val="20"/>
                <w:color w:val="auto"/>
              </w:rPr>
            </w:pPr>
          </w:p>
        </w:tc>
      </w:tr>
      <w:tr>
        <w:trPr>
          <w:trHeight w:val="198"/>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Allowance</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Unpaid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4"/>
              </w:rPr>
              <w:t>for Loan</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4"/>
              </w:rPr>
              <w:t>for Loan</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4"/>
              </w:rPr>
              <w:t>for Loan</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w w:val="77"/>
              </w:rPr>
              <w:t>Losses</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Losses</w:t>
            </w:r>
          </w:p>
        </w:tc>
      </w:tr>
      <w:tr>
        <w:trPr>
          <w:trHeight w:val="241"/>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Balance</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9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Allocated</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Balance</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9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Allocated</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9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Allocated</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With no related allowance</w:t>
            </w: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recorded: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Commercial (secured by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  25,066</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   20,384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  74,066</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   62,609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  85,137</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   77,801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235</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74,572</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49,572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76,247</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51,247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180" w:type="dxa"/>
            <w:vAlign w:val="bottom"/>
          </w:tcPr>
          <w:p>
            <w:pPr>
              <w:ind w:left="180"/>
              <w:spacing w:after="0"/>
              <w:rPr>
                <w:sz w:val="20"/>
                <w:szCs w:val="20"/>
                <w:color w:val="auto"/>
              </w:rPr>
            </w:pPr>
            <w:r>
              <w:rPr>
                <w:rFonts w:ascii="Arial" w:cs="Arial" w:eastAsia="Arial" w:hAnsi="Arial"/>
                <w:sz w:val="18"/>
                <w:szCs w:val="18"/>
                <w:color w:val="auto"/>
                <w:w w:val="99"/>
              </w:rPr>
              <w:t>Commercial construction</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1,127</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23,938</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17,305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17,739</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16,656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218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26,428</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21,746</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172,576</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129,486</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179,123</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145,704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4,768</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10,336</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8,383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11,091</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9,101</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35,439</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19,093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32,228</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19,601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18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62</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2180" w:type="dxa"/>
            <w:vAlign w:val="bottom"/>
          </w:tcPr>
          <w:p>
            <w:pPr>
              <w:ind w:left="340"/>
              <w:spacing w:after="0" w:line="201" w:lineRule="exact"/>
              <w:rPr>
                <w:sz w:val="20"/>
                <w:szCs w:val="20"/>
                <w:color w:val="auto"/>
              </w:rPr>
            </w:pPr>
            <w:r>
              <w:rPr>
                <w:rFonts w:ascii="Arial" w:cs="Arial" w:eastAsia="Arial" w:hAnsi="Arial"/>
                <w:sz w:val="18"/>
                <w:szCs w:val="18"/>
                <w:color w:val="auto"/>
              </w:rPr>
              <w:t>Total with no related</w:t>
            </w: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37"/>
        </w:trPr>
        <w:tc>
          <w:tcPr>
            <w:tcW w:w="2180" w:type="dxa"/>
            <w:vAlign w:val="bottom"/>
          </w:tcPr>
          <w:p>
            <w:pPr>
              <w:ind w:left="340"/>
              <w:spacing w:after="0"/>
              <w:rPr>
                <w:sz w:val="20"/>
                <w:szCs w:val="20"/>
                <w:color w:val="auto"/>
              </w:rPr>
            </w:pPr>
            <w:r>
              <w:rPr>
                <w:rFonts w:ascii="Arial" w:cs="Arial" w:eastAsia="Arial" w:hAnsi="Arial"/>
                <w:sz w:val="18"/>
                <w:szCs w:val="18"/>
                <w:color w:val="auto"/>
              </w:rPr>
              <w:t>allowance recorded</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40,297</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32,839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218,351</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156,962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222,504</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174,113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w w:val="95"/>
              </w:rPr>
              <w:t>With an allowance recorded:</w:t>
            </w: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Commercial (secured by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36,183</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34,079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1,975</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44,395</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41,800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6,106</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44,590</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41,222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6,692</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4,002</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2,170</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2,321</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37"/>
        </w:trPr>
        <w:tc>
          <w:tcPr>
            <w:tcW w:w="2180" w:type="dxa"/>
            <w:vAlign w:val="bottom"/>
          </w:tcPr>
          <w:p>
            <w:pPr>
              <w:ind w:left="180"/>
              <w:spacing w:after="0"/>
              <w:rPr>
                <w:sz w:val="20"/>
                <w:szCs w:val="20"/>
                <w:color w:val="auto"/>
              </w:rPr>
            </w:pPr>
            <w:r>
              <w:rPr>
                <w:rFonts w:ascii="Arial" w:cs="Arial" w:eastAsia="Arial" w:hAnsi="Arial"/>
                <w:sz w:val="18"/>
                <w:szCs w:val="18"/>
                <w:color w:val="auto"/>
                <w:w w:val="99"/>
              </w:rPr>
              <w:t>Commercial construction</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12,430</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12,351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23,746</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22,863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26,476</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25,593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2,289</w:t>
            </w:r>
          </w:p>
        </w:tc>
      </w:tr>
      <w:tr>
        <w:trPr>
          <w:trHeight w:val="202"/>
        </w:trPr>
        <w:tc>
          <w:tcPr>
            <w:tcW w:w="218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52,615</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50,300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2,671</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70,311</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66,592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8,835</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73,387</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69,099</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9,706</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15,598</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15,241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14,267</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13,864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13,410</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12,932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1,856</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7,257</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6,757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662</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15,412</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14,962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13,105</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11,975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1,270</w:t>
            </w:r>
          </w:p>
        </w:tc>
      </w:tr>
      <w:tr>
        <w:trPr>
          <w:trHeight w:val="237"/>
        </w:trPr>
        <w:tc>
          <w:tcPr>
            <w:tcW w:w="218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214</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441</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444</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02"/>
        </w:trPr>
        <w:tc>
          <w:tcPr>
            <w:tcW w:w="2180" w:type="dxa"/>
            <w:vAlign w:val="bottom"/>
          </w:tcPr>
          <w:p>
            <w:pPr>
              <w:ind w:left="340"/>
              <w:spacing w:after="0" w:line="201" w:lineRule="exact"/>
              <w:rPr>
                <w:sz w:val="20"/>
                <w:szCs w:val="20"/>
                <w:color w:val="auto"/>
              </w:rPr>
            </w:pPr>
            <w:r>
              <w:rPr>
                <w:rFonts w:ascii="Arial" w:cs="Arial" w:eastAsia="Arial" w:hAnsi="Arial"/>
                <w:sz w:val="18"/>
                <w:szCs w:val="18"/>
                <w:color w:val="auto"/>
                <w:w w:val="97"/>
              </w:rPr>
              <w:t>Total with an allowance</w:t>
            </w: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30"/>
        </w:trPr>
        <w:tc>
          <w:tcPr>
            <w:tcW w:w="2180" w:type="dxa"/>
            <w:vAlign w:val="bottom"/>
          </w:tcPr>
          <w:p>
            <w:pPr>
              <w:ind w:left="340"/>
              <w:spacing w:after="0"/>
              <w:rPr>
                <w:sz w:val="20"/>
                <w:szCs w:val="20"/>
                <w:color w:val="auto"/>
              </w:rPr>
            </w:pPr>
            <w:r>
              <w:rPr>
                <w:rFonts w:ascii="Arial" w:cs="Arial" w:eastAsia="Arial" w:hAnsi="Arial"/>
                <w:sz w:val="18"/>
                <w:szCs w:val="18"/>
                <w:color w:val="auto"/>
              </w:rPr>
              <w:t>recorded</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75,684</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72,502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100,431</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95,848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100,346</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94,442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12,853</w:t>
            </w:r>
          </w:p>
        </w:tc>
      </w:tr>
    </w:tbl>
    <w:p>
      <w:pPr>
        <w:sectPr>
          <w:pgSz w:w="11900" w:h="16900" w:orient="portrait"/>
          <w:cols w:equalWidth="0" w:num="1">
            <w:col w:w="11420"/>
          </w:cols>
          <w:pgMar w:left="240" w:top="918" w:right="239" w:bottom="0" w:gutter="0" w:footer="0" w:header="0"/>
        </w:sectPr>
      </w:pPr>
    </w:p>
    <w:bookmarkStart w:id="21" w:name="page22"/>
    <w:bookmarkEnd w:id="21"/>
    <w:p>
      <w:pPr>
        <w:spacing w:after="0"/>
        <w:tabs>
          <w:tab w:leader="none" w:pos="1780" w:val="left"/>
          <w:tab w:leader="none" w:pos="2760" w:val="left"/>
          <w:tab w:leader="none" w:pos="3040" w:val="left"/>
          <w:tab w:leader="none" w:pos="3840" w:val="left"/>
          <w:tab w:leader="none" w:pos="4220" w:val="left"/>
          <w:tab w:leader="none" w:pos="4840" w:val="left"/>
          <w:tab w:leader="none" w:pos="5840" w:val="left"/>
          <w:tab w:leader="none" w:pos="6120" w:val="left"/>
          <w:tab w:leader="none" w:pos="6920" w:val="left"/>
          <w:tab w:leader="none" w:pos="7220" w:val="left"/>
          <w:tab w:leader="none" w:pos="7920" w:val="left"/>
          <w:tab w:leader="none" w:pos="8920" w:val="left"/>
          <w:tab w:leader="none" w:pos="9200" w:val="left"/>
          <w:tab w:leader="none" w:pos="10000" w:val="left"/>
          <w:tab w:leader="none" w:pos="103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u w:val="single" w:color="auto"/>
          <w:color w:val="auto"/>
        </w:rPr>
        <w:t>$ 115,981</w:t>
      </w:r>
      <w:r>
        <w:rPr>
          <w:sz w:val="20"/>
          <w:szCs w:val="20"/>
          <w:color w:val="auto"/>
        </w:rPr>
        <w:tab/>
      </w:r>
      <w:r>
        <w:rPr>
          <w:rFonts w:ascii="Arial" w:cs="Arial" w:eastAsia="Arial" w:hAnsi="Arial"/>
          <w:sz w:val="18"/>
          <w:szCs w:val="18"/>
          <w:u w:val="single" w:color="auto"/>
          <w:color w:val="auto"/>
        </w:rPr>
        <w:t>$</w:t>
        <w:tab/>
        <w:t>105,341</w:t>
        <w:tab/>
        <w:t>$</w:t>
      </w:r>
      <w:r>
        <w:rPr>
          <w:sz w:val="20"/>
          <w:szCs w:val="20"/>
          <w:color w:val="auto"/>
        </w:rPr>
        <w:tab/>
      </w:r>
      <w:r>
        <w:rPr>
          <w:rFonts w:ascii="Arial" w:cs="Arial" w:eastAsia="Arial" w:hAnsi="Arial"/>
          <w:sz w:val="18"/>
          <w:szCs w:val="18"/>
          <w:u w:val="single" w:color="auto"/>
          <w:color w:val="auto"/>
        </w:rPr>
        <w:t>5,352</w:t>
        <w:tab/>
        <w:t>$ 318,782</w:t>
        <w:tab/>
        <w:t>$</w:t>
        <w:tab/>
        <w:t>252,810</w:t>
        <w:tab/>
        <w:t>$</w:t>
        <w:tab/>
        <w:t>11,644</w:t>
        <w:tab/>
        <w:t>$ 322,850</w:t>
        <w:tab/>
        <w:t>$</w:t>
        <w:tab/>
        <w:t>268,555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12,853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14605</wp:posOffset>
            </wp:positionV>
            <wp:extent cx="579755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34290"/>
                    </a:xfrm>
                    <a:prstGeom prst="rect">
                      <a:avLst/>
                    </a:prstGeom>
                    <a:noFill/>
                  </pic:spPr>
                </pic:pic>
              </a:graphicData>
            </a:graphic>
          </wp:anchor>
        </w:drawing>
      </w:r>
    </w:p>
    <w:p>
      <w:pPr>
        <w:sectPr>
          <w:pgSz w:w="11900" w:h="16838" w:orient="portrait"/>
          <w:cols w:equalWidth="0" w:num="1">
            <w:col w:w="10820"/>
          </w:cols>
          <w:pgMar w:left="740" w:top="12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29210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740" w:top="125"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loans more than 90 days past due and still accruing interest at September 30, 2013, December 31, 2012 or September 30, 2012.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charged-off) in nonaccrual loans by loan class as of September 30, 2013, December 31, 2012 and September 30, 2102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Nonaccrual Loans</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98"/>
        </w:trPr>
        <w:tc>
          <w:tcPr>
            <w:tcW w:w="4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w w:val="89"/>
              </w:rPr>
              <w:t>September 30,</w:t>
            </w:r>
          </w:p>
        </w:tc>
      </w:tr>
      <w:tr>
        <w:trPr>
          <w:trHeight w:val="241"/>
        </w:trPr>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2012</w:t>
            </w:r>
          </w:p>
        </w:tc>
      </w:tr>
      <w:tr>
        <w:trPr>
          <w:trHeight w:val="418"/>
        </w:trPr>
        <w:tc>
          <w:tcPr>
            <w:tcW w:w="434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8,015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22,148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25,896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31,817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32,678</w:t>
            </w: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23,843</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18,590</w:t>
            </w:r>
          </w:p>
        </w:tc>
      </w:tr>
      <w:tr>
        <w:trPr>
          <w:trHeight w:val="202"/>
        </w:trPr>
        <w:tc>
          <w:tcPr>
            <w:tcW w:w="4340" w:type="dxa"/>
            <w:vAlign w:val="bottom"/>
          </w:tcPr>
          <w:p>
            <w:pPr>
              <w:ind w:left="320"/>
              <w:spacing w:after="0" w:line="201" w:lineRule="exact"/>
              <w:rPr>
                <w:sz w:val="20"/>
                <w:szCs w:val="20"/>
                <w:color w:val="auto"/>
              </w:rPr>
            </w:pPr>
            <w:r>
              <w:rPr>
                <w:rFonts w:ascii="Arial" w:cs="Arial" w:eastAsia="Arial" w:hAnsi="Arial"/>
                <w:sz w:val="18"/>
                <w:szCs w:val="18"/>
                <w:color w:val="auto"/>
              </w:rPr>
              <w:t>Total commercial</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8,967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77,808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77,164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Residential mortgage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12,504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12,589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13,996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18,702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22,935</w:t>
            </w: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Consumer installment</w:t>
            </w:r>
          </w:p>
        </w:tc>
        <w:tc>
          <w:tcPr>
            <w:tcW w:w="1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906</w:t>
            </w:r>
          </w:p>
        </w:tc>
      </w:tr>
      <w:tr>
        <w:trPr>
          <w:trHeight w:val="216"/>
        </w:trPr>
        <w:tc>
          <w:tcPr>
            <w:tcW w:w="4340" w:type="dxa"/>
            <w:vAlign w:val="bottom"/>
          </w:tcPr>
          <w:p>
            <w:pPr>
              <w:ind w:left="3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26,088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109,894</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115,001</w:t>
            </w:r>
          </w:p>
        </w:tc>
      </w:tr>
      <w:tr>
        <w:trPr>
          <w:trHeight w:val="21"/>
        </w:trPr>
        <w:tc>
          <w:tcPr>
            <w:tcW w:w="4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26"/>
        </w:trPr>
        <w:tc>
          <w:tcPr>
            <w:tcW w:w="4340" w:type="dxa"/>
            <w:vAlign w:val="bottom"/>
          </w:tcPr>
          <w:p>
            <w:pPr>
              <w:ind w:left="40"/>
              <w:spacing w:after="0"/>
              <w:rPr>
                <w:sz w:val="20"/>
                <w:szCs w:val="20"/>
                <w:color w:val="auto"/>
              </w:rPr>
            </w:pPr>
            <w:r>
              <w:rPr>
                <w:rFonts w:ascii="Arial" w:cs="Arial" w:eastAsia="Arial" w:hAnsi="Arial"/>
                <w:sz w:val="18"/>
                <w:szCs w:val="18"/>
                <w:color w:val="auto"/>
              </w:rPr>
              <w:t>Balance as a percentage of unpaid principal</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68.8%</w:t>
            </w: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September 30, 2013, December 31, 2012 and September 30, 2012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Loans Past Due</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Loans Not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September 30, 2013</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2"/>
              </w:rPr>
              <w:t>30 - 59 Days</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2"/>
              </w:rPr>
              <w:t>60 - 89 Days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&gt; 90 Days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Past Due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4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2,429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1,737,033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1,742,771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456,367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457,414</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136,895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137,146</w:t>
            </w:r>
          </w:p>
        </w:tc>
        <w:tc>
          <w:tcPr>
            <w:tcW w:w="0" w:type="dxa"/>
            <w:vAlign w:val="bottom"/>
          </w:tcPr>
          <w:p>
            <w:pPr>
              <w:spacing w:after="0"/>
              <w:rPr>
                <w:sz w:val="1"/>
                <w:szCs w:val="1"/>
                <w:color w:val="auto"/>
              </w:rPr>
            </w:pPr>
          </w:p>
        </w:tc>
      </w:tr>
      <w:tr>
        <w:trPr>
          <w:trHeight w:val="202"/>
        </w:trPr>
        <w:tc>
          <w:tcPr>
            <w:tcW w:w="390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2,805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1,474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7,036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2,330,295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2,337,331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8,849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1,292,717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1,309,295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312,742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317,789</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301,547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302,652</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5,072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29,766</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4,237,301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4,267,067</w:t>
            </w: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2012</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90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Commercial (secured by real estate)</w:t>
            </w:r>
          </w:p>
        </w:tc>
        <w:tc>
          <w:tcPr>
            <w:tcW w:w="440" w:type="dxa"/>
            <w:vAlign w:val="bottom"/>
            <w:gridSpan w:val="2"/>
          </w:tcPr>
          <w:p>
            <w:pPr>
              <w:jc w:val="right"/>
              <w:ind w:right="161"/>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8,106</w:t>
            </w:r>
          </w:p>
        </w:tc>
        <w:tc>
          <w:tcPr>
            <w:tcW w:w="3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3,232</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7,476</w:t>
            </w:r>
          </w:p>
        </w:tc>
        <w:tc>
          <w:tcPr>
            <w:tcW w:w="30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18,814</w:t>
            </w:r>
          </w:p>
        </w:tc>
        <w:tc>
          <w:tcPr>
            <w:tcW w:w="2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1,794,551</w:t>
            </w:r>
          </w:p>
        </w:tc>
        <w:tc>
          <w:tcPr>
            <w:tcW w:w="300" w:type="dxa"/>
            <w:vAlign w:val="bottom"/>
            <w:gridSpan w:val="2"/>
          </w:tcPr>
          <w:p>
            <w:pPr>
              <w:jc w:val="right"/>
              <w:ind w:right="45"/>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1,813,365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455,385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458,246</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6,706</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148,063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154,769</w:t>
            </w:r>
          </w:p>
        </w:tc>
        <w:tc>
          <w:tcPr>
            <w:tcW w:w="0" w:type="dxa"/>
            <w:vAlign w:val="bottom"/>
          </w:tcPr>
          <w:p>
            <w:pPr>
              <w:spacing w:after="0"/>
              <w:rPr>
                <w:sz w:val="1"/>
                <w:szCs w:val="1"/>
                <w:color w:val="auto"/>
              </w:rPr>
            </w:pPr>
          </w:p>
        </w:tc>
      </w:tr>
      <w:tr>
        <w:trPr>
          <w:trHeight w:val="202"/>
        </w:trPr>
        <w:tc>
          <w:tcPr>
            <w:tcW w:w="390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11,887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3,661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12,833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28,381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2,397,999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2,426,380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12,292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1,194,637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1,214,203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372,351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381,677</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150,894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152,748</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27,732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8,266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59,127</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4,115,881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4,175,008</w:t>
            </w: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As of September 30, 2012</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90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Commercial (secured by real estate)</w:t>
            </w:r>
          </w:p>
        </w:tc>
        <w:tc>
          <w:tcPr>
            <w:tcW w:w="440" w:type="dxa"/>
            <w:vAlign w:val="bottom"/>
            <w:gridSpan w:val="2"/>
          </w:tcPr>
          <w:p>
            <w:pPr>
              <w:jc w:val="right"/>
              <w:ind w:right="161"/>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5,395</w:t>
            </w:r>
          </w:p>
        </w:tc>
        <w:tc>
          <w:tcPr>
            <w:tcW w:w="3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5,210</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11,103</w:t>
            </w:r>
          </w:p>
        </w:tc>
        <w:tc>
          <w:tcPr>
            <w:tcW w:w="30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21,708</w:t>
            </w:r>
          </w:p>
        </w:tc>
        <w:tc>
          <w:tcPr>
            <w:tcW w:w="2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1,797,447</w:t>
            </w:r>
          </w:p>
        </w:tc>
        <w:tc>
          <w:tcPr>
            <w:tcW w:w="300" w:type="dxa"/>
            <w:vAlign w:val="bottom"/>
            <w:gridSpan w:val="2"/>
          </w:tcPr>
          <w:p>
            <w:pPr>
              <w:jc w:val="right"/>
              <w:ind w:right="45"/>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1,819,155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457,507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459,997</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155,834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160,765</w:t>
            </w:r>
          </w:p>
        </w:tc>
        <w:tc>
          <w:tcPr>
            <w:tcW w:w="0" w:type="dxa"/>
            <w:vAlign w:val="bottom"/>
          </w:tcPr>
          <w:p>
            <w:pPr>
              <w:spacing w:after="0"/>
              <w:rPr>
                <w:sz w:val="1"/>
                <w:szCs w:val="1"/>
                <w:color w:val="auto"/>
              </w:rPr>
            </w:pPr>
          </w:p>
        </w:tc>
      </w:tr>
      <w:tr>
        <w:trPr>
          <w:trHeight w:val="202"/>
        </w:trPr>
        <w:tc>
          <w:tcPr>
            <w:tcW w:w="390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7,107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6,385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15,637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29,129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2,410,788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2,439,917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11,771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1,152,111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1,174,236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17,691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371,051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388,742</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133,068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134,950</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24,465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70,827</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4,067,018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4,137,845</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9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jc w:val="right"/>
              <w:ind w:right="5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522"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30, 2013, December 31, 2012, and September 30, 2012, $4.72 million, $9.50 million and $10.8 million of specific reserves were allocated to customers whose loan terms have been modified in TDRs. United committed to lend additional amounts totaling up to $3,000, $689,000 and $377,000 as of September 30, 2013, December 31, 2012 and September 30, 2012, respectively, to customers with outstanding loans that are classified as TDRs.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additional information on TDRs including the number of loan contracts restructured and the pre- and post-modification recorded investment as of September 30, 2013, December 31, 2012 and September 30, 2012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w w:val="89"/>
              </w:rPr>
              <w:t>September 30, 2013</w:t>
            </w:r>
          </w:p>
        </w:tc>
        <w:tc>
          <w:tcPr>
            <w:tcW w:w="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jc w:val="right"/>
              <w:ind w:right="790"/>
              <w:spacing w:after="0"/>
              <w:rPr>
                <w:sz w:val="20"/>
                <w:szCs w:val="20"/>
                <w:color w:val="auto"/>
              </w:rPr>
            </w:pPr>
            <w:r>
              <w:rPr>
                <w:rFonts w:ascii="Arial" w:cs="Arial" w:eastAsia="Arial" w:hAnsi="Arial"/>
                <w:sz w:val="18"/>
                <w:szCs w:val="18"/>
                <w:b w:val="1"/>
                <w:bCs w:val="1"/>
                <w:color w:val="auto"/>
                <w:w w:val="90"/>
              </w:rPr>
              <w:t>December 31, 2012</w:t>
            </w: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right"/>
              <w:ind w:right="810"/>
              <w:spacing w:after="0"/>
              <w:rPr>
                <w:sz w:val="20"/>
                <w:szCs w:val="20"/>
                <w:color w:val="auto"/>
              </w:rPr>
            </w:pPr>
            <w:r>
              <w:rPr>
                <w:rFonts w:ascii="Arial" w:cs="Arial" w:eastAsia="Arial" w:hAnsi="Arial"/>
                <w:sz w:val="18"/>
                <w:szCs w:val="18"/>
                <w:b w:val="1"/>
                <w:bCs w:val="1"/>
                <w:color w:val="auto"/>
                <w:w w:val="89"/>
              </w:rPr>
              <w:t>September 30, 2012</w:t>
            </w:r>
          </w:p>
        </w:tc>
      </w:tr>
      <w:tr>
        <w:trPr>
          <w:trHeight w:val="198"/>
        </w:trPr>
        <w:tc>
          <w:tcPr>
            <w:tcW w:w="1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1"/>
              </w:rPr>
              <w:t>Pre-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Post-</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1"/>
              </w:rPr>
              <w:t>Pre-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4"/>
              </w:rPr>
              <w:t>Post-</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1"/>
              </w:rPr>
              <w:t>Pre-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84"/>
              </w:rPr>
              <w:t>Post-</w:t>
            </w:r>
          </w:p>
        </w:tc>
      </w:tr>
      <w:tr>
        <w:trPr>
          <w:trHeight w:val="216"/>
        </w:trPr>
        <w:tc>
          <w:tcPr>
            <w:tcW w:w="1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Modification</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Modification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Modification</w:t>
            </w:r>
          </w:p>
        </w:tc>
        <w:tc>
          <w:tcPr>
            <w:tcW w:w="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Modification</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Modification</w:t>
            </w:r>
          </w:p>
        </w:tc>
        <w:tc>
          <w:tcPr>
            <w:tcW w:w="100" w:type="dxa"/>
            <w:vAlign w:val="bottom"/>
          </w:tcPr>
          <w:p>
            <w:pPr>
              <w:spacing w:after="0"/>
              <w:rPr>
                <w:sz w:val="18"/>
                <w:szCs w:val="18"/>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Modification</w:t>
            </w:r>
          </w:p>
        </w:tc>
      </w:tr>
      <w:tr>
        <w:trPr>
          <w:trHeight w:val="216"/>
        </w:trPr>
        <w:tc>
          <w:tcPr>
            <w:tcW w:w="1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6"/>
              </w:rPr>
              <w:t>Number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0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176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Recorded</w:t>
            </w: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Recorded</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17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Contracts</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Contracts</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8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Contracts</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0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Commercial (sec by</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47,963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43,163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80,261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75,340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84,672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79,645</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Commercial &amp;</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industrial</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7,199</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Commercial</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7"/>
        </w:trPr>
        <w:tc>
          <w:tcPr>
            <w:tcW w:w="1760" w:type="dxa"/>
            <w:vAlign w:val="bottom"/>
          </w:tcPr>
          <w:p>
            <w:pPr>
              <w:spacing w:after="0"/>
              <w:rPr>
                <w:sz w:val="20"/>
                <w:szCs w:val="20"/>
                <w:color w:val="auto"/>
              </w:rPr>
            </w:pPr>
            <w:r>
              <w:rPr>
                <w:rFonts w:ascii="Arial" w:cs="Arial" w:eastAsia="Arial" w:hAnsi="Arial"/>
                <w:sz w:val="18"/>
                <w:szCs w:val="18"/>
                <w:color w:val="auto"/>
              </w:rPr>
              <w:t>construction</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35,866</w:t>
            </w:r>
          </w:p>
        </w:tc>
      </w:tr>
      <w:tr>
        <w:trPr>
          <w:trHeight w:val="202"/>
        </w:trPr>
        <w:tc>
          <w:tcPr>
            <w:tcW w:w="176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123</w:t>
            </w: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63,918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58,907</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153</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125,290</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116,399</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156</w:t>
            </w: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129,741</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122,710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Residential mortgage</w:t>
            </w: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17,487</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Residential</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construction</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24,772</w:t>
            </w:r>
          </w:p>
        </w:tc>
      </w:tr>
      <w:tr>
        <w:trPr>
          <w:trHeight w:val="237"/>
        </w:trPr>
        <w:tc>
          <w:tcPr>
            <w:tcW w:w="1760" w:type="dxa"/>
            <w:vAlign w:val="bottom"/>
          </w:tcPr>
          <w:p>
            <w:pPr>
              <w:spacing w:after="0"/>
              <w:rPr>
                <w:sz w:val="20"/>
                <w:szCs w:val="20"/>
                <w:color w:val="auto"/>
              </w:rPr>
            </w:pPr>
            <w:r>
              <w:rPr>
                <w:rFonts w:ascii="Arial" w:cs="Arial" w:eastAsia="Arial" w:hAnsi="Arial"/>
                <w:sz w:val="18"/>
                <w:szCs w:val="18"/>
                <w:color w:val="auto"/>
                <w:w w:val="99"/>
              </w:rPr>
              <w:t>Consumer installment</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1,363</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95,524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87,330</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172,727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160,763</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177,967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166,332</w:t>
            </w:r>
          </w:p>
        </w:tc>
      </w:tr>
      <w:tr>
        <w:trPr>
          <w:trHeight w:val="21"/>
        </w:trPr>
        <w:tc>
          <w:tcPr>
            <w:tcW w:w="1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Loans modified under the terms of a TDR during the three and nine months ended September 30, 2013 and 2012 are presented in the table below. In addition, the following table presents loans modified under the terms of a TDR that became 90 days or more delinquent during the three and nine months ended September 30, 2013 and 2012 that were initially restructured within one year prior to the three and nine months ended September 30, 2013 and 2012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5"/>
              </w:rPr>
              <w:t>Modified Within the</w:t>
            </w:r>
          </w:p>
        </w:tc>
        <w:tc>
          <w:tcPr>
            <w:tcW w:w="42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6"/>
              </w:rPr>
              <w:t>Previous</w:t>
            </w:r>
          </w:p>
        </w:tc>
        <w:tc>
          <w:tcPr>
            <w:tcW w:w="42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Twelve Months that Have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8"/>
              </w:rPr>
              <w:t>Subsequently Defaulted</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3"/>
              </w:rPr>
              <w:t>During</w:t>
            </w:r>
          </w:p>
        </w:tc>
        <w:tc>
          <w:tcPr>
            <w:tcW w:w="42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4"/>
              </w:rPr>
              <w:t>Modification</w:t>
            </w: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Modification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the Three Months Ended</w:t>
            </w:r>
          </w:p>
        </w:tc>
      </w:tr>
      <w:tr>
        <w:trPr>
          <w:trHeight w:val="241"/>
        </w:trPr>
        <w:tc>
          <w:tcPr>
            <w:tcW w:w="5160" w:type="dxa"/>
            <w:vAlign w:val="bottom"/>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b w:val="1"/>
                <w:bCs w:val="1"/>
                <w:color w:val="auto"/>
                <w:w w:val="89"/>
              </w:rPr>
              <w:t>September 30, 2013</w:t>
            </w:r>
          </w:p>
        </w:tc>
        <w:tc>
          <w:tcPr>
            <w:tcW w:w="420" w:type="dxa"/>
            <w:vAlign w:val="bottom"/>
            <w:tcBorders>
              <w:bottom w:val="single" w:sz="8" w:color="auto"/>
            </w:tcBorders>
          </w:tcPr>
          <w:p>
            <w:pPr>
              <w:spacing w:after="0"/>
              <w:rPr>
                <w:sz w:val="20"/>
                <w:szCs w:val="20"/>
                <w:color w:val="auto"/>
              </w:rPr>
            </w:pPr>
          </w:p>
        </w:tc>
      </w:tr>
      <w:tr>
        <w:trPr>
          <w:trHeight w:val="198"/>
        </w:trPr>
        <w:tc>
          <w:tcPr>
            <w:tcW w:w="5160" w:type="dxa"/>
            <w:vAlign w:val="bottom"/>
          </w:tcPr>
          <w:p>
            <w:pPr>
              <w:spacing w:after="0" w:line="198" w:lineRule="exact"/>
              <w:rPr>
                <w:sz w:val="20"/>
                <w:szCs w:val="20"/>
                <w:color w:val="auto"/>
              </w:rPr>
            </w:pPr>
            <w:r>
              <w:rPr>
                <w:rFonts w:ascii="Arial" w:cs="Arial" w:eastAsia="Arial" w:hAnsi="Arial"/>
                <w:sz w:val="18"/>
                <w:szCs w:val="18"/>
                <w:b w:val="1"/>
                <w:bCs w:val="1"/>
                <w:color w:val="auto"/>
              </w:rPr>
              <w:t>Restructurings for the Three</w:t>
            </w:r>
          </w:p>
        </w:tc>
        <w:tc>
          <w:tcPr>
            <w:tcW w:w="120" w:type="dxa"/>
            <w:vAlign w:val="bottom"/>
          </w:tcPr>
          <w:p>
            <w:pPr>
              <w:spacing w:after="0"/>
              <w:rPr>
                <w:sz w:val="17"/>
                <w:szCs w:val="17"/>
                <w:color w:val="auto"/>
              </w:rPr>
            </w:pPr>
          </w:p>
        </w:tc>
        <w:tc>
          <w:tcPr>
            <w:tcW w:w="11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7"/>
                <w:szCs w:val="17"/>
                <w:color w:val="auto"/>
              </w:rPr>
            </w:pPr>
          </w:p>
        </w:tc>
        <w:tc>
          <w:tcPr>
            <w:tcW w:w="1120" w:type="dxa"/>
            <w:vAlign w:val="bottom"/>
            <w:gridSpan w:val="2"/>
          </w:tcPr>
          <w:p>
            <w:pPr>
              <w:jc w:val="right"/>
              <w:ind w:right="150"/>
              <w:spacing w:after="0" w:line="198" w:lineRule="exact"/>
              <w:rPr>
                <w:sz w:val="20"/>
                <w:szCs w:val="20"/>
                <w:color w:val="auto"/>
              </w:rPr>
            </w:pPr>
            <w:r>
              <w:rPr>
                <w:rFonts w:ascii="Arial" w:cs="Arial" w:eastAsia="Arial" w:hAnsi="Arial"/>
                <w:sz w:val="18"/>
                <w:szCs w:val="18"/>
                <w:b w:val="1"/>
                <w:bCs w:val="1"/>
                <w:color w:val="auto"/>
              </w:rPr>
              <w:t>Recorded</w:t>
            </w:r>
          </w:p>
        </w:tc>
      </w:tr>
      <w:tr>
        <w:trPr>
          <w:trHeight w:val="24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Months Ended September 30, 2013</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Investment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Contracts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Investment</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1,841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3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516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1,909</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809</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Residential mortgage</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533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414</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Consumer installment</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956</w:t>
            </w:r>
          </w:p>
        </w:tc>
      </w:tr>
      <w:tr>
        <w:trPr>
          <w:trHeight w:val="21"/>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669"/>
        </w:trPr>
        <w:tc>
          <w:tcPr>
            <w:tcW w:w="5160" w:type="dxa"/>
            <w:vAlign w:val="bottom"/>
            <w:tcBorders>
              <w:bottom w:val="single" w:sz="8" w:color="DCDCDC"/>
            </w:tcBorders>
          </w:tcPr>
          <w:p>
            <w:pPr>
              <w:spacing w:after="0"/>
              <w:rPr>
                <w:sz w:val="24"/>
                <w:szCs w:val="24"/>
                <w:color w:val="auto"/>
              </w:rPr>
            </w:pPr>
          </w:p>
        </w:tc>
        <w:tc>
          <w:tcPr>
            <w:tcW w:w="1280" w:type="dxa"/>
            <w:vAlign w:val="bottom"/>
            <w:tcBorders>
              <w:bottom w:val="single" w:sz="8" w:color="DCDCDC"/>
            </w:tcBorders>
            <w:gridSpan w:val="2"/>
          </w:tcPr>
          <w:p>
            <w:pPr>
              <w:jc w:val="right"/>
              <w:ind w:right="55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5"/>
              </w:rPr>
              <w:t>Modified Within the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6"/>
              </w:rPr>
              <w:t>Previous</w:t>
            </w:r>
          </w:p>
        </w:tc>
        <w:tc>
          <w:tcPr>
            <w:tcW w:w="7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Twelve Months that Have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8"/>
              </w:rPr>
              <w:t>Subsequently Defaulted</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Post-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3"/>
              </w:rPr>
              <w:t>During</w:t>
            </w:r>
          </w:p>
        </w:tc>
        <w:tc>
          <w:tcPr>
            <w:tcW w:w="7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Modification</w:t>
            </w:r>
          </w:p>
        </w:tc>
        <w:tc>
          <w:tcPr>
            <w:tcW w:w="12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Modification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the Nine Months Ended</w:t>
            </w:r>
          </w:p>
        </w:tc>
      </w:tr>
      <w:tr>
        <w:trPr>
          <w:trHeight w:val="241"/>
        </w:trPr>
        <w:tc>
          <w:tcPr>
            <w:tcW w:w="5160" w:type="dxa"/>
            <w:vAlign w:val="bottom"/>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9"/>
              </w:rPr>
              <w:t>September 30, 2013</w:t>
            </w:r>
          </w:p>
        </w:tc>
      </w:tr>
      <w:tr>
        <w:trPr>
          <w:trHeight w:val="198"/>
        </w:trPr>
        <w:tc>
          <w:tcPr>
            <w:tcW w:w="5160" w:type="dxa"/>
            <w:vAlign w:val="bottom"/>
          </w:tcPr>
          <w:p>
            <w:pPr>
              <w:spacing w:after="0" w:line="198" w:lineRule="exact"/>
              <w:rPr>
                <w:sz w:val="20"/>
                <w:szCs w:val="20"/>
                <w:color w:val="auto"/>
              </w:rPr>
            </w:pPr>
            <w:r>
              <w:rPr>
                <w:rFonts w:ascii="Arial" w:cs="Arial" w:eastAsia="Arial" w:hAnsi="Arial"/>
                <w:sz w:val="18"/>
                <w:szCs w:val="18"/>
                <w:b w:val="1"/>
                <w:bCs w:val="1"/>
                <w:color w:val="auto"/>
              </w:rPr>
              <w:t>Restructurings for the Nine</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7"/>
                <w:szCs w:val="17"/>
                <w:color w:val="auto"/>
              </w:rPr>
            </w:pPr>
          </w:p>
        </w:tc>
        <w:tc>
          <w:tcPr>
            <w:tcW w:w="112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Recorded</w:t>
            </w:r>
          </w:p>
        </w:tc>
      </w:tr>
      <w:tr>
        <w:trPr>
          <w:trHeight w:val="24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Months Ended September 30, 2013</w:t>
            </w: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11,932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19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1,454</w:t>
            </w:r>
          </w:p>
        </w:tc>
      </w:tr>
      <w:tr>
        <w:trPr>
          <w:trHeight w:val="202"/>
        </w:trPr>
        <w:tc>
          <w:tcPr>
            <w:tcW w:w="516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12,815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100"/>
              <w:spacing w:after="0" w:line="201" w:lineRule="exact"/>
              <w:rPr>
                <w:sz w:val="20"/>
                <w:szCs w:val="20"/>
                <w:color w:val="auto"/>
              </w:rPr>
            </w:pPr>
            <w:r>
              <w:rPr>
                <w:rFonts w:ascii="Arial" w:cs="Arial" w:eastAsia="Arial" w:hAnsi="Arial"/>
                <w:sz w:val="18"/>
                <w:szCs w:val="18"/>
                <w:color w:val="auto"/>
              </w:rPr>
              <w:t>11,609</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1,921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Residential mortgage</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Consumer installment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19,822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18,185</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3,122</w:t>
            </w:r>
          </w:p>
        </w:tc>
      </w:tr>
      <w:tr>
        <w:trPr>
          <w:trHeight w:val="21"/>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43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5"/>
              </w:rPr>
              <w:t>Modified Within the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6"/>
              </w:rPr>
              <w:t>Previous</w:t>
            </w:r>
          </w:p>
        </w:tc>
        <w:tc>
          <w:tcPr>
            <w:tcW w:w="7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Twelve Months that Have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8"/>
              </w:rPr>
              <w:t>Subsequently Defaulted</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Post-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3"/>
              </w:rPr>
              <w:t>During</w:t>
            </w:r>
          </w:p>
        </w:tc>
        <w:tc>
          <w:tcPr>
            <w:tcW w:w="7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Modification</w:t>
            </w:r>
          </w:p>
        </w:tc>
        <w:tc>
          <w:tcPr>
            <w:tcW w:w="12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Modification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1"/>
              </w:rPr>
              <w:t>the Three Months Ended</w:t>
            </w:r>
          </w:p>
        </w:tc>
      </w:tr>
      <w:tr>
        <w:trPr>
          <w:trHeight w:val="241"/>
        </w:trPr>
        <w:tc>
          <w:tcPr>
            <w:tcW w:w="5160" w:type="dxa"/>
            <w:vAlign w:val="bottom"/>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9"/>
              </w:rPr>
              <w:t>September 30, 2012</w:t>
            </w:r>
          </w:p>
        </w:tc>
      </w:tr>
      <w:tr>
        <w:trPr>
          <w:trHeight w:val="198"/>
        </w:trPr>
        <w:tc>
          <w:tcPr>
            <w:tcW w:w="5160" w:type="dxa"/>
            <w:vAlign w:val="bottom"/>
          </w:tcPr>
          <w:p>
            <w:pPr>
              <w:spacing w:after="0" w:line="198" w:lineRule="exact"/>
              <w:rPr>
                <w:sz w:val="20"/>
                <w:szCs w:val="20"/>
                <w:color w:val="auto"/>
              </w:rPr>
            </w:pPr>
            <w:r>
              <w:rPr>
                <w:rFonts w:ascii="Arial" w:cs="Arial" w:eastAsia="Arial" w:hAnsi="Arial"/>
                <w:sz w:val="18"/>
                <w:szCs w:val="18"/>
                <w:b w:val="1"/>
                <w:bCs w:val="1"/>
                <w:color w:val="auto"/>
              </w:rPr>
              <w:t>Restructurings for the Three</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7"/>
                <w:szCs w:val="17"/>
                <w:color w:val="auto"/>
              </w:rPr>
            </w:pPr>
          </w:p>
        </w:tc>
        <w:tc>
          <w:tcPr>
            <w:tcW w:w="112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Recorded</w:t>
            </w:r>
          </w:p>
        </w:tc>
      </w:tr>
      <w:tr>
        <w:trPr>
          <w:trHeight w:val="24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Months Ended September 30, 2012</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7,914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9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516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13,607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100"/>
              <w:spacing w:after="0" w:line="201" w:lineRule="exact"/>
              <w:rPr>
                <w:sz w:val="20"/>
                <w:szCs w:val="20"/>
                <w:color w:val="auto"/>
              </w:rPr>
            </w:pPr>
            <w:r>
              <w:rPr>
                <w:rFonts w:ascii="Arial" w:cs="Arial" w:eastAsia="Arial" w:hAnsi="Arial"/>
                <w:sz w:val="18"/>
                <w:szCs w:val="18"/>
                <w:color w:val="auto"/>
              </w:rPr>
              <w:t>13,449</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324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Residential mortgage</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2,953</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Consumer installment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22,472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21,782</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3,326</w:t>
            </w:r>
          </w:p>
        </w:tc>
      </w:tr>
      <w:tr>
        <w:trPr>
          <w:trHeight w:val="21"/>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43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5"/>
              </w:rPr>
              <w:t>Modified Within the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6"/>
              </w:rPr>
              <w:t>Previous</w:t>
            </w:r>
          </w:p>
        </w:tc>
        <w:tc>
          <w:tcPr>
            <w:tcW w:w="7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Twelve Months that Have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8"/>
              </w:rPr>
              <w:t>Subsequently Defaulted</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Post-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3"/>
              </w:rPr>
              <w:t>During</w:t>
            </w:r>
          </w:p>
        </w:tc>
        <w:tc>
          <w:tcPr>
            <w:tcW w:w="7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Modification</w:t>
            </w:r>
          </w:p>
        </w:tc>
        <w:tc>
          <w:tcPr>
            <w:tcW w:w="12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Modification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the Nine Months Ended</w:t>
            </w:r>
          </w:p>
        </w:tc>
      </w:tr>
      <w:tr>
        <w:trPr>
          <w:trHeight w:val="241"/>
        </w:trPr>
        <w:tc>
          <w:tcPr>
            <w:tcW w:w="5160" w:type="dxa"/>
            <w:vAlign w:val="bottom"/>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9"/>
              </w:rPr>
              <w:t>September 30, 2012</w:t>
            </w:r>
          </w:p>
        </w:tc>
      </w:tr>
      <w:tr>
        <w:trPr>
          <w:trHeight w:val="198"/>
        </w:trPr>
        <w:tc>
          <w:tcPr>
            <w:tcW w:w="5160" w:type="dxa"/>
            <w:vAlign w:val="bottom"/>
          </w:tcPr>
          <w:p>
            <w:pPr>
              <w:spacing w:after="0" w:line="198" w:lineRule="exact"/>
              <w:rPr>
                <w:sz w:val="20"/>
                <w:szCs w:val="20"/>
                <w:color w:val="auto"/>
              </w:rPr>
            </w:pPr>
            <w:r>
              <w:rPr>
                <w:rFonts w:ascii="Arial" w:cs="Arial" w:eastAsia="Arial" w:hAnsi="Arial"/>
                <w:sz w:val="18"/>
                <w:szCs w:val="18"/>
                <w:b w:val="1"/>
                <w:bCs w:val="1"/>
                <w:color w:val="auto"/>
              </w:rPr>
              <w:t>Restructurings for the Nine</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7"/>
                <w:szCs w:val="17"/>
                <w:color w:val="auto"/>
              </w:rPr>
            </w:pPr>
          </w:p>
        </w:tc>
        <w:tc>
          <w:tcPr>
            <w:tcW w:w="112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Recorded</w:t>
            </w:r>
          </w:p>
        </w:tc>
      </w:tr>
      <w:tr>
        <w:trPr>
          <w:trHeight w:val="24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Months Ended September 30, 2012</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30,828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460" w:type="dxa"/>
            <w:vAlign w:val="bottom"/>
            <w:gridSpan w:val="2"/>
          </w:tcPr>
          <w:p>
            <w:pPr>
              <w:jc w:val="right"/>
              <w:ind w:right="19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2,631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33,934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4,174</w:t>
            </w:r>
          </w:p>
        </w:tc>
      </w:tr>
      <w:tr>
        <w:trPr>
          <w:trHeight w:val="202"/>
        </w:trPr>
        <w:tc>
          <w:tcPr>
            <w:tcW w:w="516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87</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68,326</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100"/>
              <w:spacing w:after="0" w:line="201" w:lineRule="exact"/>
              <w:rPr>
                <w:sz w:val="20"/>
                <w:szCs w:val="20"/>
                <w:color w:val="auto"/>
              </w:rPr>
            </w:pPr>
            <w:r>
              <w:rPr>
                <w:rFonts w:ascii="Arial" w:cs="Arial" w:eastAsia="Arial" w:hAnsi="Arial"/>
                <w:sz w:val="18"/>
                <w:szCs w:val="18"/>
                <w:color w:val="auto"/>
              </w:rPr>
              <w:t>66,723</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6,853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Residential mortgage</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17,958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4,550</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Consumer installment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99,417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95,256</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11,858</w:t>
            </w:r>
          </w:p>
        </w:tc>
      </w:tr>
      <w:tr>
        <w:trPr>
          <w:trHeight w:val="21"/>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Collateral dependent TDRs that subsequently default and are placed on nonaccrual are charged down to the fair value of the collateral consistent with United’s policy for nonaccrual loans. Impairment on TDRs that are not collateral dependent continues to be measured on discounted cash flows regardless of whether the loan has subsequently defaulted.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532"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of September 30, 2013, December 31, 2012 and September 30, 2012,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Substandard</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Doubtful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30, 2013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Pass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Watch</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9"/>
              </w:rPr>
              <w:t>Performing</w:t>
            </w:r>
          </w:p>
        </w:tc>
        <w:tc>
          <w:tcPr>
            <w:tcW w:w="120" w:type="dxa"/>
            <w:vAlign w:val="bottom"/>
          </w:tcPr>
          <w:p>
            <w:pPr>
              <w:spacing w:after="0"/>
              <w:rPr>
                <w:sz w:val="21"/>
                <w:szCs w:val="21"/>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Nonaccrual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Not Rated</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Commercial (secured by real estate)</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1,603,863</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55,351</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75,542</w:t>
            </w: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ind w:right="222"/>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8,015</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99"/>
              </w:rPr>
              <w:t>1,742,771</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435,635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10,342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457,414</w:t>
            </w:r>
          </w:p>
        </w:tc>
        <w:tc>
          <w:tcPr>
            <w:tcW w:w="0" w:type="dxa"/>
            <w:vAlign w:val="bottom"/>
          </w:tcPr>
          <w:p>
            <w:pPr>
              <w:spacing w:after="0"/>
              <w:rPr>
                <w:sz w:val="1"/>
                <w:szCs w:val="1"/>
                <w:color w:val="auto"/>
              </w:rPr>
            </w:pP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109,332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10,560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16,911</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137,146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32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2,148,830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75,973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102,795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8,967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2,337,331</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1,215,149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28,470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53,172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1,309,295</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283,197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14,943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15,552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317,789</w:t>
            </w:r>
          </w:p>
        </w:tc>
        <w:tc>
          <w:tcPr>
            <w:tcW w:w="0" w:type="dxa"/>
            <w:vAlign w:val="bottom"/>
          </w:tcPr>
          <w:p>
            <w:pPr>
              <w:spacing w:after="0"/>
              <w:rPr>
                <w:sz w:val="1"/>
                <w:szCs w:val="1"/>
                <w:color w:val="auto"/>
              </w:rPr>
            </w:pP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298,823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3,945,999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120,548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173,666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2"/>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26,088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4,267,067</w:t>
            </w:r>
          </w:p>
        </w:tc>
        <w:tc>
          <w:tcPr>
            <w:tcW w:w="0" w:type="dxa"/>
            <w:vAlign w:val="bottom"/>
          </w:tcPr>
          <w:p>
            <w:pPr>
              <w:spacing w:after="0"/>
              <w:rPr>
                <w:sz w:val="1"/>
                <w:szCs w:val="1"/>
                <w:color w:val="auto"/>
              </w:rPr>
            </w:pPr>
          </w:p>
        </w:tc>
      </w:tr>
      <w:tr>
        <w:trPr>
          <w:trHeight w:val="21"/>
        </w:trPr>
        <w:tc>
          <w:tcPr>
            <w:tcW w:w="2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December 31, 2012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640" w:type="dxa"/>
            <w:vAlign w:val="bottom"/>
            <w:tcBorders>
              <w:bottom w:val="single" w:sz="8" w:color="auto"/>
            </w:tcBorders>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w w:val="90"/>
              </w:rPr>
              <w:t>Commercial (secured by real estate)</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1,592,677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80,997</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117,543</w:t>
            </w:r>
          </w:p>
        </w:tc>
        <w:tc>
          <w:tcPr>
            <w:tcW w:w="50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22,148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1,813,365</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401,606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18,477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458,246</w:t>
            </w:r>
          </w:p>
        </w:tc>
        <w:tc>
          <w:tcPr>
            <w:tcW w:w="0" w:type="dxa"/>
            <w:vAlign w:val="bottom"/>
          </w:tcPr>
          <w:p>
            <w:pPr>
              <w:spacing w:after="0"/>
              <w:rPr>
                <w:sz w:val="1"/>
                <w:szCs w:val="1"/>
                <w:color w:val="auto"/>
              </w:rPr>
            </w:pP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104,296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7,345</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19,285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23,843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32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2,098,579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93,746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155,305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77,808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2,426,380</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1,102,746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33,689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65,179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12,589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1,214,203</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292,264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32,907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37,804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18,702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381,677</w:t>
            </w:r>
          </w:p>
        </w:tc>
        <w:tc>
          <w:tcPr>
            <w:tcW w:w="0" w:type="dxa"/>
            <w:vAlign w:val="bottom"/>
          </w:tcPr>
          <w:p>
            <w:pPr>
              <w:spacing w:after="0"/>
              <w:rPr>
                <w:sz w:val="1"/>
                <w:szCs w:val="1"/>
                <w:color w:val="auto"/>
              </w:rPr>
            </w:pP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147,214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3,640,803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161,428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261,941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2"/>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2"/>
              </w:rPr>
              <w:t>109,894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4,175,008</w:t>
            </w:r>
          </w:p>
        </w:tc>
        <w:tc>
          <w:tcPr>
            <w:tcW w:w="0" w:type="dxa"/>
            <w:vAlign w:val="bottom"/>
          </w:tcPr>
          <w:p>
            <w:pPr>
              <w:spacing w:after="0"/>
              <w:rPr>
                <w:sz w:val="1"/>
                <w:szCs w:val="1"/>
                <w:color w:val="auto"/>
              </w:rPr>
            </w:pPr>
          </w:p>
        </w:tc>
      </w:tr>
      <w:tr>
        <w:trPr>
          <w:trHeight w:val="21"/>
        </w:trPr>
        <w:tc>
          <w:tcPr>
            <w:tcW w:w="2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September 30, 2012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640" w:type="dxa"/>
            <w:vAlign w:val="bottom"/>
            <w:tcBorders>
              <w:bottom w:val="single" w:sz="8" w:color="auto"/>
            </w:tcBorders>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w w:val="90"/>
              </w:rPr>
              <w:t>Commercial (secured by real estate)</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1,591,321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75,606</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126,332</w:t>
            </w:r>
          </w:p>
        </w:tc>
        <w:tc>
          <w:tcPr>
            <w:tcW w:w="50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25,896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1,819,155</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403,460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18,740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32,678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459,997</w:t>
            </w:r>
          </w:p>
        </w:tc>
        <w:tc>
          <w:tcPr>
            <w:tcW w:w="0" w:type="dxa"/>
            <w:vAlign w:val="bottom"/>
          </w:tcPr>
          <w:p>
            <w:pPr>
              <w:spacing w:after="0"/>
              <w:rPr>
                <w:sz w:val="1"/>
                <w:szCs w:val="1"/>
                <w:color w:val="auto"/>
              </w:rPr>
            </w:pP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108,909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27,180</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18,590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32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2,103,690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85,871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172,252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77,164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2,439,917</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1,051,402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36,640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72,198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1,174,236</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292,002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38,635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35,170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388,742</w:t>
            </w:r>
          </w:p>
        </w:tc>
        <w:tc>
          <w:tcPr>
            <w:tcW w:w="0" w:type="dxa"/>
            <w:vAlign w:val="bottom"/>
          </w:tcPr>
          <w:p>
            <w:pPr>
              <w:spacing w:after="0"/>
              <w:rPr>
                <w:sz w:val="1"/>
                <w:szCs w:val="1"/>
                <w:color w:val="auto"/>
              </w:rPr>
            </w:pP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130,277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3,577,371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162,027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282,506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2"/>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2"/>
              </w:rPr>
              <w:t>115,001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4,137,845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 Loss are charged-off.</w:t>
      </w:r>
      <w:r>
        <w:rPr>
          <w:rFonts w:ascii="Arial" w:cs="Arial" w:eastAsia="Arial" w:hAnsi="Arial"/>
          <w:sz w:val="18"/>
          <w:szCs w:val="18"/>
          <w:b w:val="1"/>
          <w:bCs w:val="1"/>
          <w:color w:val="auto"/>
        </w:rPr>
        <w:t xml:space="preserve"> </w:t>
      </w:r>
      <w:r>
        <w:rPr>
          <w:rFonts w:ascii="Arial" w:cs="Arial" w:eastAsia="Arial" w:hAnsi="Arial"/>
          <w:sz w:val="18"/>
          <w:szCs w:val="18"/>
          <w:color w:val="auto"/>
        </w:rPr>
        <w:t>Loans not meeting the criteria above that are analyzed individually as part of the above described process are considered to be pass rated loans. Loans listed as not rated are generally deposit account overdrafts that have not been assigned a grade.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856"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Foreclosed Property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Major classifications of foreclosed properties at September 30, 2013, December 31, 2012 and September 30, 2012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4"/>
              </w:rPr>
              <w:t>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December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88"/>
              </w:rPr>
              <w:t>September</w:t>
            </w:r>
          </w:p>
        </w:tc>
      </w:tr>
      <w:tr>
        <w:trPr>
          <w:trHeight w:val="216"/>
        </w:trPr>
        <w:tc>
          <w:tcPr>
            <w:tcW w:w="5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30,</w:t>
            </w:r>
          </w:p>
        </w:tc>
      </w:tr>
      <w:tr>
        <w:trPr>
          <w:trHeight w:val="241"/>
        </w:trPr>
        <w:tc>
          <w:tcPr>
            <w:tcW w:w="5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418"/>
        </w:trPr>
        <w:tc>
          <w:tcPr>
            <w:tcW w:w="5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6,368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9,613</w:t>
            </w: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3,121</w:t>
            </w:r>
          </w:p>
        </w:tc>
      </w:tr>
      <w:tr>
        <w:trPr>
          <w:trHeight w:val="202"/>
        </w:trPr>
        <w:tc>
          <w:tcPr>
            <w:tcW w:w="5320" w:type="dxa"/>
            <w:vAlign w:val="bottom"/>
          </w:tcPr>
          <w:p>
            <w:pPr>
              <w:ind w:left="320"/>
              <w:spacing w:after="0" w:line="201" w:lineRule="exact"/>
              <w:rPr>
                <w:sz w:val="20"/>
                <w:szCs w:val="20"/>
                <w:color w:val="auto"/>
              </w:rPr>
            </w:pPr>
            <w:r>
              <w:rPr>
                <w:rFonts w:ascii="Arial" w:cs="Arial" w:eastAsia="Arial" w:hAnsi="Arial"/>
                <w:sz w:val="18"/>
                <w:szCs w:val="18"/>
                <w:color w:val="auto"/>
              </w:rPr>
              <w:t>Total commercial</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1,506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8,572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12,734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Residential mortgage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6,509</w:t>
            </w: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11,454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19,043</w:t>
            </w:r>
          </w:p>
        </w:tc>
      </w:tr>
      <w:tr>
        <w:trPr>
          <w:trHeight w:val="202"/>
        </w:trPr>
        <w:tc>
          <w:tcPr>
            <w:tcW w:w="5320" w:type="dxa"/>
            <w:vAlign w:val="bottom"/>
          </w:tcPr>
          <w:p>
            <w:pPr>
              <w:ind w:left="160"/>
              <w:spacing w:after="0" w:line="201" w:lineRule="exact"/>
              <w:rPr>
                <w:sz w:val="20"/>
                <w:szCs w:val="20"/>
                <w:color w:val="auto"/>
              </w:rPr>
            </w:pPr>
            <w:r>
              <w:rPr>
                <w:rFonts w:ascii="Arial" w:cs="Arial" w:eastAsia="Arial" w:hAnsi="Arial"/>
                <w:sz w:val="18"/>
                <w:szCs w:val="18"/>
                <w:color w:val="auto"/>
              </w:rPr>
              <w:t>Total foreclosed property</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5,907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25,218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38,286</w:t>
            </w: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(6,954)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(11,328)</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Foreclosed property, net</w:t>
            </w:r>
          </w:p>
        </w:tc>
        <w:tc>
          <w:tcPr>
            <w:tcW w:w="122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18,264</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26,958</w:t>
            </w:r>
          </w:p>
        </w:tc>
      </w:tr>
      <w:tr>
        <w:trPr>
          <w:trHeight w:val="21"/>
        </w:trPr>
        <w:tc>
          <w:tcPr>
            <w:tcW w:w="5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6"/>
        </w:trPr>
        <w:tc>
          <w:tcPr>
            <w:tcW w:w="5320" w:type="dxa"/>
            <w:vAlign w:val="bottom"/>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2013, United completed the accelerated sales of classified assets including performing and nonperforming classified loans and foreclosed properties. The classified asset sales resulted in a much lower balance of foreclosed property costs at September 30, 2013 and elevated losses from sales for the first nine months of 2013.</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Activity in the valuation allowance for foreclosed property for the three and nine months ended September 30, 2013 and 2012 is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Nine Months Ended</w:t>
            </w:r>
          </w:p>
        </w:tc>
      </w:tr>
      <w:tr>
        <w:trPr>
          <w:trHeight w:val="241"/>
        </w:trPr>
        <w:tc>
          <w:tcPr>
            <w:tcW w:w="6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418"/>
        </w:trPr>
        <w:tc>
          <w:tcPr>
            <w:tcW w:w="65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3,602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11,872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6,954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18,982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5,513</w:t>
            </w: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Disposals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(13,167)</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11,328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11,328</w:t>
            </w:r>
          </w:p>
        </w:tc>
      </w:tr>
      <w:tr>
        <w:trPr>
          <w:trHeight w:val="21"/>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Expenses related to foreclosed assets for the three and nine months ended September 30, 2013 and 2012 is presented in the following table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2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18"/>
        </w:trPr>
        <w:tc>
          <w:tcPr>
            <w:tcW w:w="4200" w:type="dxa"/>
            <w:vAlign w:val="bottom"/>
          </w:tcPr>
          <w:p>
            <w:pPr>
              <w:spacing w:after="0"/>
              <w:rPr>
                <w:sz w:val="20"/>
                <w:szCs w:val="20"/>
                <w:color w:val="auto"/>
              </w:rPr>
            </w:pPr>
            <w:r>
              <w:rPr>
                <w:rFonts w:ascii="Arial" w:cs="Arial" w:eastAsia="Arial" w:hAnsi="Arial"/>
                <w:sz w:val="18"/>
                <w:szCs w:val="18"/>
                <w:color w:val="auto"/>
              </w:rPr>
              <w:t>Net loss on sales</w:t>
            </w:r>
          </w:p>
        </w:tc>
        <w:tc>
          <w:tcPr>
            <w:tcW w:w="304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3,563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(648)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16"/>
        </w:trPr>
        <w:tc>
          <w:tcPr>
            <w:tcW w:w="4200" w:type="dxa"/>
            <w:vAlign w:val="bottom"/>
          </w:tcPr>
          <w:p>
            <w:pPr>
              <w:ind w:left="340"/>
              <w:spacing w:after="0"/>
              <w:rPr>
                <w:sz w:val="20"/>
                <w:szCs w:val="20"/>
                <w:color w:val="auto"/>
              </w:rPr>
            </w:pPr>
            <w:r>
              <w:rPr>
                <w:rFonts w:ascii="Arial" w:cs="Arial" w:eastAsia="Arial" w:hAnsi="Arial"/>
                <w:sz w:val="18"/>
                <w:szCs w:val="18"/>
                <w:color w:val="auto"/>
              </w:rPr>
              <w:t>Total foreclosed property expense</w:t>
            </w:r>
          </w:p>
        </w:tc>
        <w:tc>
          <w:tcPr>
            <w:tcW w:w="2340" w:type="dxa"/>
            <w:vAlign w:val="bottom"/>
          </w:tcPr>
          <w:p>
            <w:pPr>
              <w:spacing w:after="0"/>
              <w:rPr>
                <w:sz w:val="18"/>
                <w:szCs w:val="18"/>
                <w:color w:val="auto"/>
              </w:rPr>
            </w:pPr>
          </w:p>
        </w:tc>
        <w:tc>
          <w:tcPr>
            <w:tcW w:w="700" w:type="dxa"/>
            <w:vAlign w:val="bottom"/>
            <w:tcBorders>
              <w:bottom w:val="single" w:sz="8" w:color="auto"/>
            </w:tcBorders>
          </w:tcPr>
          <w:p>
            <w:pPr>
              <w:jc w:val="right"/>
              <w:ind w:right="534"/>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340" w:type="dxa"/>
            <w:vAlign w:val="bottom"/>
            <w:vMerge w:val="restart"/>
          </w:tcPr>
          <w:p>
            <w:pPr>
              <w:jc w:val="right"/>
              <w:ind w:right="650"/>
              <w:spacing w:after="0"/>
              <w:rPr>
                <w:sz w:val="20"/>
                <w:szCs w:val="20"/>
                <w:color w:val="auto"/>
              </w:rPr>
            </w:pPr>
            <w:r>
              <w:rPr>
                <w:rFonts w:ascii="Arial" w:cs="Arial" w:eastAsia="Arial" w:hAnsi="Arial"/>
                <w:sz w:val="18"/>
                <w:szCs w:val="18"/>
                <w:color w:val="auto"/>
              </w:rPr>
              <w:t>22</w:t>
            </w: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200" w:type="dxa"/>
            <w:vAlign w:val="bottom"/>
            <w:tcBorders>
              <w:bottom w:val="single" w:sz="8" w:color="DCDCDC"/>
            </w:tcBorders>
          </w:tcPr>
          <w:p>
            <w:pPr>
              <w:spacing w:after="0"/>
              <w:rPr>
                <w:sz w:val="24"/>
                <w:szCs w:val="24"/>
                <w:color w:val="auto"/>
              </w:rPr>
            </w:pPr>
          </w:p>
        </w:tc>
        <w:tc>
          <w:tcPr>
            <w:tcW w:w="2340" w:type="dxa"/>
            <w:vAlign w:val="bottom"/>
            <w:tcBorders>
              <w:bottom w:val="single" w:sz="8" w:color="DCDCDC"/>
            </w:tcBorders>
            <w:vMerge w:val="continue"/>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 term debt at September 30, 2013, December 31, 2012 and September 30, 2012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Stated</w:t>
            </w: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Earliest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4"/>
              </w:rPr>
              <w:t>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December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85"/>
              </w:rPr>
              <w:t>September</w:t>
            </w:r>
          </w:p>
        </w:tc>
        <w:tc>
          <w:tcPr>
            <w:tcW w:w="12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w:t>
            </w:r>
          </w:p>
        </w:tc>
        <w:tc>
          <w:tcPr>
            <w:tcW w:w="10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Maturity</w:t>
            </w: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Call</w:t>
            </w:r>
          </w:p>
        </w:tc>
        <w:tc>
          <w:tcPr>
            <w:tcW w:w="10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Interest</w:t>
            </w:r>
          </w:p>
        </w:tc>
      </w:tr>
      <w:tr>
        <w:trPr>
          <w:trHeight w:val="241"/>
        </w:trPr>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30, 2013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31, 2012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30, 2012</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Rate</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2013 senior debentures</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2013</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2018</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6.000%</w:t>
            </w: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2012 senior debentures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2012</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2017</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2017</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9.000</w:t>
            </w:r>
          </w:p>
        </w:tc>
      </w:tr>
      <w:tr>
        <w:trPr>
          <w:trHeight w:val="223"/>
        </w:trPr>
        <w:tc>
          <w:tcPr>
            <w:tcW w:w="3320" w:type="dxa"/>
            <w:vAlign w:val="bottom"/>
          </w:tcPr>
          <w:p>
            <w:pPr>
              <w:ind w:left="340"/>
              <w:spacing w:after="0"/>
              <w:rPr>
                <w:sz w:val="20"/>
                <w:szCs w:val="20"/>
                <w:color w:val="auto"/>
              </w:rPr>
            </w:pPr>
            <w:r>
              <w:rPr>
                <w:rFonts w:ascii="Arial" w:cs="Arial" w:eastAsia="Arial" w:hAnsi="Arial"/>
                <w:sz w:val="18"/>
                <w:szCs w:val="18"/>
                <w:color w:val="auto"/>
              </w:rPr>
              <w:t>Total senior debentures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2002 subordinated debentures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30,500</w:t>
            </w:r>
          </w:p>
        </w:tc>
        <w:tc>
          <w:tcPr>
            <w:tcW w:w="12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2002</w:t>
            </w:r>
          </w:p>
        </w:tc>
        <w:tc>
          <w:tcPr>
            <w:tcW w:w="1200" w:type="dxa"/>
            <w:vAlign w:val="bottom"/>
            <w:gridSpan w:val="2"/>
          </w:tcPr>
          <w:p>
            <w:pPr>
              <w:jc w:val="right"/>
              <w:ind w:right="270"/>
              <w:spacing w:after="0" w:line="201" w:lineRule="exact"/>
              <w:rPr>
                <w:sz w:val="20"/>
                <w:szCs w:val="20"/>
                <w:color w:val="auto"/>
              </w:rPr>
            </w:pPr>
            <w:r>
              <w:rPr>
                <w:rFonts w:ascii="Arial" w:cs="Arial" w:eastAsia="Arial" w:hAnsi="Arial"/>
                <w:sz w:val="18"/>
                <w:szCs w:val="18"/>
                <w:color w:val="auto"/>
              </w:rPr>
              <w:t>2012</w:t>
            </w:r>
          </w:p>
        </w:tc>
        <w:tc>
          <w:tcPr>
            <w:tcW w:w="12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2012</w:t>
            </w: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6.750%</w:t>
            </w: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2003 subordinated debentures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35,000</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2003</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2015</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2010</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7.500</w:t>
            </w:r>
          </w:p>
        </w:tc>
      </w:tr>
      <w:tr>
        <w:trPr>
          <w:trHeight w:val="223"/>
        </w:trPr>
        <w:tc>
          <w:tcPr>
            <w:tcW w:w="3320" w:type="dxa"/>
            <w:vAlign w:val="bottom"/>
          </w:tcPr>
          <w:p>
            <w:pPr>
              <w:ind w:left="340"/>
              <w:spacing w:after="0"/>
              <w:rPr>
                <w:sz w:val="20"/>
                <w:szCs w:val="20"/>
                <w:color w:val="auto"/>
              </w:rPr>
            </w:pPr>
            <w:r>
              <w:rPr>
                <w:rFonts w:ascii="Arial" w:cs="Arial" w:eastAsia="Arial" w:hAnsi="Arial"/>
                <w:sz w:val="18"/>
                <w:szCs w:val="18"/>
                <w:color w:val="auto"/>
              </w:rPr>
              <w:t>Total subordinated debentures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65,500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United Community Capital Trust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21,650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21,650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21,650</w:t>
            </w:r>
          </w:p>
        </w:tc>
        <w:tc>
          <w:tcPr>
            <w:tcW w:w="12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1998</w:t>
            </w:r>
          </w:p>
        </w:tc>
        <w:tc>
          <w:tcPr>
            <w:tcW w:w="1200" w:type="dxa"/>
            <w:vAlign w:val="bottom"/>
            <w:gridSpan w:val="2"/>
          </w:tcPr>
          <w:p>
            <w:pPr>
              <w:jc w:val="right"/>
              <w:ind w:right="270"/>
              <w:spacing w:after="0" w:line="201" w:lineRule="exact"/>
              <w:rPr>
                <w:sz w:val="20"/>
                <w:szCs w:val="20"/>
                <w:color w:val="auto"/>
              </w:rPr>
            </w:pPr>
            <w:r>
              <w:rPr>
                <w:rFonts w:ascii="Arial" w:cs="Arial" w:eastAsia="Arial" w:hAnsi="Arial"/>
                <w:sz w:val="18"/>
                <w:szCs w:val="18"/>
                <w:color w:val="auto"/>
              </w:rPr>
              <w:t>2028</w:t>
            </w:r>
          </w:p>
        </w:tc>
        <w:tc>
          <w:tcPr>
            <w:tcW w:w="12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2008</w:t>
            </w: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8.125%</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United Community Statutory Trust I</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5,155</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2000</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2030</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2010</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10.600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United Community Capital Trust II</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10,309</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2000</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2030</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2010</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11.295</w:t>
            </w:r>
          </w:p>
        </w:tc>
      </w:tr>
      <w:tr>
        <w:trPr>
          <w:trHeight w:val="216"/>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Prime +</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Southern Bancorp Capital Trust I</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4,382</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2004</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2034</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2009</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United Community Statutory Trust II</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12,059</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2008</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2038</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2013</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9.000</w:t>
            </w:r>
          </w:p>
        </w:tc>
      </w:tr>
      <w:tr>
        <w:trPr>
          <w:trHeight w:val="216"/>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Prime +</w:t>
            </w: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United Community Statutory Trust III</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1,230</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2008</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2038</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2013</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3.00</w:t>
            </w:r>
          </w:p>
        </w:tc>
      </w:tr>
      <w:tr>
        <w:trPr>
          <w:trHeight w:val="223"/>
        </w:trPr>
        <w:tc>
          <w:tcPr>
            <w:tcW w:w="3320" w:type="dxa"/>
            <w:vAlign w:val="bottom"/>
          </w:tcPr>
          <w:p>
            <w:pPr>
              <w:ind w:left="340"/>
              <w:spacing w:after="0"/>
              <w:rPr>
                <w:sz w:val="20"/>
                <w:szCs w:val="20"/>
                <w:color w:val="auto"/>
              </w:rPr>
            </w:pPr>
            <w:r>
              <w:rPr>
                <w:rFonts w:ascii="Arial" w:cs="Arial" w:eastAsia="Arial" w:hAnsi="Arial"/>
                <w:sz w:val="18"/>
                <w:szCs w:val="18"/>
                <w:color w:val="auto"/>
              </w:rPr>
              <w:t>Total trust preferred securities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54,865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54,805</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54,785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3320" w:type="dxa"/>
            <w:vAlign w:val="bottom"/>
          </w:tcPr>
          <w:p>
            <w:pPr>
              <w:ind w:left="340"/>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129,865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124,805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120,285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is paid semiannually for all senior debentures, subordinated debentures and trust preferred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Debentures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2013 senior debentures are redeemable on or after August 13, 2015 at a redemption price equal to 100% of the principal amount plus any accrued and unpaid interest, and they will mature on August 13, 2018. The 2012 senior debentures are not redeemable and will mature on October 15,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Subordinated Debentures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2003 subordinated debentures were redeemed on September 30, 2013 at a redemption price equal to $35 million (100% of the principal amount) plus all accrued and unpaid interest as of such date. At redemption, the applicable interest rate on the 2003 subordinated debentures was 7.50%. The 2002 subordinated debentures were retired upon maturity in the fourth quarter of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Trust Preferred Securities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at a premium as provided in the indentures.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trust preferred securities issued under United Community Statutory Trust II and United Community Statutory Trust III had attached warrants that allowed the holder to redeem the trust preferred securities in exchange for common stock at the exercise price of $100 per share. The warrants expired unexercised on October 31,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Reclassifications Out of Accumulated Other Comprehensive Income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three and nine months ended September 30,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Amounts Reclassified from</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Accumulated Other Comprehensive</w:t>
            </w: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8"/>
                <w:szCs w:val="18"/>
                <w:b w:val="1"/>
                <w:bCs w:val="1"/>
                <w:color w:val="auto"/>
              </w:rPr>
              <w:t>Income</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3"/>
              </w:rPr>
              <w:t>For the Three</w:t>
            </w:r>
          </w:p>
        </w:tc>
        <w:tc>
          <w:tcPr>
            <w:tcW w:w="120" w:type="dxa"/>
            <w:vAlign w:val="bottom"/>
          </w:tcPr>
          <w:p>
            <w:pPr>
              <w:spacing w:after="0"/>
              <w:rPr>
                <w:sz w:val="17"/>
                <w:szCs w:val="17"/>
                <w:color w:val="auto"/>
              </w:rPr>
            </w:pPr>
          </w:p>
        </w:tc>
        <w:tc>
          <w:tcPr>
            <w:tcW w:w="1380" w:type="dxa"/>
            <w:vAlign w:val="bottom"/>
            <w:gridSpan w:val="2"/>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For the Nine</w:t>
            </w: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Pr>
          <w:p>
            <w:pPr>
              <w:spacing w:after="0"/>
              <w:rPr>
                <w:sz w:val="18"/>
                <w:szCs w:val="18"/>
                <w:color w:val="auto"/>
              </w:rPr>
            </w:pPr>
          </w:p>
        </w:tc>
        <w:tc>
          <w:tcPr>
            <w:tcW w:w="13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Months Ended</w:t>
            </w: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940"/>
              <w:spacing w:after="0"/>
              <w:rPr>
                <w:sz w:val="20"/>
                <w:szCs w:val="20"/>
                <w:color w:val="auto"/>
              </w:rPr>
            </w:pPr>
            <w:r>
              <w:rPr>
                <w:rFonts w:ascii="Arial" w:cs="Arial" w:eastAsia="Arial" w:hAnsi="Arial"/>
                <w:sz w:val="18"/>
                <w:szCs w:val="18"/>
                <w:b w:val="1"/>
                <w:bCs w:val="1"/>
                <w:color w:val="auto"/>
              </w:rPr>
              <w:t>Details about Accumulated Other</w:t>
            </w:r>
          </w:p>
        </w:tc>
        <w:tc>
          <w:tcPr>
            <w:tcW w:w="14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3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3880" w:type="dxa"/>
            <w:vAlign w:val="bottom"/>
          </w:tcPr>
          <w:p>
            <w:pPr>
              <w:ind w:left="560"/>
              <w:spacing w:after="0"/>
              <w:rPr>
                <w:sz w:val="20"/>
                <w:szCs w:val="20"/>
                <w:color w:val="auto"/>
              </w:rPr>
            </w:pPr>
            <w:r>
              <w:rPr>
                <w:rFonts w:ascii="Arial" w:cs="Arial" w:eastAsia="Arial" w:hAnsi="Arial"/>
                <w:sz w:val="18"/>
                <w:szCs w:val="18"/>
                <w:b w:val="1"/>
                <w:bCs w:val="1"/>
                <w:color w:val="auto"/>
              </w:rPr>
              <w:t>Affected Line Item in the Statement</w:t>
            </w:r>
          </w:p>
        </w:tc>
        <w:tc>
          <w:tcPr>
            <w:tcW w:w="0" w:type="dxa"/>
            <w:vAlign w:val="bottom"/>
          </w:tcPr>
          <w:p>
            <w:pPr>
              <w:spacing w:after="0"/>
              <w:rPr>
                <w:sz w:val="1"/>
                <w:szCs w:val="1"/>
                <w:color w:val="auto"/>
              </w:rPr>
            </w:pPr>
          </w:p>
        </w:tc>
      </w:tr>
      <w:tr>
        <w:trPr>
          <w:trHeight w:val="241"/>
        </w:trPr>
        <w:tc>
          <w:tcPr>
            <w:tcW w:w="44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Comprehensive Income Components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left="277"/>
              <w:spacing w:after="0"/>
              <w:rPr>
                <w:sz w:val="20"/>
                <w:szCs w:val="20"/>
                <w:color w:val="auto"/>
              </w:rPr>
            </w:pPr>
            <w:r>
              <w:rPr>
                <w:rFonts w:ascii="Arial" w:cs="Arial" w:eastAsia="Arial" w:hAnsi="Arial"/>
                <w:sz w:val="18"/>
                <w:szCs w:val="18"/>
                <w:b w:val="1"/>
                <w:bCs w:val="1"/>
                <w:color w:val="auto"/>
                <w:w w:val="89"/>
              </w:rPr>
              <w:t>2013</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Where Net Income is Presented</w:t>
            </w: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w w:val="99"/>
              </w:rPr>
              <w:t>Unrealized (losses) gains on available-for-sale securities:</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757"/>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3880" w:type="dxa"/>
            <w:vAlign w:val="bottom"/>
            <w:vMerge w:val="restart"/>
          </w:tcPr>
          <w:p>
            <w:pPr>
              <w:spacing w:after="0"/>
              <w:rPr>
                <w:sz w:val="20"/>
                <w:szCs w:val="20"/>
                <w:color w:val="auto"/>
              </w:rPr>
            </w:pPr>
            <w:r>
              <w:rPr>
                <w:rFonts w:ascii="Arial" w:cs="Arial" w:eastAsia="Arial" w:hAnsi="Arial"/>
                <w:sz w:val="18"/>
                <w:szCs w:val="18"/>
                <w:color w:val="auto"/>
              </w:rPr>
              <w:t>Securities gains, net</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Tax (expense) or benefit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11420" w:type="dxa"/>
            <w:vAlign w:val="bottom"/>
            <w:gridSpan w:val="9"/>
          </w:tcPr>
          <w:p>
            <w:pPr>
              <w:spacing w:after="0"/>
              <w:rPr>
                <w:sz w:val="20"/>
                <w:szCs w:val="20"/>
                <w:color w:val="auto"/>
              </w:rPr>
            </w:pPr>
            <w:r>
              <w:rPr>
                <w:rFonts w:ascii="Arial" w:cs="Arial" w:eastAsia="Arial" w:hAnsi="Arial"/>
                <w:sz w:val="18"/>
                <w:szCs w:val="18"/>
                <w:color w:val="auto"/>
              </w:rPr>
              <w:t>Amortization of gains included in net income on available-for-sale securities transferred to held to maturity:</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40" w:type="dxa"/>
            <w:vAlign w:val="bottom"/>
            <w:gridSpan w:val="2"/>
          </w:tcPr>
          <w:p>
            <w:pPr>
              <w:jc w:val="right"/>
              <w:ind w:right="757"/>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Investment securities interest revenue</w:t>
            </w: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(310)</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Tax (expense) or benefit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440" w:type="dxa"/>
            <w:vAlign w:val="bottom"/>
            <w:gridSpan w:val="7"/>
          </w:tcPr>
          <w:p>
            <w:pPr>
              <w:spacing w:after="0"/>
              <w:rPr>
                <w:sz w:val="20"/>
                <w:szCs w:val="20"/>
                <w:color w:val="auto"/>
              </w:rPr>
            </w:pPr>
            <w:r>
              <w:rPr>
                <w:rFonts w:ascii="Arial" w:cs="Arial" w:eastAsia="Arial" w:hAnsi="Arial"/>
                <w:sz w:val="18"/>
                <w:szCs w:val="18"/>
                <w:color w:val="auto"/>
                <w:w w:val="93"/>
              </w:rPr>
              <w:t>Gains included in net income on derivative financial instruments accounted for as cash flow hedges:</w:t>
            </w: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Effective portion of interest rate contracts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757"/>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Loan interest revenue</w:t>
            </w:r>
          </w:p>
        </w:tc>
        <w:tc>
          <w:tcPr>
            <w:tcW w:w="0" w:type="dxa"/>
            <w:vAlign w:val="bottom"/>
          </w:tcPr>
          <w:p>
            <w:pPr>
              <w:spacing w:after="0"/>
              <w:rPr>
                <w:sz w:val="1"/>
                <w:szCs w:val="1"/>
                <w:color w:val="auto"/>
              </w:rPr>
            </w:pPr>
          </w:p>
        </w:tc>
      </w:tr>
      <w:tr>
        <w:trPr>
          <w:trHeight w:val="237"/>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Ineffective portion of interest rate contracts</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fee revenue</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902</w:t>
            </w:r>
          </w:p>
        </w:tc>
        <w:tc>
          <w:tcPr>
            <w:tcW w:w="10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(351)</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Tax (expense) or benefit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11420" w:type="dxa"/>
            <w:vAlign w:val="bottom"/>
            <w:gridSpan w:val="9"/>
          </w:tcPr>
          <w:p>
            <w:pPr>
              <w:spacing w:after="0"/>
              <w:rPr>
                <w:sz w:val="20"/>
                <w:szCs w:val="20"/>
                <w:color w:val="auto"/>
              </w:rPr>
            </w:pPr>
            <w:r>
              <w:rPr>
                <w:rFonts w:ascii="Arial" w:cs="Arial" w:eastAsia="Arial" w:hAnsi="Arial"/>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6"/>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c>
          <w:tcPr>
            <w:tcW w:w="1040" w:type="dxa"/>
            <w:vAlign w:val="bottom"/>
            <w:gridSpan w:val="2"/>
          </w:tcPr>
          <w:p>
            <w:pPr>
              <w:jc w:val="right"/>
              <w:ind w:right="75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0"/>
              </w:rPr>
              <w:t>(273)</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37"/>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Actuarial losses</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(126)</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(133)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w w:val="90"/>
              </w:rPr>
              <w:t>(399)</w:t>
            </w:r>
          </w:p>
        </w:tc>
        <w:tc>
          <w:tcPr>
            <w:tcW w:w="10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Tax (expense) or benefit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(244)</w:t>
            </w: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54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40" w:type="dxa"/>
            <w:vAlign w:val="bottom"/>
            <w:gridSpan w:val="2"/>
          </w:tcPr>
          <w:p>
            <w:pPr>
              <w:jc w:val="right"/>
              <w:ind w:right="757"/>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Amounts shown above in parentheses reduce earnings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Note 9 – Earnings Per Share</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three and nine months ended September 30, 2013 and 2012, United accrued dividends on preferred stock, including accretion of discounts, as shown in the following table </w:t>
      </w:r>
      <w:r>
        <w:rPr>
          <w:rFonts w:ascii="Arial" w:cs="Arial" w:eastAsia="Arial" w:hAnsi="Arial"/>
          <w:sz w:val="18"/>
          <w:szCs w:val="18"/>
          <w:i w:val="1"/>
          <w:iCs w:val="1"/>
          <w:color w:val="auto"/>
        </w:rPr>
        <w:t>(in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418"/>
        </w:trPr>
        <w:tc>
          <w:tcPr>
            <w:tcW w:w="5940" w:type="dxa"/>
            <w:vAlign w:val="bottom"/>
          </w:tcPr>
          <w:p>
            <w:pPr>
              <w:spacing w:after="0"/>
              <w:rPr>
                <w:sz w:val="20"/>
                <w:szCs w:val="20"/>
                <w:color w:val="auto"/>
              </w:rPr>
            </w:pPr>
            <w:r>
              <w:rPr>
                <w:rFonts w:ascii="Arial" w:cs="Arial" w:eastAsia="Arial" w:hAnsi="Arial"/>
                <w:sz w:val="18"/>
                <w:szCs w:val="18"/>
                <w:color w:val="auto"/>
              </w:rPr>
              <w:t>Series A - 6% fixed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Series B - 5% fixed until December 6, 2013, 9% thereafter</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7,841</w:t>
            </w:r>
          </w:p>
        </w:tc>
      </w:tr>
      <w:tr>
        <w:trPr>
          <w:trHeight w:val="237"/>
        </w:trPr>
        <w:tc>
          <w:tcPr>
            <w:tcW w:w="5940" w:type="dxa"/>
            <w:vAlign w:val="bottom"/>
          </w:tcPr>
          <w:p>
            <w:pPr>
              <w:spacing w:after="0"/>
              <w:rPr>
                <w:sz w:val="20"/>
                <w:szCs w:val="20"/>
                <w:color w:val="auto"/>
              </w:rPr>
            </w:pPr>
            <w:r>
              <w:rPr>
                <w:rFonts w:ascii="Arial" w:cs="Arial" w:eastAsia="Arial" w:hAnsi="Arial"/>
                <w:sz w:val="18"/>
                <w:szCs w:val="18"/>
                <w:color w:val="auto"/>
              </w:rPr>
              <w:t>Series D - LIBOR plus 9.6875%, resets quarterly</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1,253</w:t>
            </w: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rPr>
              <w:t>Total preferred stock dividends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9,166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9,103</w:t>
            </w:r>
          </w:p>
        </w:tc>
      </w:tr>
      <w:tr>
        <w:trPr>
          <w:trHeight w:val="21"/>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preferred stock dividends are payable quarterly.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Series B preferred stock was issued at a discount. Dividend amounts shown include discount accretion for each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preferred stock dividends were subtracted from net income in order to arrive at net income available to common shareholders. There were no dilutive securities outstanding for the three and nine months ended September 30, 2012.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earnings per share for the three and nine months ended September 30, 2013 and 2012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data)</w:t>
      </w:r>
      <w:r>
        <w:rPr>
          <w:rFonts w:ascii="Arial" w:cs="Arial" w:eastAsia="Arial" w:hAnsi="Arial"/>
          <w:sz w:val="18"/>
          <w:szCs w:val="18"/>
          <w:color w:val="auto"/>
        </w:rPr>
        <w: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12,441</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7,527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248,063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19,492</w:t>
            </w:r>
          </w:p>
        </w:tc>
        <w:tc>
          <w:tcPr>
            <w:tcW w:w="0" w:type="dxa"/>
            <w:vAlign w:val="bottom"/>
          </w:tcPr>
          <w:p>
            <w:pPr>
              <w:spacing w:after="0"/>
              <w:rPr>
                <w:sz w:val="1"/>
                <w:szCs w:val="1"/>
                <w:color w:val="auto"/>
              </w:rPr>
            </w:pPr>
          </w:p>
        </w:tc>
      </w:tr>
      <w:tr>
        <w:trPr>
          <w:trHeight w:val="21"/>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4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57,880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58,443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57,826</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Convertible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340"/>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59,202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57,880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58,444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57,826</w:t>
            </w:r>
          </w:p>
        </w:tc>
        <w:tc>
          <w:tcPr>
            <w:tcW w:w="0" w:type="dxa"/>
            <w:vAlign w:val="bottom"/>
          </w:tcPr>
          <w:p>
            <w:pPr>
              <w:spacing w:after="0"/>
              <w:rPr>
                <w:sz w:val="1"/>
                <w:szCs w:val="1"/>
                <w:color w:val="auto"/>
              </w:rPr>
            </w:pPr>
          </w:p>
        </w:tc>
      </w:tr>
      <w:tr>
        <w:trPr>
          <w:trHeight w:val="21"/>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Income per common share:</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424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8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w:t>
            </w:r>
          </w:p>
        </w:tc>
        <w:tc>
          <w:tcPr>
            <w:tcW w:w="12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2013, United had the following potentially dilutive stock options and warrants outstanding: a warrant to purchase 219,909 common shares at $61.40 per share issued originally to the U.S. Treasury in conjunction with the issuance of United’s fixed rate cumulative preferred perpetual stock, Series B; 371,449 common shares issuable upon exercise of stock options granted to employees with a weighted average exercise price of $98.54; 1,073,259 shares issuable upon completion of vesting of restricted stock awards; and warrants to purchase common stock equivalent junior preferred stock that would be convertible into 1,411,765 common shares exercisable at $21.25 per share granted to Fletcher International Ltd. (“Fletcher”) in connection with a 2010 asset purchase and sale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 and Hedging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wholesale borrowings and deposits.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net basis by counterparty portfolio.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September 30, 2013, December 31, 2012 and September 30,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accounted for as hedges under ASC 815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17"/>
                <w:szCs w:val="17"/>
                <w:color w:val="auto"/>
              </w:rPr>
            </w:pPr>
          </w:p>
        </w:tc>
        <w:tc>
          <w:tcPr>
            <w:tcW w:w="31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7"/>
                <w:szCs w:val="17"/>
                <w:color w:val="auto"/>
              </w:rPr>
            </w:pPr>
          </w:p>
        </w:tc>
        <w:tc>
          <w:tcPr>
            <w:tcW w:w="120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3"/>
                <w:szCs w:val="23"/>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540" w:type="dxa"/>
            <w:vAlign w:val="bottom"/>
            <w:gridSpan w:val="2"/>
          </w:tcPr>
          <w:p>
            <w:pPr>
              <w:ind w:left="580"/>
              <w:spacing w:after="0"/>
              <w:rPr>
                <w:sz w:val="20"/>
                <w:szCs w:val="20"/>
                <w:color w:val="auto"/>
              </w:rPr>
            </w:pPr>
            <w:r>
              <w:rPr>
                <w:rFonts w:ascii="Arial" w:cs="Arial" w:eastAsia="Arial" w:hAnsi="Arial"/>
                <w:sz w:val="18"/>
                <w:szCs w:val="18"/>
                <w:color w:val="auto"/>
              </w:rPr>
              <w:t>Asset derivatives</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4"/>
                <w:szCs w:val="24"/>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540" w:type="dxa"/>
            <w:vAlign w:val="bottom"/>
            <w:gridSpan w:val="2"/>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540" w:type="dxa"/>
            <w:vAlign w:val="bottom"/>
            <w:gridSpan w:val="2"/>
          </w:tcPr>
          <w:p>
            <w:pPr>
              <w:ind w:left="580"/>
              <w:spacing w:after="0"/>
              <w:rPr>
                <w:sz w:val="20"/>
                <w:szCs w:val="20"/>
                <w:color w:val="auto"/>
              </w:rPr>
            </w:pPr>
            <w:r>
              <w:rPr>
                <w:rFonts w:ascii="Arial" w:cs="Arial" w:eastAsia="Arial" w:hAnsi="Arial"/>
                <w:sz w:val="18"/>
                <w:szCs w:val="18"/>
                <w:color w:val="auto"/>
              </w:rPr>
              <w:t>Liability derivatives</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35,451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Derivatives not accounted for as hedges under ASC 815</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82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17"/>
                <w:szCs w:val="17"/>
                <w:color w:val="auto"/>
              </w:rPr>
            </w:pPr>
          </w:p>
        </w:tc>
        <w:tc>
          <w:tcPr>
            <w:tcW w:w="31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7"/>
                <w:szCs w:val="17"/>
                <w:color w:val="auto"/>
              </w:rPr>
            </w:pPr>
          </w:p>
        </w:tc>
        <w:tc>
          <w:tcPr>
            <w:tcW w:w="120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3"/>
                <w:szCs w:val="23"/>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540" w:type="dxa"/>
            <w:vAlign w:val="bottom"/>
            <w:gridSpan w:val="2"/>
          </w:tcPr>
          <w:p>
            <w:pPr>
              <w:ind w:left="580"/>
              <w:spacing w:after="0"/>
              <w:rPr>
                <w:sz w:val="20"/>
                <w:szCs w:val="20"/>
                <w:color w:val="auto"/>
              </w:rPr>
            </w:pPr>
            <w:r>
              <w:rPr>
                <w:rFonts w:ascii="Arial" w:cs="Arial" w:eastAsia="Arial" w:hAnsi="Arial"/>
                <w:sz w:val="18"/>
                <w:szCs w:val="18"/>
                <w:color w:val="auto"/>
              </w:rPr>
              <w:t>Asset derivatives</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4"/>
                <w:szCs w:val="24"/>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540" w:type="dxa"/>
            <w:vAlign w:val="bottom"/>
            <w:gridSpan w:val="2"/>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540" w:type="dxa"/>
            <w:vAlign w:val="bottom"/>
            <w:gridSpan w:val="2"/>
          </w:tcPr>
          <w:p>
            <w:pPr>
              <w:ind w:left="580"/>
              <w:spacing w:after="0"/>
              <w:rPr>
                <w:sz w:val="20"/>
                <w:szCs w:val="20"/>
                <w:color w:val="auto"/>
              </w:rPr>
            </w:pPr>
            <w:r>
              <w:rPr>
                <w:rFonts w:ascii="Arial" w:cs="Arial" w:eastAsia="Arial" w:hAnsi="Arial"/>
                <w:sz w:val="18"/>
                <w:szCs w:val="18"/>
                <w:color w:val="auto"/>
              </w:rPr>
              <w:t>Liability derivatives</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Derivative contracts that are not accounted for as hedges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are between United and certain commercial loan customers with offsetting positions to dealers under a back-to-back swap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September 30, 2013, United’s interest rate swaps designated as cash flow hedges involve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United in a rising rate environment. The swaps are forward starting and do not become effective until 2014 and 2015. United had three swap contracts outstanding with a total notional amount of $200 million that were designated as cash flow hedges of future issuances of three-month brokered deposits or other LIBOR based floating rate wholesale borrowings and three swap contracts outstanding with a total notional amount of $375 million that were designated as cash flow hedges of indexed money market accounts at September 30, 2013. At December 31, 2012 and September 30, 2012, United had three swap contracts outstanding with a notional amount of $200 million that were designated as cash flow hedges of future issuances of three-month brokered deposits or other LIBOR based floating-rate wholesale borrowings and two swap contracts outstanding with a total notional amount of $200 million that were designated as cash flow hedges of indexed money market accounts.</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effective portion of changes in the fair value of derivatives designated as,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in 2014 as interest payments are made on United’s LIBOR based variable-rate wholesale borrowings and indexed deposit accounts. During the three and nine months ended September 30, 2013, United accelerated the reclassification of $48,000 and $53,000, respectively, in gains from terminated positions, as the forecasted transactions are no longer expected to occur. For the same periods in 2012, those amounts were gains of $114,000 and $238,000, respectively. At September 30, 2013, there were no remaining unamortized balances from terminated positions. United’s forward starting active cash flow hedges of floating rate liabilities will begin to become effective over the next twelve months. United recognized $33,000 in hedge ineffectiveness losses on active cash flow hedges in the third quarter of 2013. No such hedge ineffectiveness gains or losses were recognized on active cash flow hedges in 2012. United expects that $2.24 million will be reclassified as an increase to deposit interest expense over the next twelve months related to these cash flow hedges.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 is exposed to changes in the fair value of certain of its fixed rate investments and obligations due to changes in interest rates. United uses interest rate swaps to manage its exposure to changes in fair value on these instruments attributable to changes in interest rates. Interest rate swaps designated as fair value hedges of fixed rate obligations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amounts from a counterparty in exchange for United making fixed rate payments over the life of the instrument without the exchange of the underlying notional amount. At September 30, 2013, United had 27 interest rate swaps with an aggregate notional amount of $387 million that were designated as fair value hedges of interest rate risk. Eight of the interest rate swaps outstanding at September 30, 2013 with an aggregate notional amount of $86 million were receive-variable / pay-fixed swaps that were used for the purpose of hedging changes in the fair value of fixed rate corporate bonds resulting from changes in interest rates. The other 19 were pay-variable / receive-fixed swaps hedging changes in the fair value of fixed rate brokered time deposits resulting from changes in interest rates. At September 30, 2012, United had 9 interest rate swaps with an aggregate notional amount of $122 million that were designated as fair value hedges of fixed rate brokered time deposits.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and nine months ended September 30, 2013, United recognized net gains of $38,000 and $241,000, respectively, and during the three and nine months ended September 30, 2012, United recognized net gains of $766,000 and $577,000, respectively, related to ineffectiveness of the fair value hedging relationships. United also recognized a net reduction of interest expense of $2.47 million and $4.73 million, respectively, for the three and nine months ended September 30, 2013 and a net reduction of interest expense of $745,000 and $1.57 million, respectively, for the three and nine months ended September 30, 2012 related to United’s fair value hedges of brokered time deposits, which includes net settlements on the derivatives. United recognized a $516,000 and $811,000 reduction of interest revenue on securities during the third quarter and first nine months of 2013 related to United’s fair value hedges of corporate bonds.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and nine months ended September 30, 2013 and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w w:val="99"/>
              </w:rPr>
              <w:t xml:space="preserve">Derivatives in Fair Value Hedging Relationships </w:t>
            </w:r>
            <w:r>
              <w:rPr>
                <w:rFonts w:ascii="Arial" w:cs="Arial" w:eastAsia="Arial" w:hAnsi="Arial"/>
                <w:sz w:val="18"/>
                <w:szCs w:val="18"/>
                <w:i w:val="1"/>
                <w:iCs w:val="1"/>
                <w:color w:val="auto"/>
                <w:w w:val="99"/>
              </w:rPr>
              <w:t>(in thousands)</w:t>
            </w: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2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100" w:type="dxa"/>
            <w:vAlign w:val="bottom"/>
          </w:tcPr>
          <w:p>
            <w:pPr>
              <w:spacing w:after="0"/>
              <w:rPr>
                <w:sz w:val="24"/>
                <w:szCs w:val="24"/>
                <w:color w:val="auto"/>
              </w:rPr>
            </w:pPr>
          </w:p>
        </w:tc>
        <w:tc>
          <w:tcPr>
            <w:tcW w:w="2940" w:type="dxa"/>
            <w:vAlign w:val="bottom"/>
            <w:gridSpan w:val="5"/>
          </w:tcPr>
          <w:p>
            <w:pPr>
              <w:spacing w:after="0"/>
              <w:rPr>
                <w:sz w:val="20"/>
                <w:szCs w:val="20"/>
                <w:color w:val="auto"/>
              </w:rPr>
            </w:pPr>
            <w:r>
              <w:rPr>
                <w:rFonts w:ascii="Arial" w:cs="Arial" w:eastAsia="Arial" w:hAnsi="Arial"/>
                <w:sz w:val="18"/>
                <w:szCs w:val="18"/>
                <w:b w:val="1"/>
                <w:bCs w:val="1"/>
                <w:color w:val="auto"/>
                <w:w w:val="90"/>
              </w:rPr>
              <w:t>Amount of Gain (Loss) Recognized in</w:t>
            </w:r>
          </w:p>
        </w:tc>
        <w:tc>
          <w:tcPr>
            <w:tcW w:w="3060" w:type="dxa"/>
            <w:vAlign w:val="bottom"/>
            <w:gridSpan w:val="6"/>
          </w:tcPr>
          <w:p>
            <w:pPr>
              <w:ind w:left="120"/>
              <w:spacing w:after="0"/>
              <w:rPr>
                <w:sz w:val="20"/>
                <w:szCs w:val="20"/>
                <w:color w:val="auto"/>
              </w:rPr>
            </w:pPr>
            <w:r>
              <w:rPr>
                <w:rFonts w:ascii="Arial" w:cs="Arial" w:eastAsia="Arial" w:hAnsi="Arial"/>
                <w:sz w:val="18"/>
                <w:szCs w:val="18"/>
                <w:b w:val="1"/>
                <w:bCs w:val="1"/>
                <w:color w:val="auto"/>
                <w:w w:val="90"/>
              </w:rPr>
              <w:t>Amount of Gain (Loss) Recognized in</w:t>
            </w:r>
          </w:p>
        </w:tc>
        <w:tc>
          <w:tcPr>
            <w:tcW w:w="0" w:type="dxa"/>
            <w:vAlign w:val="bottom"/>
          </w:tcPr>
          <w:p>
            <w:pPr>
              <w:spacing w:after="0"/>
              <w:rPr>
                <w:sz w:val="1"/>
                <w:szCs w:val="1"/>
                <w:color w:val="auto"/>
              </w:rPr>
            </w:pPr>
          </w:p>
        </w:tc>
      </w:tr>
      <w:tr>
        <w:trPr>
          <w:trHeight w:val="241"/>
        </w:trPr>
        <w:tc>
          <w:tcPr>
            <w:tcW w:w="53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 Income</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Income on Derivative</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Income on Hedged Item</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 Derivative</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18"/>
        </w:trPr>
        <w:tc>
          <w:tcPr>
            <w:tcW w:w="5320" w:type="dxa"/>
            <w:vAlign w:val="bottom"/>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Other fee revenue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(2,740)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2,778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Other fee revenue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(15,796)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1,745</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16,037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most cases, the estate of deceased brokered certificate of deposit holders may put the certificate of deposit back to the issuing bank at par upon the death of the holder. When these death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death puts and such gains and losses are included in the amount of reported ineffectiveness gains or losses.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2180" w:type="dxa"/>
            <w:vAlign w:val="bottom"/>
            <w:gridSpan w:val="6"/>
          </w:tcPr>
          <w:p>
            <w:pPr>
              <w:ind w:left="180"/>
              <w:spacing w:after="0"/>
              <w:rPr>
                <w:sz w:val="20"/>
                <w:szCs w:val="20"/>
                <w:color w:val="auto"/>
              </w:rPr>
            </w:pPr>
            <w:r>
              <w:rPr>
                <w:rFonts w:ascii="Arial" w:cs="Arial" w:eastAsia="Arial" w:hAnsi="Arial"/>
                <w:sz w:val="18"/>
                <w:szCs w:val="18"/>
                <w:b w:val="1"/>
                <w:bCs w:val="1"/>
                <w:color w:val="auto"/>
              </w:rPr>
              <w:t>Amount of Gain (Loss)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3"/>
              </w:rPr>
              <w:t>Recognized in Other</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8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Comprehensive Income</w:t>
            </w:r>
          </w:p>
        </w:tc>
        <w:tc>
          <w:tcPr>
            <w:tcW w:w="180" w:type="dxa"/>
            <w:vAlign w:val="bottom"/>
          </w:tcPr>
          <w:p>
            <w:pPr>
              <w:spacing w:after="0"/>
              <w:rPr>
                <w:sz w:val="18"/>
                <w:szCs w:val="18"/>
                <w:color w:val="auto"/>
              </w:rPr>
            </w:pPr>
          </w:p>
        </w:tc>
        <w:tc>
          <w:tcPr>
            <w:tcW w:w="360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89"/>
              </w:rPr>
              <w:t>Gain (Loss) Reclassified from Accumulated</w:t>
            </w:r>
          </w:p>
        </w:tc>
        <w:tc>
          <w:tcPr>
            <w:tcW w:w="200" w:type="dxa"/>
            <w:vAlign w:val="bottom"/>
          </w:tcPr>
          <w:p>
            <w:pPr>
              <w:spacing w:after="0"/>
              <w:rPr>
                <w:sz w:val="18"/>
                <w:szCs w:val="18"/>
                <w:color w:val="auto"/>
              </w:rPr>
            </w:pPr>
          </w:p>
        </w:tc>
        <w:tc>
          <w:tcPr>
            <w:tcW w:w="3560" w:type="dxa"/>
            <w:vAlign w:val="bottom"/>
            <w:gridSpan w:val="8"/>
          </w:tcPr>
          <w:p>
            <w:pPr>
              <w:jc w:val="center"/>
              <w:ind w:right="10"/>
              <w:spacing w:after="0"/>
              <w:rPr>
                <w:sz w:val="20"/>
                <w:szCs w:val="20"/>
                <w:color w:val="auto"/>
              </w:rPr>
            </w:pPr>
            <w:r>
              <w:rPr>
                <w:rFonts w:ascii="Arial" w:cs="Arial" w:eastAsia="Arial" w:hAnsi="Arial"/>
                <w:sz w:val="18"/>
                <w:szCs w:val="18"/>
                <w:b w:val="1"/>
                <w:bCs w:val="1"/>
                <w:color w:val="auto"/>
                <w:w w:val="89"/>
              </w:rPr>
              <w:t>Gain (Loss) Recognized in Income on</w:t>
            </w:r>
          </w:p>
        </w:tc>
      </w:tr>
      <w:tr>
        <w:trPr>
          <w:trHeight w:val="216"/>
        </w:trPr>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on Derivative</w:t>
            </w:r>
          </w:p>
        </w:tc>
        <w:tc>
          <w:tcPr>
            <w:tcW w:w="180" w:type="dxa"/>
            <w:vAlign w:val="bottom"/>
          </w:tcPr>
          <w:p>
            <w:pPr>
              <w:spacing w:after="0"/>
              <w:rPr>
                <w:sz w:val="18"/>
                <w:szCs w:val="18"/>
                <w:color w:val="auto"/>
              </w:rPr>
            </w:pPr>
          </w:p>
        </w:tc>
        <w:tc>
          <w:tcPr>
            <w:tcW w:w="360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0"/>
              </w:rPr>
              <w:t>Other Comprehensive Income into Income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1"/>
        </w:trPr>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4"/>
              </w:rPr>
              <w:t>(Effective Portion)</w:t>
            </w:r>
          </w:p>
        </w:tc>
        <w:tc>
          <w:tcPr>
            <w:tcW w:w="180" w:type="dxa"/>
            <w:vAlign w:val="bottom"/>
          </w:tcPr>
          <w:p>
            <w:pPr>
              <w:spacing w:after="0"/>
              <w:rPr>
                <w:sz w:val="20"/>
                <w:szCs w:val="20"/>
                <w:color w:val="auto"/>
              </w:rPr>
            </w:pPr>
          </w:p>
        </w:tc>
        <w:tc>
          <w:tcPr>
            <w:tcW w:w="260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92"/>
              </w:rPr>
              <w:t>(Effective Portion)</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92"/>
              </w:rPr>
              <w:t>(Ineffective Portion)</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50"/>
        </w:trPr>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2012</w:t>
            </w:r>
          </w:p>
        </w:tc>
        <w:tc>
          <w:tcPr>
            <w:tcW w:w="180" w:type="dxa"/>
            <w:vAlign w:val="bottom"/>
          </w:tcPr>
          <w:p>
            <w:pPr>
              <w:spacing w:after="0"/>
              <w:rPr>
                <w:sz w:val="21"/>
                <w:szCs w:val="21"/>
                <w:color w:val="auto"/>
              </w:rPr>
            </w:pP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2012</w:t>
            </w:r>
          </w:p>
        </w:tc>
        <w:tc>
          <w:tcPr>
            <w:tcW w:w="200" w:type="dxa"/>
            <w:vAlign w:val="bottom"/>
          </w:tcPr>
          <w:p>
            <w:pPr>
              <w:spacing w:after="0"/>
              <w:rPr>
                <w:sz w:val="21"/>
                <w:szCs w:val="21"/>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Location</w:t>
            </w:r>
          </w:p>
        </w:tc>
        <w:tc>
          <w:tcPr>
            <w:tcW w:w="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2012</w:t>
            </w:r>
          </w:p>
        </w:tc>
      </w:tr>
      <w:tr>
        <w:trPr>
          <w:trHeight w:val="432"/>
        </w:trPr>
        <w:tc>
          <w:tcPr>
            <w:tcW w:w="2880" w:type="dxa"/>
            <w:vAlign w:val="bottom"/>
            <w:gridSpan w:val="4"/>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8"/>
        </w:trPr>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Interest revenue</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7"/>
        </w:trPr>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Other fee revenue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w w:val="98"/>
              </w:rPr>
              <w:t>Interest rate products</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(3,943)</w:t>
            </w: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Other fee revenue</w:t>
            </w:r>
          </w:p>
        </w:tc>
        <w:tc>
          <w:tcPr>
            <w:tcW w:w="520" w:type="dxa"/>
            <w:vAlign w:val="bottom"/>
            <w:gridSpan w:val="3"/>
          </w:tcPr>
          <w:p>
            <w:pPr>
              <w:jc w:val="center"/>
              <w:ind w:lef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
        </w:trPr>
        <w:tc>
          <w:tcPr>
            <w:tcW w:w="190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2880" w:type="dxa"/>
            <w:vAlign w:val="bottom"/>
            <w:gridSpan w:val="4"/>
          </w:tcPr>
          <w:p>
            <w:pPr>
              <w:spacing w:after="0"/>
              <w:rPr>
                <w:sz w:val="20"/>
                <w:szCs w:val="20"/>
                <w:color w:val="auto"/>
              </w:rPr>
            </w:pPr>
            <w:r>
              <w:rPr>
                <w:rFonts w:ascii="Arial" w:cs="Arial" w:eastAsia="Arial" w:hAnsi="Arial"/>
                <w:sz w:val="18"/>
                <w:szCs w:val="18"/>
                <w:b w:val="1"/>
                <w:bCs w:val="1"/>
                <w:color w:val="auto"/>
                <w:w w:val="96"/>
              </w:rPr>
              <w:t>Nine Months Ended 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8"/>
        </w:trPr>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Interest revenue</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2,839</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7"/>
        </w:trPr>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Other fee revenue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w w:val="98"/>
              </w:rPr>
              <w:t>Interest rate products</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8,595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(8,798)</w:t>
            </w: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3,077</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Other fee revenue</w:t>
            </w:r>
          </w:p>
        </w:tc>
        <w:tc>
          <w:tcPr>
            <w:tcW w:w="520" w:type="dxa"/>
            <w:vAlign w:val="bottom"/>
            <w:gridSpan w:val="3"/>
          </w:tcPr>
          <w:p>
            <w:pPr>
              <w:jc w:val="center"/>
              <w:ind w:lef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
        </w:trPr>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Other Derivatives Not Accounted for as Hedges </w:t>
            </w: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4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Location of Gain (Loss)</w:t>
            </w:r>
          </w:p>
        </w:tc>
        <w:tc>
          <w:tcPr>
            <w:tcW w:w="120" w:type="dxa"/>
            <w:vAlign w:val="bottom"/>
          </w:tcPr>
          <w:p>
            <w:pPr>
              <w:spacing w:after="0"/>
              <w:rPr>
                <w:sz w:val="24"/>
                <w:szCs w:val="24"/>
                <w:color w:val="auto"/>
              </w:rPr>
            </w:pPr>
          </w:p>
        </w:tc>
        <w:tc>
          <w:tcPr>
            <w:tcW w:w="31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89"/>
              </w:rPr>
              <w:t>Amount of Gain (Loss) Recognized in</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4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Recognized in Income</w:t>
            </w: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Income on Customer Derivatives</w:t>
            </w: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on Derivative</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18"/>
        </w:trPr>
        <w:tc>
          <w:tcPr>
            <w:tcW w:w="6440" w:type="dxa"/>
            <w:vAlign w:val="bottom"/>
            <w:gridSpan w:val="3"/>
          </w:tcPr>
          <w:p>
            <w:pPr>
              <w:ind w:left="172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gridSpan w:val="3"/>
          </w:tcPr>
          <w:p>
            <w:pPr>
              <w:ind w:left="1720"/>
              <w:spacing w:after="0"/>
              <w:rPr>
                <w:sz w:val="20"/>
                <w:szCs w:val="20"/>
                <w:color w:val="auto"/>
              </w:rPr>
            </w:pPr>
            <w:r>
              <w:rPr>
                <w:rFonts w:ascii="Arial" w:cs="Arial" w:eastAsia="Arial" w:hAnsi="Arial"/>
                <w:sz w:val="18"/>
                <w:szCs w:val="18"/>
                <w:color w:val="auto"/>
              </w:rPr>
              <w:t>Other fee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442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
        </w:trPr>
        <w:tc>
          <w:tcPr>
            <w:tcW w:w="6440" w:type="dxa"/>
            <w:vAlign w:val="bottom"/>
            <w:gridSpan w:val="3"/>
            <w:vMerge w:val="restart"/>
          </w:tcPr>
          <w:p>
            <w:pPr>
              <w:ind w:left="1720"/>
              <w:spacing w:after="0"/>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4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gridSpan w:val="3"/>
          </w:tcPr>
          <w:p>
            <w:pPr>
              <w:ind w:left="1720"/>
              <w:spacing w:after="0"/>
              <w:rPr>
                <w:sz w:val="20"/>
                <w:szCs w:val="20"/>
                <w:color w:val="auto"/>
              </w:rPr>
            </w:pPr>
            <w:r>
              <w:rPr>
                <w:rFonts w:ascii="Arial" w:cs="Arial" w:eastAsia="Arial" w:hAnsi="Arial"/>
                <w:sz w:val="18"/>
                <w:szCs w:val="18"/>
                <w:color w:val="auto"/>
              </w:rPr>
              <w:t>Other fee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1,182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September 30, 2013, collateral totaling $25.6 million was pledged toward derivatives in a liability position.</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Valuation Methodology</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January 1, 2013, United changed its valuation methodology for over-the-counter derivatives to discount cash flows based on Overnight Index Swap (“OIS”) rates. Fully collateralized trades are discounted using OIS with no additional economic adjustments to arrive at fair value. Uncollateralized or partially collateralized trades are also discounted at OIS, but include appropriate economic adjustments for funding costs (i.e. LIBOR-OIS basis adjustment to approximate uncollateralized cost of funds) and credit risk. United changed its methodology to better align its inputs, assumptions and pricing methodologies with those used in its principal market by most dealers and major market participants. The changes in valuation methodology are applied prospectively as a change in accounting estimate and are not material to United’s financial position or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and restricted stock unit awards provide for accelerated vesting if there is a change in control (as defined in the plan). As of September 30, 2013, 537,000 additional awards could be granted under the plan. Through September 30, 2013, incentive stock options, nonqualified stock options, restricted stock and restricted stock unit awards, base salary stock grants and performance share awards have been granted under the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nine months of 2013.</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Intrinisic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Average Exercise</w:t>
            </w: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($000)</w:t>
            </w:r>
          </w:p>
        </w:tc>
        <w:tc>
          <w:tcPr>
            <w:tcW w:w="0" w:type="dxa"/>
            <w:vAlign w:val="bottom"/>
          </w:tcPr>
          <w:p>
            <w:pPr>
              <w:spacing w:after="0"/>
              <w:rPr>
                <w:sz w:val="1"/>
                <w:szCs w:val="1"/>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color w:val="auto"/>
              </w:rPr>
              <w:t>Outstanding at December 31, 2012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482,528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(115,144)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Outstanding at September 30, 2013</w:t>
            </w:r>
          </w:p>
        </w:tc>
        <w:tc>
          <w:tcPr>
            <w:tcW w:w="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371,449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98.54</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3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860" w:type="dxa"/>
            <w:vAlign w:val="bottom"/>
            <w:gridSpan w:val="2"/>
          </w:tcPr>
          <w:p>
            <w:pPr>
              <w:spacing w:after="0"/>
              <w:rPr>
                <w:sz w:val="20"/>
                <w:szCs w:val="20"/>
                <w:color w:val="auto"/>
              </w:rPr>
            </w:pPr>
            <w:r>
              <w:rPr>
                <w:rFonts w:ascii="Arial" w:cs="Arial" w:eastAsia="Arial" w:hAnsi="Arial"/>
                <w:sz w:val="18"/>
                <w:szCs w:val="18"/>
                <w:color w:val="auto"/>
              </w:rPr>
              <w:t>Exercisable at September 30, 2013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361,249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100.95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Key assumptions used to determine the fair value of options granted to employees during the first nine months of 2013 are shown below.</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3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3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Expected volatility</w:t>
            </w:r>
          </w:p>
        </w:tc>
        <w:tc>
          <w:tcPr>
            <w:tcW w:w="154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30.00%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0.00%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6.25</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Risk-free rate</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2.01%</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stock options were granted during the nine months ended September 30, 2012. 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options.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Compensation expense relating to stock options for the nine months ended September 30, 2013 was a reduction of expense of $56,000 due to the reversal of previously recognized expense on grants that did not vest. Compensation expense relating to stock options of $190,000 was included in earnings for the nine months ended September 30, 2012. The amount of compensation expense for both periods was determined based on the fair value of the options at the time of grant, multiplied by the number of options granted that were expected to vest, which was then amortized over the vesting period. The forfeiture rate for new options issued is estimated to be approximately 3% per year. No options were exercised during the first nine months of 2013 or 2012.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activity in restricted stock and restricted stock unit awards for the first nine months of 2013.</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4"/>
        </w:trPr>
        <w:tc>
          <w:tcPr>
            <w:tcW w:w="382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Average Grant-</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Date Fair Value</w:t>
            </w:r>
          </w:p>
        </w:tc>
        <w:tc>
          <w:tcPr>
            <w:tcW w:w="0" w:type="dxa"/>
            <w:vAlign w:val="bottom"/>
          </w:tcPr>
          <w:p>
            <w:pPr>
              <w:spacing w:after="0"/>
              <w:rPr>
                <w:sz w:val="1"/>
                <w:szCs w:val="1"/>
                <w:color w:val="auto"/>
              </w:rPr>
            </w:pP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485,584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795,833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Excercised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(190,366)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(17,792)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Outstanding at September 30, 2013</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Vested at September 30, 2013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22,462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Compensation expense for restricted stock and restricted stock units is based on the fair value of restricted stock and restricted stock unit awards at the time of grant, which is equal to the value of United’s common stock on the date of grant. The value of restricted stock and restricted stock unit grants that are expected to vest is amortized into expense over the vesting period. For the nine months ended September 30, 2013 and 2012, compensation expense of $2.01 million and $1.18 million, respectively, was recognized related to restricted stock and restricted stock unit awards. In addition, for the nine months ended September 30, 2013, $118,000 was recognized in other operating expense for restricted stock units granted to members of United’s board of directors. The total intrinsic value of restricted stock and restricted stock units was $16.1 million at September 30, 2013.</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30, 2013, there was $12.4 million of unrecognized compensation cost related to non-vested stock options and restricted stock and restricted stock unit awards granted under the plan. That cost is expected to be recognized over a weighted-average period of 3.7 years. The aggregate grant date fair value of options and restricted stock and restricted stock unit awards that vested during the nine months ended September 30, 2013, was $2.40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and Preferred Stock Issued / Common Stock Issuable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The DRIP is currently suspended.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401(k) retirement plan regularly purchases shares of United’s common stock directly from United. In addition, United has an Employee Stock Purchase Program that allows eligible employees to purchase shares of common stock at a 5% discount, with no commission charges. For the nine months ended September 30, 2013 and 2012, United issued 49,830 and 87,086 shares, respectively, and increased capital by $582,000 and $702,000, respectively, through these programs.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 stock and settlement must be accomplished in shares at the time the deferral period is completed. At September 30, 2013 and 2012, 242,262 and 129,270 shares, respectively, were issuable under the deferred compensation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income tax provision for the three and nine months ended September 30, 2013 was an expense of $9.52 million and a benefit of $247 million, respectively. Income tax expense for the three months ended September 30, 2013 represents an effective tax rate of 38%. Included in income tax expense for the third quarter of 2013 was a $1.00 million partial impairment charge on United’s net deferred tax asset resulting from a reduction in the state income tax rate in North Carolina. During the third quarter, the State of North Carolina adopted legislation to reduce its corporate income tax rate from the current 6.90% to 6.00% effective January 1, 2014 and to 5.00% effective January 1, 2015. Because the lower statutory tax rate reduces the rate at which United’s North Carolina net operating loss carryforwards will be recovered, United recognized a partial impairment charge on that component of its net deferred tax asset. Partially offsetting the $1.00 million charge was the release of a $400,000 previously established reserve for an uncertain tax position related to a tax return whose statute expired during the third quarter and is therefore no longer subject to audit. The income tax benefit for the first nine months of 2013 reflects the valuation allowance reversal in the second quarter.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allowance on deferred tax assets was $4.61 million, $270 million and $272 million, respectively, at September 30, 2013, December 31, 2012 and September 30, 2012. Management assesses the valuation allowance recorded against deferred tax assets at each reporting period. The determination of whether a valuation allowance for deferred tax assets is appropriate is subject to considerable judgment and requires an evaluation of all the positive and negative evidence.</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second quarter of 2013, United reversed $272 million of its valuation allowance on its net deferred tax asset. United established a full valuation allowance on its net deferred tax asset in 2010 due to the realization of significant losses and uncertainty about United’s future earnings forecasts.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evaluated the need for a valuation allowance again at September 30, 2013. Based on the assessment of all the positive and negative evidence, management concluded that it is more likely than not that nearly all of the net deferred tax asset will be realized based upon future taxable income. The remaining valuation allowance of $4.61 million is related to specific state income tax credits that have short carryforward periods and are expected to expire unused. The positive evidence considered by management in arriving at the conclusion that a full valuation allowance is not necessary included six consecutive profitable quarters beginning with the fourth quarter of 2011, United’s strong pre-crisis earnings history and growth in pre-tax, pre-credit earnings, which demonstrate demand for United’s products and services, and United’s significant improvement in credit measures, which improve both the sustainability of profitability and management’s ability to forecast future credit losses. The negative evidence considered by management included the fact that United remains in a three-year cumulative loss position and its current informal memorandums of understanding with the banking regulatory agencies.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 expects to realize $270 million in net deferred tax assets well in advance of the statutory carryforward period. At September 30, 2013, $47.7 million of existing deferred tax assets were not related to net operating losses or credits and therefore, have no expiration date. Approximately $190 million of the remaining deferred tax assets relate to federal net operating losses which will expire in annual installments beginning in 2029. Additionally, $26.0 million of the deferred tax assets relate to state net operating losses which will expire in annual installments beginning in 2023. Tax credit carryforwards at September 30, 2013 include federal alternative minimum tax credits totaling $3.0 million which have an unlimited carryforward period. Other federal and state tax credits at September 30, 2013 total $7.39 million and will expire beginning in 2013.</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September 30, 2013 that it was more likely than not that the net deferred tax assets of $270 million will be realized is based upon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deferred tax asset. Such an increase to the deferred tax asset valuation allowance could have a material adverse effect on United’s financial condition and results of operations.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2009. Although United is unable to determine the ultimate outcome of future examinations, United believes that the liability recorded for uncertain tax positions is appropriate.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2013, December 31, 2012 and September 30, 2012, unrecognized income tax benefits totaled $4.45 million, $5.07 million and $5.61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Assets and Liabilities Measured at Fair Value</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75" w:lineRule="exact"/>
        <w:rPr>
          <w:sz w:val="20"/>
          <w:szCs w:val="20"/>
          <w:color w:val="auto"/>
        </w:rPr>
      </w:pPr>
    </w:p>
    <w:p>
      <w:pPr>
        <w:jc w:val="both"/>
        <w:ind w:left="58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51"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Mortgage loans held for sale are carried at the lower of cost or market value. The fair value of mortgage loans held for sale is based on what secondary markets are currently offering for portfolios with similar characteristics. Generally, book value approximates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Foreclosed Assets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2013,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September 30, 2013, December 31, 2012 and September 30, 2012,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September 30, 2013</w:t>
            </w:r>
          </w:p>
        </w:tc>
        <w:tc>
          <w:tcPr>
            <w:tcW w:w="21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rPr>
                <w:sz w:val="20"/>
                <w:szCs w:val="20"/>
                <w:color w:val="auto"/>
              </w:rPr>
            </w:pPr>
            <w:r>
              <w:rPr>
                <w:rFonts w:ascii="Arial" w:cs="Arial" w:eastAsia="Arial" w:hAnsi="Arial"/>
                <w:sz w:val="18"/>
                <w:szCs w:val="18"/>
                <w:color w:val="auto"/>
              </w:rPr>
              <w:t>State and political subdivisions</w:t>
            </w:r>
          </w:p>
        </w:tc>
        <w:tc>
          <w:tcPr>
            <w:tcW w:w="24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rPr>
                <w:sz w:val="20"/>
                <w:szCs w:val="20"/>
                <w:color w:val="auto"/>
              </w:rPr>
            </w:pPr>
            <w:r>
              <w:rPr>
                <w:rFonts w:ascii="Arial" w:cs="Arial" w:eastAsia="Arial" w:hAnsi="Arial"/>
                <w:sz w:val="18"/>
                <w:szCs w:val="18"/>
                <w:color w:val="auto"/>
              </w:rPr>
              <w:t>Mortgage-backed securities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1,383,317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1,383,317</w:t>
            </w: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246,601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246,951</w:t>
            </w: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rPr>
                <w:sz w:val="20"/>
                <w:szCs w:val="20"/>
                <w:color w:val="auto"/>
              </w:rPr>
            </w:pPr>
            <w:r>
              <w:rPr>
                <w:rFonts w:ascii="Arial" w:cs="Arial" w:eastAsia="Arial" w:hAnsi="Arial"/>
                <w:sz w:val="18"/>
                <w:szCs w:val="18"/>
                <w:color w:val="auto"/>
              </w:rPr>
              <w:t>Asset-backed securities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307,238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307,238</w:t>
            </w: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Deferred compensation plan assets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16"/>
        </w:trPr>
        <w:tc>
          <w:tcPr>
            <w:tcW w:w="42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320" w:type="dxa"/>
            <w:vAlign w:val="bottom"/>
            <w:gridSpan w:val="2"/>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1,971,166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1,974,719</w:t>
            </w:r>
          </w:p>
        </w:tc>
        <w:tc>
          <w:tcPr>
            <w:tcW w:w="0" w:type="dxa"/>
            <w:vAlign w:val="bottom"/>
          </w:tcPr>
          <w:p>
            <w:pPr>
              <w:spacing w:after="0"/>
              <w:rPr>
                <w:sz w:val="1"/>
                <w:szCs w:val="1"/>
                <w:color w:val="auto"/>
              </w:rPr>
            </w:pPr>
          </w:p>
        </w:tc>
      </w:tr>
      <w:tr>
        <w:trPr>
          <w:trHeight w:val="21"/>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22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Deferred compensation plan liability</w:t>
            </w:r>
          </w:p>
        </w:tc>
        <w:tc>
          <w:tcPr>
            <w:tcW w:w="24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3,203</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Brokered certificates of deposit</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273,282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273,282</w:t>
            </w:r>
          </w:p>
        </w:tc>
        <w:tc>
          <w:tcPr>
            <w:tcW w:w="0" w:type="dxa"/>
            <w:vAlign w:val="bottom"/>
          </w:tcPr>
          <w:p>
            <w:pPr>
              <w:spacing w:after="0"/>
              <w:rPr>
                <w:sz w:val="1"/>
                <w:szCs w:val="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37,269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37,269</w:t>
            </w:r>
          </w:p>
        </w:tc>
        <w:tc>
          <w:tcPr>
            <w:tcW w:w="0" w:type="dxa"/>
            <w:vAlign w:val="bottom"/>
          </w:tcPr>
          <w:p>
            <w:pPr>
              <w:spacing w:after="0"/>
              <w:rPr>
                <w:sz w:val="1"/>
                <w:szCs w:val="1"/>
                <w:color w:val="auto"/>
              </w:rPr>
            </w:pPr>
          </w:p>
        </w:tc>
      </w:tr>
      <w:tr>
        <w:trPr>
          <w:trHeight w:val="216"/>
        </w:trPr>
        <w:tc>
          <w:tcPr>
            <w:tcW w:w="42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320" w:type="dxa"/>
            <w:vAlign w:val="bottom"/>
            <w:gridSpan w:val="2"/>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310,551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313,754</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180" w:type="dxa"/>
            <w:vAlign w:val="bottom"/>
            <w:vMerge w:val="restart"/>
          </w:tcPr>
          <w:p>
            <w:pPr>
              <w:jc w:val="right"/>
              <w:ind w:right="5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220" w:type="dxa"/>
            <w:vAlign w:val="bottom"/>
            <w:tcBorders>
              <w:bottom w:val="single" w:sz="8" w:color="DCDCDC"/>
            </w:tcBorders>
          </w:tcPr>
          <w:p>
            <w:pPr>
              <w:spacing w:after="0"/>
              <w:rPr>
                <w:sz w:val="24"/>
                <w:szCs w:val="24"/>
                <w:color w:val="auto"/>
              </w:rPr>
            </w:pPr>
          </w:p>
        </w:tc>
        <w:tc>
          <w:tcPr>
            <w:tcW w:w="2180" w:type="dxa"/>
            <w:vAlign w:val="bottom"/>
            <w:tcBorders>
              <w:bottom w:val="single" w:sz="8" w:color="DCDCDC"/>
            </w:tcBorders>
            <w:vMerge w:val="continue"/>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2012</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1,428,502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1,428,502</w:t>
            </w: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163,662</w:t>
            </w: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210,556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210,556</w:t>
            </w: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Deferred compensation plan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64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1,834,901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1,838,352</w:t>
            </w:r>
          </w:p>
        </w:tc>
        <w:tc>
          <w:tcPr>
            <w:tcW w:w="0" w:type="dxa"/>
            <w:vAlign w:val="bottom"/>
          </w:tcPr>
          <w:p>
            <w:pPr>
              <w:spacing w:after="0"/>
              <w:rPr>
                <w:sz w:val="1"/>
                <w:szCs w:val="1"/>
                <w:color w:val="auto"/>
              </w:rPr>
            </w:pPr>
          </w:p>
        </w:tc>
      </w:tr>
      <w:tr>
        <w:trPr>
          <w:trHeight w:val="21"/>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3,101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Brokered certificates of deposit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154,641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154,641</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12,543</w:t>
            </w:r>
          </w:p>
        </w:tc>
        <w:tc>
          <w:tcPr>
            <w:tcW w:w="0" w:type="dxa"/>
            <w:vAlign w:val="bottom"/>
          </w:tcPr>
          <w:p>
            <w:pPr>
              <w:spacing w:after="0"/>
              <w:rPr>
                <w:sz w:val="1"/>
                <w:szCs w:val="1"/>
                <w:color w:val="auto"/>
              </w:rPr>
            </w:pPr>
          </w:p>
        </w:tc>
      </w:tr>
      <w:tr>
        <w:trPr>
          <w:trHeight w:val="216"/>
        </w:trPr>
        <w:tc>
          <w:tcPr>
            <w:tcW w:w="64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167,184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170,285</w:t>
            </w:r>
          </w:p>
        </w:tc>
        <w:tc>
          <w:tcPr>
            <w:tcW w:w="0" w:type="dxa"/>
            <w:vAlign w:val="bottom"/>
          </w:tcPr>
          <w:p>
            <w:pPr>
              <w:spacing w:after="0"/>
              <w:rPr>
                <w:sz w:val="1"/>
                <w:szCs w:val="1"/>
                <w:color w:val="auto"/>
              </w:rPr>
            </w:pPr>
          </w:p>
        </w:tc>
      </w:tr>
      <w:tr>
        <w:trPr>
          <w:trHeight w:val="21"/>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2012</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6400" w:type="dxa"/>
            <w:vAlign w:val="bottom"/>
            <w:tcBorders>
              <w:bottom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28,878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28,878</w:t>
            </w: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1,382,940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1,382,940</w:t>
            </w: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143,152</w:t>
            </w: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204,429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204,429</w:t>
            </w: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Deferred compensation plan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64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1,762,422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1,765,844</w:t>
            </w:r>
          </w:p>
        </w:tc>
        <w:tc>
          <w:tcPr>
            <w:tcW w:w="0" w:type="dxa"/>
            <w:vAlign w:val="bottom"/>
          </w:tcPr>
          <w:p>
            <w:pPr>
              <w:spacing w:after="0"/>
              <w:rPr>
                <w:sz w:val="1"/>
                <w:szCs w:val="1"/>
                <w:color w:val="auto"/>
              </w:rPr>
            </w:pPr>
          </w:p>
        </w:tc>
      </w:tr>
      <w:tr>
        <w:trPr>
          <w:trHeight w:val="21"/>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3,072</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Brokered certificates of deposit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122,211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122,211</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10,363</w:t>
            </w:r>
          </w:p>
        </w:tc>
        <w:tc>
          <w:tcPr>
            <w:tcW w:w="0" w:type="dxa"/>
            <w:vAlign w:val="bottom"/>
          </w:tcPr>
          <w:p>
            <w:pPr>
              <w:spacing w:after="0"/>
              <w:rPr>
                <w:sz w:val="1"/>
                <w:szCs w:val="1"/>
                <w:color w:val="auto"/>
              </w:rPr>
            </w:pPr>
          </w:p>
        </w:tc>
      </w:tr>
      <w:tr>
        <w:trPr>
          <w:trHeight w:val="216"/>
        </w:trPr>
        <w:tc>
          <w:tcPr>
            <w:tcW w:w="64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132,574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135,646</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9"/>
              </w:rPr>
              <w:t>Securities Available for Sale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8"/>
              </w:rPr>
              <w:t>Securities Available for Sale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39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Securities Available for Sale</w:t>
            </w:r>
          </w:p>
        </w:tc>
        <w:tc>
          <w:tcPr>
            <w:tcW w:w="2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6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Amounts included in earnings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Paydowns</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6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360" w:type="dxa"/>
            <w:vAlign w:val="bottom"/>
            <w:vMerge w:val="restart"/>
          </w:tcPr>
          <w:p>
            <w:pPr>
              <w:jc w:val="right"/>
              <w:ind w:right="4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980" w:type="dxa"/>
            <w:vAlign w:val="bottom"/>
            <w:tcBorders>
              <w:bottom w:val="single" w:sz="8" w:color="DCDCDC"/>
            </w:tcBorders>
          </w:tcPr>
          <w:p>
            <w:pPr>
              <w:spacing w:after="0"/>
              <w:rPr>
                <w:sz w:val="24"/>
                <w:szCs w:val="24"/>
                <w:color w:val="auto"/>
              </w:rPr>
            </w:pPr>
          </w:p>
        </w:tc>
        <w:tc>
          <w:tcPr>
            <w:tcW w:w="236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has two securities that have Level 3 valuations. They are trust preferred securities in community banks that have shown deteriorating financial condition during the financial crisis, and both are currently deferring interest payments. Since both investments are not actively traded, there is no recent trade activity upon which to assess value. The values assigned to the investments are based on sales price estimates from brokers. Both investments have a par amount of $1 million. One was considered impaired in 2010 and was written down to $50,000 with a $950,000 impairment charge to earnings. The other is carried at its original cost basis of $1 million with a $700,000 negative mark to fair value through other comprehensive income. United does not consider this investment to be other than temporarily impaired, as the community bank was recapitalized by a private equity investment that management believes will result in full payment at maturity.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September 30, 2013, December 31, 2012 and September 30, 2012,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September 30, 2013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76,393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76,393</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Foreclosed properties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80,291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80,291</w:t>
            </w:r>
          </w:p>
        </w:tc>
        <w:tc>
          <w:tcPr>
            <w:tcW w:w="0" w:type="dxa"/>
            <w:vAlign w:val="bottom"/>
          </w:tcPr>
          <w:p>
            <w:pPr>
              <w:spacing w:after="0"/>
              <w:rPr>
                <w:sz w:val="1"/>
                <w:szCs w:val="1"/>
                <w:color w:val="auto"/>
              </w:rPr>
            </w:pPr>
          </w:p>
        </w:tc>
      </w:tr>
      <w:tr>
        <w:trPr>
          <w:trHeight w:val="21"/>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6400" w:type="dxa"/>
            <w:vAlign w:val="bottom"/>
            <w:tcBorders>
              <w:bottom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165,751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165,751</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Foreclosed properties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14,788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180,539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180,539</w:t>
            </w:r>
          </w:p>
        </w:tc>
        <w:tc>
          <w:tcPr>
            <w:tcW w:w="0" w:type="dxa"/>
            <w:vAlign w:val="bottom"/>
          </w:tcPr>
          <w:p>
            <w:pPr>
              <w:spacing w:after="0"/>
              <w:rPr>
                <w:sz w:val="1"/>
                <w:szCs w:val="1"/>
                <w:color w:val="auto"/>
              </w:rPr>
            </w:pPr>
          </w:p>
        </w:tc>
      </w:tr>
      <w:tr>
        <w:trPr>
          <w:trHeight w:val="21"/>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2012</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6400" w:type="dxa"/>
            <w:vAlign w:val="bottom"/>
            <w:tcBorders>
              <w:bottom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172,909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172,909</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Foreclosed properties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20,369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20,369</w:t>
            </w:r>
          </w:p>
        </w:tc>
        <w:tc>
          <w:tcPr>
            <w:tcW w:w="0" w:type="dxa"/>
            <w:vAlign w:val="bottom"/>
          </w:tcPr>
          <w:p>
            <w:pPr>
              <w:spacing w:after="0"/>
              <w:rPr>
                <w:sz w:val="1"/>
                <w:szCs w:val="1"/>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193,278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193,278</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the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and short-term borrowings. The fair value of securities available-for-sale equals the balance sheet value. Due to the short-term settlement of accrued interest receivable and payable, the carrying amount closely approximates fair value.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 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at September 30, 2013, December 31, 2012, and September 30,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Fair Value Level</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r>
      <w:tr>
        <w:trPr>
          <w:trHeight w:val="223"/>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September 30, 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Level 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9"/>
                <w:szCs w:val="19"/>
                <w:color w:val="auto"/>
              </w:rPr>
            </w:pPr>
          </w:p>
        </w:tc>
      </w:tr>
      <w:tr>
        <w:trPr>
          <w:trHeight w:val="202"/>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205,613</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214,651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214,651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4,186,695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4,095,666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4,095,666</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11,987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11,979</w:t>
            </w:r>
          </w:p>
        </w:tc>
        <w:tc>
          <w:tcPr>
            <w:tcW w:w="56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6,112,907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6,117,769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6,117,769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129,865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129,197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129,197</w:t>
            </w:r>
          </w:p>
        </w:tc>
        <w:tc>
          <w:tcPr>
            <w:tcW w:w="560" w:type="dxa"/>
            <w:vAlign w:val="bottom"/>
          </w:tcPr>
          <w:p>
            <w:pPr>
              <w:spacing w:after="0"/>
              <w:rPr>
                <w:sz w:val="20"/>
                <w:szCs w:val="20"/>
                <w:color w:val="auto"/>
              </w:rPr>
            </w:pPr>
          </w:p>
        </w:tc>
      </w:tr>
      <w:tr>
        <w:trPr>
          <w:trHeight w:val="439"/>
        </w:trPr>
        <w:tc>
          <w:tcPr>
            <w:tcW w:w="580" w:type="dxa"/>
            <w:vAlign w:val="bottom"/>
          </w:tcPr>
          <w:p>
            <w:pPr>
              <w:spacing w:after="0"/>
              <w:rPr>
                <w:sz w:val="24"/>
                <w:szCs w:val="24"/>
                <w:color w:val="auto"/>
              </w:rPr>
            </w:pPr>
          </w:p>
        </w:tc>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244,184</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261,131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261,131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4,067,871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3,957,669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3,957,669</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28,821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29,693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29,693</w:t>
            </w:r>
          </w:p>
        </w:tc>
        <w:tc>
          <w:tcPr>
            <w:tcW w:w="56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5,952,140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5,988,743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5,988,743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40,125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40,125</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124,805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118,626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118,626</w:t>
            </w:r>
          </w:p>
        </w:tc>
        <w:tc>
          <w:tcPr>
            <w:tcW w:w="560" w:type="dxa"/>
            <w:vAlign w:val="bottom"/>
          </w:tcPr>
          <w:p>
            <w:pPr>
              <w:spacing w:after="0"/>
              <w:rPr>
                <w:sz w:val="20"/>
                <w:szCs w:val="20"/>
                <w:color w:val="auto"/>
              </w:rPr>
            </w:pPr>
          </w:p>
        </w:tc>
      </w:tr>
      <w:tr>
        <w:trPr>
          <w:trHeight w:val="439"/>
        </w:trPr>
        <w:tc>
          <w:tcPr>
            <w:tcW w:w="580" w:type="dxa"/>
            <w:vAlign w:val="bottom"/>
          </w:tcPr>
          <w:p>
            <w:pPr>
              <w:spacing w:after="0"/>
              <w:rPr>
                <w:sz w:val="24"/>
                <w:szCs w:val="24"/>
                <w:color w:val="auto"/>
              </w:rPr>
            </w:pPr>
          </w:p>
        </w:tc>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September 30, 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262,648</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281,336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281,336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4,030,203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3,954,607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3,954,607</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30,571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31,350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31,350</w:t>
            </w:r>
          </w:p>
        </w:tc>
        <w:tc>
          <w:tcPr>
            <w:tcW w:w="56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5,822,699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5,848,540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5,848,540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50,125</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120,285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113,624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113,624</w:t>
            </w:r>
          </w:p>
        </w:tc>
        <w:tc>
          <w:tcPr>
            <w:tcW w:w="560" w:type="dxa"/>
            <w:vAlign w:val="bottom"/>
          </w:tcPr>
          <w:p>
            <w:pPr>
              <w:spacing w:after="0"/>
              <w:rPr>
                <w:sz w:val="20"/>
                <w:szCs w:val="20"/>
                <w:color w:val="auto"/>
              </w:rPr>
            </w:pPr>
          </w:p>
        </w:tc>
      </w:tr>
      <w:tr>
        <w:trPr>
          <w:trHeight w:val="675"/>
        </w:trPr>
        <w:tc>
          <w:tcPr>
            <w:tcW w:w="58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4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summarizes, as of September 30, 2013, December 31, 2012 and September 30, 2012, the contractual amount of off-balance sheet instruments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w w:val="93"/>
              </w:rPr>
              <w:t>September 30, 2013</w:t>
            </w:r>
          </w:p>
        </w:tc>
        <w:tc>
          <w:tcPr>
            <w:tcW w:w="166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December 31, 2012</w:t>
            </w:r>
          </w:p>
        </w:tc>
        <w:tc>
          <w:tcPr>
            <w:tcW w:w="172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September 30, 2012</w:t>
            </w: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rPr>
              <w:t>Financial instruments whose contract amounts represent credit risk:</w:t>
            </w:r>
          </w:p>
        </w:tc>
        <w:tc>
          <w:tcPr>
            <w:tcW w:w="5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6440" w:type="dxa"/>
            <w:vAlign w:val="bottom"/>
          </w:tcPr>
          <w:p>
            <w:pPr>
              <w:ind w:left="140"/>
              <w:spacing w:after="0"/>
              <w:rPr>
                <w:sz w:val="20"/>
                <w:szCs w:val="20"/>
                <w:color w:val="auto"/>
              </w:rPr>
            </w:pPr>
            <w:r>
              <w:rPr>
                <w:rFonts w:ascii="Arial" w:cs="Arial" w:eastAsia="Arial" w:hAnsi="Arial"/>
                <w:sz w:val="18"/>
                <w:szCs w:val="18"/>
                <w:color w:val="auto"/>
              </w:rPr>
              <w:t>Commitments to extend credit</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677,891</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313,798</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483,844</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Letters of credit</w:t>
            </w:r>
          </w:p>
        </w:tc>
        <w:tc>
          <w:tcPr>
            <w:tcW w:w="5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13,683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13,416</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2" w:name="page43"/>
    <w:bookmarkEnd w:id="42"/>
    <w:p>
      <w:pPr>
        <w:spacing w:after="0"/>
        <w:tabs>
          <w:tab w:leader="none" w:pos="15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2012 and in our Quarterly Report on Form 10-Q for the period ended June 30, 2013, as well as the following factors:</w:t>
      </w:r>
    </w:p>
    <w:p>
      <w:pPr>
        <w:spacing w:after="0" w:line="19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as may be necessary;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accounting and reporting policies of United;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Dodd-Frank Act and related regulations and other changes in financial services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other financial institutions;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special assessment that may be imposed by the FDIC on all FDIC-insured institutions in the future;</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w:t>
      </w: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 or any such proceedings or enforcement actions that is more severe than we anticipate;</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deferred tax asset in future periods;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could have an “ownership change” under Section 382 of the Internal Revenue Code, which could impair our ability to timely and fully realize our deferred tax asset balance; and</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could be subject to changes in tax laws, regulations and interpretations or challenges to our income tax provision.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September 30, 2013, United had total consolidated assets of $7.24 billion and total loans of $4.27 billion (excluding the loans acquired from Southern Community Bank (“SCB”) that are covered by loss sharing agreements). United also had total deposits of $6.11 billion and shareholders’ equity of $852 million.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activities are primarily conducted by its wholly-owned Georgia banking subsidiary, United Community Bank (the “Bank”). The Bank’s operations are conducted under a community bank model that operates 27 “community banks” with local bank presidents and boards in north Georgia, the Atlanta-Sandy Springs-Roswell, Georgia metropolitan statistical area, the Gainesville, Georgia metropolitan statistical area, coastal Georgia, western North Carolina, east Tennessee and the Greenville-Anderson-Mauldin, South Carolina metropolitan statistical area.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42.</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United reported net income of $15.5 million for the third quarter of 2013. This compared to net income of $10.6 million for the third quarter of 2012. Diluted earnings per common share was $.21 for the third quarter of 2013, compared to diluted earnings per common share of $.13 for the third quarter of 2012.</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2013, United reported net income of $257 million. This compared to net income of $28.6 million for the first nine months of 2012. Diluted earnings per common share was $4.24 for the nine months ended September 30, 2013, compared to diluted earnings per common share of $.34 for the nine months ended September 30, 2012.</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Year-to-date 2013 earnings were significantly impacted by the reversal of the valuation allowance on United’s net deferred tax asset and the sales of classified assets, including a large bulk sale transaction that took place in the second quarter. The effects of these two events on the income statement were significant increases in the provision for loan losses and foreclosed property expense from the classified asset sales and the recognition of a tax benefit in the income tax line from the valuation allowance reversal.</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Taxable equivalent net interest revenue was $54.3 million for the third quarter of 2013, compared to $57.4 million for the same period of 2012. The decrease in net interest revenue was primarily the result of continued lower yields on the loan and securities portfolios, which were due to loan pricing competition and reinvestment of maturing securities proceeds at record low rates as well as United’s efforts to purchase floating rate securities to minimize exposure to rising interest rates. In addition, lower loan yields reflected low introductory rates on new retail loan offerings. Net interest margin decreased from 3.60% for the three months ended September 30, 2012 to 3.26% for the same period in 2013. For the nine months ended September 30, 2013, taxable equivalent net interest revenue was $164 million, compared to $173 million for the same period of 2012. Net interest margin decreased from 3.52% for the nine months ended September 30, 2012, to 3.32% for the same period in 2013.</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provision for loan losses was $3.00 million for the three months ended September 30, 2013, compared to $15.5 million for the same period in 2012. Net charge-offs for the third quarter of 2013 were $4.47 million, compared to $20.6 million for the third quarter of 2012. For the nine months ended September 30, 2013, United’s provision for loan losses was $62.5 million, compared to $48.5 million for the same period of 2012. The sales of approximately $151 million in classified loans in the second quarter of 2013 resulted in a $53.5 million increase in net charge-offs as well as the $30.5 million increase in the provision for loan losses during the second quarter of 2013.</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September 30, 2013, United’s allowance for loan losses was $80.4 million, or 1.88% of loans, compared to $108 million, or 2.60% of loans, at September 30, 2012. Nonperforming assets of $30.6 million, which excludes assets that are covered by loss sharing agreements with the FDIC, decreased to</w:t>
      </w:r>
    </w:p>
    <w:p>
      <w:pPr>
        <w:jc w:val="both"/>
        <w:spacing w:after="0" w:line="290" w:lineRule="auto"/>
        <w:rPr>
          <w:sz w:val="20"/>
          <w:szCs w:val="20"/>
          <w:color w:val="auto"/>
        </w:rPr>
      </w:pPr>
      <w:r>
        <w:rPr>
          <w:rFonts w:ascii="Arial" w:cs="Arial" w:eastAsia="Arial" w:hAnsi="Arial"/>
          <w:sz w:val="17"/>
          <w:szCs w:val="17"/>
          <w:color w:val="auto"/>
        </w:rPr>
        <w:t>.42% of total assets at September 30, 2013 from 2.12% as of September 30, 2012, mostly due to the second quarter 2013 classified asset sales. During the third quarter of 2013, $9.96 million in loans were placed on nonaccrual compared with $30.5 million in the third quarter of 2012.</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 revenue of $14.1 million increased $380,000, or 3%, from the third quarter of 2012, and for the first nine months of 2013, totaled $43.3 million, an increase of $1.27 million, or 3%, from the first nine months of 2012. The quarterly increase was due primarily to an increase in debit card and interchange fees and an increase in brokerage fees. In addition, other fee revenue included an increase of $164,000 related to customer derivative fees from our commercial loan swap program. These increases were offset by a $689,000 decrease in hedge ineffectiveness gains. The year-to-date increase in fee revenue resulted primarily from mortgage loan and related fees and brokerage fees.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4" w:name="page45"/>
    <w:bookmarkEnd w:id="44"/>
    <w:p>
      <w:pPr>
        <w:jc w:val="both"/>
        <w:spacing w:after="0" w:line="288" w:lineRule="auto"/>
        <w:rPr>
          <w:sz w:val="20"/>
          <w:szCs w:val="20"/>
          <w:color w:val="auto"/>
        </w:rPr>
      </w:pPr>
      <w:r>
        <w:rPr>
          <w:rFonts w:ascii="Arial" w:cs="Arial" w:eastAsia="Arial" w:hAnsi="Arial"/>
          <w:sz w:val="16"/>
          <w:szCs w:val="16"/>
          <w:color w:val="auto"/>
        </w:rPr>
        <w:t>For the third quarter of 2013, operating expenses of $40.1 million were down $4.69 million from the third quarter of 2012. The decrease was primarily related to a decrease of $3.51 million in foreclosed property expense, driven by decreased volume due to the classified asset sales in the second quarter of 2013. In addition, lower workout and collection costs resulted in lower other expense for the third quarter of 2013 compared to the same period in</w:t>
      </w:r>
    </w:p>
    <w:p>
      <w:pPr>
        <w:jc w:val="both"/>
        <w:spacing w:after="0" w:line="253" w:lineRule="auto"/>
        <w:rPr>
          <w:sz w:val="20"/>
          <w:szCs w:val="20"/>
          <w:color w:val="auto"/>
        </w:rPr>
      </w:pPr>
      <w:r>
        <w:rPr>
          <w:rFonts w:ascii="Arial" w:cs="Arial" w:eastAsia="Arial" w:hAnsi="Arial"/>
          <w:sz w:val="18"/>
          <w:szCs w:val="18"/>
          <w:color w:val="auto"/>
        </w:rPr>
        <w:t>2012. Professional fees increased $470,000 from the third quarter of 2012, due to consulting services related to corporate initiatives to increase revenue and improve operating efficiency. For the nine months ended September 30, 2013, operating expenses of $133 million were down $3.36 million from the same period of 2012, mainly due to the same factors that contributed to the quarterly decrease. Salaries and employee benefits decreased $1.02 million, or 1%, compared to the nine months ended September 30, 2012, primarily due to lower headcount. Management continues its efforts to reduce costs and improve operating efficiency.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12, 2013, Elm Ridge Offshore Master Fund, Ltd. and Elm Ridge Value Partners, L.P. (collectively, the “Elm Ridge Parties”) elected to exercise warrants to purchase an aggregate 1,551,126 shares of United’s common stock at the exercise price of $12.50 per share. United recognized net proceeds of approximately $19.4 million as a result of the exercise.</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12, 2013, upon completion of a public offering, United issued $34.6 million aggregate principal amount of its 6.00% Senior Notes due August 13, 2018 (the “Senior Notes”). On August 16, 2013, United completed an add-on public offering and issued an additional $5.42 million aggregate principal amount of the Senior Notes. As a result of these issuances, $40 million aggregate principal amount of the Senior Notes is issued and outstanding. Interest on the Senior Notes is payable semi-annually on February 13 and August 13, with the first such payment due on February 13, 2014. The 6.00% interest rate on the Senior Notes was determined by an auction process held before the original issuance. United may elect to redeem the Senior Notes, in whole or in part, on any interest payment date on or after August 13, 2015 at a redemption price equal to 100% of the principal amount plus any accrued and unpaid interest. The proceeds from the Senior Note issuances were used to redeem $35 million aggregate principal amount of United’s Subordinated Step-Up Notes due September 30, 2015 (the “Subordinated Notes”) at a price equal to 100% of the principal amount plus accrued and unpaid interest. As of the redemption date, the interest rate on the Subordinated Notes was 7.50%.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42.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3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vMerge w:val="restart"/>
          </w:tcPr>
          <w:p>
            <w:pPr>
              <w:jc w:val="center"/>
              <w:ind w:right="1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Third</w:t>
            </w:r>
          </w:p>
        </w:tc>
        <w:tc>
          <w:tcPr>
            <w:tcW w:w="1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91"/>
              </w:rPr>
              <w:t>For the Nine</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8"/>
                <w:szCs w:val="18"/>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Pr>
          <w:p>
            <w:pPr>
              <w:spacing w:after="0"/>
              <w:rPr>
                <w:sz w:val="18"/>
                <w:szCs w:val="18"/>
                <w:color w:val="auto"/>
              </w:rPr>
            </w:pPr>
          </w:p>
        </w:tc>
        <w:tc>
          <w:tcPr>
            <w:tcW w:w="1020" w:type="dxa"/>
            <w:vAlign w:val="bottom"/>
          </w:tcPr>
          <w:p>
            <w:pPr>
              <w:jc w:val="center"/>
              <w:ind w:right="190"/>
              <w:spacing w:after="0"/>
              <w:rPr>
                <w:sz w:val="20"/>
                <w:szCs w:val="20"/>
                <w:color w:val="auto"/>
              </w:rPr>
            </w:pPr>
            <w:r>
              <w:rPr>
                <w:rFonts w:ascii="Arial" w:cs="Arial" w:eastAsia="Arial" w:hAnsi="Arial"/>
                <w:sz w:val="18"/>
                <w:szCs w:val="18"/>
                <w:b w:val="1"/>
                <w:bCs w:val="1"/>
                <w:color w:val="auto"/>
              </w:rPr>
              <w:t>YTD</w:t>
            </w:r>
          </w:p>
        </w:tc>
        <w:tc>
          <w:tcPr>
            <w:tcW w:w="0" w:type="dxa"/>
            <w:vAlign w:val="bottom"/>
          </w:tcPr>
          <w:p>
            <w:pPr>
              <w:spacing w:after="0"/>
              <w:rPr>
                <w:sz w:val="1"/>
                <w:szCs w:val="1"/>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i w:val="1"/>
                <w:iCs w:val="1"/>
                <w:color w:val="auto"/>
                <w:w w:val="91"/>
              </w:rPr>
              <w:t>(in thousands, except per share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Second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Fourth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Third</w:t>
            </w:r>
          </w:p>
        </w:tc>
        <w:tc>
          <w:tcPr>
            <w:tcW w:w="11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2013-2012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2013-2012</w:t>
            </w:r>
          </w:p>
        </w:tc>
        <w:tc>
          <w:tcPr>
            <w:tcW w:w="0" w:type="dxa"/>
            <w:vAlign w:val="bottom"/>
          </w:tcPr>
          <w:p>
            <w:pPr>
              <w:spacing w:after="0"/>
              <w:rPr>
                <w:sz w:val="1"/>
                <w:szCs w:val="1"/>
                <w:color w:val="auto"/>
              </w:rPr>
            </w:pPr>
          </w:p>
        </w:tc>
      </w:tr>
      <w:tr>
        <w:trPr>
          <w:trHeight w:val="250"/>
        </w:trPr>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data; taxable equivalent)</w:t>
            </w:r>
          </w:p>
        </w:tc>
        <w:tc>
          <w:tcPr>
            <w:tcW w:w="60" w:type="dxa"/>
            <w:vAlign w:val="bottom"/>
          </w:tcPr>
          <w:p>
            <w:pPr>
              <w:spacing w:after="0"/>
              <w:rPr>
                <w:sz w:val="21"/>
                <w:szCs w:val="21"/>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1"/>
                <w:szCs w:val="21"/>
                <w:color w:val="auto"/>
              </w:rPr>
            </w:pPr>
          </w:p>
        </w:tc>
        <w:tc>
          <w:tcPr>
            <w:tcW w:w="9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1"/>
                <w:szCs w:val="21"/>
                <w:color w:val="auto"/>
              </w:rPr>
            </w:pPr>
          </w:p>
        </w:tc>
        <w:tc>
          <w:tcPr>
            <w:tcW w:w="980" w:type="dxa"/>
            <w:vAlign w:val="bottom"/>
            <w:gridSpan w:val="4"/>
          </w:tcPr>
          <w:p>
            <w:pPr>
              <w:ind w:left="40"/>
              <w:spacing w:after="0"/>
              <w:rPr>
                <w:sz w:val="20"/>
                <w:szCs w:val="20"/>
                <w:color w:val="auto"/>
              </w:rPr>
            </w:pPr>
            <w:r>
              <w:rPr>
                <w:rFonts w:ascii="Arial" w:cs="Arial" w:eastAsia="Arial" w:hAnsi="Arial"/>
                <w:sz w:val="18"/>
                <w:szCs w:val="18"/>
                <w:b w:val="1"/>
                <w:bCs w:val="1"/>
                <w:color w:val="auto"/>
              </w:rPr>
              <w:t>Quarter</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1"/>
                <w:szCs w:val="21"/>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INCOME SUMMARY</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61,363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61,693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62,134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64,450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65,978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185,190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202,979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7,025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7,475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8,422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21,631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29,908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ind w:left="160"/>
              <w:spacing w:after="0" w:line="201" w:lineRule="exact"/>
              <w:rPr>
                <w:sz w:val="20"/>
                <w:szCs w:val="20"/>
                <w:color w:val="auto"/>
              </w:rPr>
            </w:pPr>
            <w:r>
              <w:rPr>
                <w:rFonts w:ascii="Arial" w:cs="Arial" w:eastAsia="Arial" w:hAnsi="Arial"/>
                <w:sz w:val="18"/>
                <w:szCs w:val="18"/>
                <w:color w:val="auto"/>
              </w:rPr>
              <w:t>Net interest revenue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8"/>
              </w:rPr>
              <w:t>54,338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54,562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54,659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56,028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57,371</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8"/>
              </w:rPr>
              <w:t>163,559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89"/>
              </w:rPr>
              <w:t>173,071</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48,500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48,500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gridSpan w:val="2"/>
          </w:tcPr>
          <w:p>
            <w:pPr>
              <w:spacing w:after="0"/>
              <w:rPr>
                <w:sz w:val="20"/>
                <w:szCs w:val="20"/>
                <w:color w:val="auto"/>
              </w:rPr>
            </w:pPr>
            <w:r>
              <w:rPr>
                <w:rFonts w:ascii="Arial" w:cs="Arial" w:eastAsia="Arial" w:hAnsi="Arial"/>
                <w:sz w:val="18"/>
                <w:szCs w:val="18"/>
                <w:color w:val="auto"/>
              </w:rPr>
              <w:t>Fee revenue</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14,144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16,312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12,826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14,761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13,764</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43,282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42,010</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ind w:left="160"/>
              <w:spacing w:after="0" w:line="201" w:lineRule="exact"/>
              <w:rPr>
                <w:sz w:val="20"/>
                <w:szCs w:val="20"/>
                <w:color w:val="auto"/>
              </w:rPr>
            </w:pPr>
            <w:r>
              <w:rPr>
                <w:rFonts w:ascii="Arial" w:cs="Arial" w:eastAsia="Arial" w:hAnsi="Arial"/>
                <w:sz w:val="18"/>
                <w:szCs w:val="18"/>
                <w:b w:val="1"/>
                <w:bCs w:val="1"/>
                <w:color w:val="auto"/>
              </w:rPr>
              <w:t>Total revenue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8"/>
              </w:rPr>
              <w:t>65,482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22,374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56,485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56,789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55,635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8"/>
              </w:rPr>
              <w:t>144,341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89"/>
              </w:rPr>
              <w:t>166,581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40,097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48,823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43,770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50,726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44,783</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132,690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9"/>
              </w:rPr>
              <w:t>136,048</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ind w:left="160"/>
              <w:spacing w:after="0" w:line="201" w:lineRule="exact"/>
              <w:rPr>
                <w:sz w:val="20"/>
                <w:szCs w:val="20"/>
                <w:color w:val="auto"/>
              </w:rPr>
            </w:pPr>
            <w:r>
              <w:rPr>
                <w:rFonts w:ascii="Arial" w:cs="Arial" w:eastAsia="Arial" w:hAnsi="Arial"/>
                <w:sz w:val="18"/>
                <w:szCs w:val="18"/>
                <w:color w:val="auto"/>
                <w:w w:val="93"/>
              </w:rPr>
              <w:t>Income (loss) before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25,385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(26,449)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12,715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6,063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10,852</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11,651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30,533</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2320" w:type="dxa"/>
            <w:vAlign w:val="bottom"/>
            <w:gridSpan w:val="2"/>
          </w:tcPr>
          <w:p>
            <w:pPr>
              <w:spacing w:after="0"/>
              <w:rPr>
                <w:sz w:val="20"/>
                <w:szCs w:val="20"/>
                <w:color w:val="auto"/>
              </w:rPr>
            </w:pPr>
            <w:r>
              <w:rPr>
                <w:rFonts w:ascii="Arial" w:cs="Arial" w:eastAsia="Arial" w:hAnsi="Arial"/>
                <w:sz w:val="18"/>
                <w:szCs w:val="18"/>
                <w:color w:val="auto"/>
                <w:w w:val="99"/>
              </w:rPr>
              <w:t>Income tax expense (benefit)</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9,885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(256,413)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(245,578)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ind w:left="160"/>
              <w:spacing w:after="0" w:line="201" w:lineRule="exact"/>
              <w:rPr>
                <w:sz w:val="20"/>
                <w:szCs w:val="20"/>
                <w:color w:val="auto"/>
              </w:rPr>
            </w:pPr>
            <w:r>
              <w:rPr>
                <w:rFonts w:ascii="Arial" w:cs="Arial" w:eastAsia="Arial" w:hAnsi="Arial"/>
                <w:sz w:val="18"/>
                <w:szCs w:val="18"/>
                <w:b w:val="1"/>
                <w:bCs w:val="1"/>
                <w:color w:val="auto"/>
              </w:rPr>
              <w:t>Net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8"/>
              </w:rPr>
              <w:t>15,500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8"/>
              </w:rPr>
              <w:t>229,964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11,765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5,261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10,568</w:t>
            </w:r>
          </w:p>
        </w:tc>
        <w:tc>
          <w:tcPr>
            <w:tcW w:w="1120" w:type="dxa"/>
            <w:vAlign w:val="bottom"/>
            <w:gridSpan w:val="2"/>
          </w:tcPr>
          <w:p>
            <w:pPr>
              <w:jc w:val="right"/>
              <w:ind w:right="150"/>
              <w:spacing w:after="0" w:line="201"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8"/>
              </w:rPr>
              <w:t>257,229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28,595</w:t>
            </w:r>
          </w:p>
        </w:tc>
        <w:tc>
          <w:tcPr>
            <w:tcW w:w="1140" w:type="dxa"/>
            <w:vAlign w:val="bottom"/>
            <w:gridSpan w:val="2"/>
          </w:tcPr>
          <w:p>
            <w:pPr>
              <w:jc w:val="right"/>
              <w:ind w:right="170"/>
              <w:spacing w:after="0" w:line="201"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Preferred dividends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discount accretion</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9,166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9,103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income available to</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common shareholders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12,441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226,909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8,713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2,216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7,527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248,063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19,492</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
        </w:trPr>
        <w:tc>
          <w:tcPr>
            <w:tcW w:w="2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PERFORMANCE</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3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MEASURES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Per common share: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Diluted income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Book value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Key performance ratios: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5"/>
                <w:szCs w:val="25"/>
                <w:color w:val="auto"/>
                <w:vertAlign w:val="superscript"/>
              </w:rPr>
              <w:t>(1)(3)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Return on assets </w:t>
            </w:r>
            <w:r>
              <w:rPr>
                <w:rFonts w:ascii="Arial" w:cs="Arial" w:eastAsia="Arial" w:hAnsi="Arial"/>
                <w:sz w:val="25"/>
                <w:szCs w:val="25"/>
                <w:color w:val="auto"/>
                <w:vertAlign w:val="superscript"/>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5"/>
                <w:szCs w:val="25"/>
                <w:color w:val="auto"/>
                <w:vertAlign w:val="superscript"/>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Efficiency ratio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63.36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Equity to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11.57</w:t>
            </w:r>
            <w:r>
              <w:rPr>
                <w:rFonts w:ascii="Arial" w:cs="Arial" w:eastAsia="Arial" w:hAnsi="Arial"/>
                <w:sz w:val="12"/>
                <w:szCs w:val="12"/>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line="216" w:lineRule="exact"/>
              <w:rPr>
                <w:sz w:val="20"/>
                <w:szCs w:val="20"/>
                <w:color w:val="auto"/>
              </w:rPr>
            </w:pPr>
            <w:r>
              <w:rPr>
                <w:rFonts w:ascii="Arial" w:cs="Arial" w:eastAsia="Arial" w:hAnsi="Arial"/>
                <w:sz w:val="18"/>
                <w:szCs w:val="18"/>
                <w:color w:val="auto"/>
                <w:w w:val="94"/>
              </w:rPr>
              <w:t xml:space="preserve">Tangible equity to assets </w:t>
            </w:r>
            <w:r>
              <w:rPr>
                <w:rFonts w:ascii="Arial" w:cs="Arial" w:eastAsia="Arial" w:hAnsi="Arial"/>
                <w:sz w:val="25"/>
                <w:szCs w:val="25"/>
                <w:color w:val="auto"/>
                <w:w w:val="94"/>
                <w:vertAlign w:val="superscript"/>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11.53</w:t>
            </w:r>
            <w:r>
              <w:rPr>
                <w:rFonts w:ascii="Arial" w:cs="Arial" w:eastAsia="Arial" w:hAnsi="Arial"/>
                <w:sz w:val="12"/>
                <w:szCs w:val="12"/>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w w:val="98"/>
              </w:rPr>
              <w:t>Tangible common equity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320"/>
              <w:spacing w:after="0" w:line="21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5"/>
                <w:szCs w:val="25"/>
                <w:color w:val="auto"/>
                <w:vertAlign w:val="superscript"/>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8.79</w:t>
            </w:r>
            <w:r>
              <w:rPr>
                <w:rFonts w:ascii="Arial" w:cs="Arial" w:eastAsia="Arial" w:hAnsi="Arial"/>
                <w:sz w:val="12"/>
                <w:szCs w:val="12"/>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w w:val="98"/>
              </w:rPr>
              <w:t>Tangible common equity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risk-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300" w:type="dxa"/>
            <w:vAlign w:val="bottom"/>
          </w:tcPr>
          <w:p>
            <w:pPr>
              <w:ind w:left="340"/>
              <w:spacing w:after="0"/>
              <w:rPr>
                <w:sz w:val="20"/>
                <w:szCs w:val="20"/>
                <w:color w:val="auto"/>
              </w:rPr>
            </w:pPr>
            <w:r>
              <w:rPr>
                <w:rFonts w:ascii="Arial" w:cs="Arial" w:eastAsia="Arial" w:hAnsi="Arial"/>
                <w:sz w:val="18"/>
                <w:szCs w:val="18"/>
                <w:color w:val="auto"/>
              </w:rPr>
              <w:t xml:space="preserve">weighted assets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ASSET QUALITY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Non-performing loans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26,088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27,864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96,006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109,894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115,001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26,088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115,001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Foreclosed properties</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16,734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26,958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4,467</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26,958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ind w:left="160"/>
              <w:spacing w:after="0" w:line="201" w:lineRule="exact"/>
              <w:rPr>
                <w:sz w:val="20"/>
                <w:szCs w:val="20"/>
                <w:color w:val="auto"/>
              </w:rPr>
            </w:pPr>
            <w:r>
              <w:rPr>
                <w:rFonts w:ascii="Arial" w:cs="Arial" w:eastAsia="Arial" w:hAnsi="Arial"/>
                <w:sz w:val="18"/>
                <w:szCs w:val="18"/>
                <w:color w:val="auto"/>
                <w:w w:val="94"/>
              </w:rPr>
              <w:t>Total non-performing assets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320"/>
              <w:spacing w:after="0"/>
              <w:rPr>
                <w:sz w:val="20"/>
                <w:szCs w:val="20"/>
                <w:color w:val="auto"/>
              </w:rPr>
            </w:pPr>
            <w:r>
              <w:rPr>
                <w:rFonts w:ascii="Arial" w:cs="Arial" w:eastAsia="Arial" w:hAnsi="Arial"/>
                <w:sz w:val="18"/>
                <w:szCs w:val="18"/>
                <w:color w:val="auto"/>
              </w:rPr>
              <w:t>(NPAs)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30,555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31,800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112,740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128,158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141,959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30,555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141,959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Arial" w:cs="Arial" w:eastAsia="Arial" w:hAnsi="Arial"/>
                <w:sz w:val="18"/>
                <w:szCs w:val="18"/>
                <w:color w:val="auto"/>
              </w:rPr>
              <w:t>Allowance for loan losses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80,372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81,845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105,753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107,137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107,642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80,372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107,642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Net charge-offs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72,408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12,384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14,505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20,563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89,265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55,326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Arial" w:cs="Arial" w:eastAsia="Arial" w:hAnsi="Arial"/>
                <w:sz w:val="18"/>
                <w:szCs w:val="18"/>
                <w:color w:val="auto"/>
                <w:w w:val="99"/>
              </w:rPr>
              <w:t>Allowance for loan losses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Net charge-offs to average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loans </w:t>
            </w:r>
            <w:r>
              <w:rPr>
                <w:rFonts w:ascii="Arial" w:cs="Arial" w:eastAsia="Arial" w:hAnsi="Arial"/>
                <w:sz w:val="25"/>
                <w:szCs w:val="25"/>
                <w:color w:val="auto"/>
                <w:vertAlign w:val="superscript"/>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w w:val="92"/>
              </w:rPr>
              <w:t>NPAs to loans and foreclosed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320"/>
              <w:spacing w:after="0"/>
              <w:rPr>
                <w:sz w:val="20"/>
                <w:szCs w:val="20"/>
                <w:color w:val="auto"/>
              </w:rPr>
            </w:pPr>
            <w:r>
              <w:rPr>
                <w:rFonts w:ascii="Arial" w:cs="Arial" w:eastAsia="Arial" w:hAnsi="Arial"/>
                <w:sz w:val="18"/>
                <w:szCs w:val="18"/>
                <w:color w:val="auto"/>
              </w:rPr>
              <w:t>properties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NPAs to total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i w:val="1"/>
                <w:iCs w:val="1"/>
                <w:color w:val="auto"/>
              </w:rPr>
              <w:t>in millions)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Loans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4,250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4,253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4,197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4,191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4,147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4,234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4,157</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Investment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1,971</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2,089</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Earning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6,615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6,346</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6,569</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6,915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6,778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6,648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6,974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6,894</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Deposits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5,987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5,873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5,789</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5,890</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Common shares - basic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i w:val="1"/>
                <w:iCs w:val="1"/>
                <w:color w:val="auto"/>
              </w:rPr>
              <w:t>(thousands)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59,100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58,141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58,081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57,971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57,880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58,443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57,826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Common shares - diluted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i w:val="1"/>
                <w:iCs w:val="1"/>
                <w:color w:val="auto"/>
              </w:rPr>
              <w:t>(thousands)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59,202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58,141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58,081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57,971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57,880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58,444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57,826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8"/>
                <w:szCs w:val="18"/>
                <w:i w:val="1"/>
                <w:iCs w:val="1"/>
                <w:color w:val="auto"/>
              </w:rPr>
              <w:t>($ in</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i w:val="1"/>
                <w:iCs w:val="1"/>
                <w:color w:val="auto"/>
              </w:rPr>
              <w:t>millions)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260" w:type="dxa"/>
            <w:vAlign w:val="bottom"/>
          </w:tcPr>
          <w:p>
            <w:pPr>
              <w:ind w:left="100"/>
              <w:spacing w:after="0"/>
              <w:rPr>
                <w:sz w:val="20"/>
                <w:szCs w:val="20"/>
                <w:color w:val="auto"/>
              </w:rPr>
            </w:pPr>
            <w:r>
              <w:rPr>
                <w:rFonts w:ascii="Arial" w:cs="Arial" w:eastAsia="Arial" w:hAnsi="Arial"/>
                <w:sz w:val="18"/>
                <w:szCs w:val="18"/>
                <w:color w:val="auto"/>
              </w:rPr>
              <w:t>Loans *</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  4,267</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   4,189</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  4,194</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  4,175</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  4,138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   4,267</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  4,138</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26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2,169</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2,152</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2,141</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2,079</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2,025</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2,169</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2,025</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26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7,243</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7,163</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6,849</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6,802</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6,699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7,243</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6,699</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260" w:type="dxa"/>
            <w:vAlign w:val="bottom"/>
          </w:tcPr>
          <w:p>
            <w:pPr>
              <w:ind w:left="100"/>
              <w:spacing w:after="0"/>
              <w:rPr>
                <w:sz w:val="20"/>
                <w:szCs w:val="20"/>
                <w:color w:val="auto"/>
              </w:rPr>
            </w:pPr>
            <w:r>
              <w:rPr>
                <w:rFonts w:ascii="Arial" w:cs="Arial" w:eastAsia="Arial" w:hAnsi="Arial"/>
                <w:sz w:val="18"/>
                <w:szCs w:val="18"/>
                <w:color w:val="auto"/>
              </w:rPr>
              <w:t>Deposits</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6,113</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6,012</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6,026</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5,952</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5,823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6,113</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5,823</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26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852</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829</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592</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581</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585</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852</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585</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260" w:type="dxa"/>
            <w:vAlign w:val="bottom"/>
          </w:tcPr>
          <w:p>
            <w:pPr>
              <w:ind w:left="100"/>
              <w:spacing w:after="0"/>
              <w:rPr>
                <w:sz w:val="20"/>
                <w:szCs w:val="20"/>
                <w:color w:val="auto"/>
              </w:rPr>
            </w:pPr>
            <w:r>
              <w:rPr>
                <w:rFonts w:ascii="Arial" w:cs="Arial" w:eastAsia="Arial" w:hAnsi="Arial"/>
                <w:sz w:val="18"/>
                <w:szCs w:val="18"/>
                <w:color w:val="auto"/>
                <w:w w:val="92"/>
              </w:rPr>
              <w:t>Common shares outstanding</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rPr>
              <w:t>(thousands)</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59,412</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57,831</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57,767</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57,741</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57,710</w:t>
            </w:r>
          </w:p>
        </w:tc>
        <w:tc>
          <w:tcPr>
            <w:tcW w:w="8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59,412</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57,710</w:t>
            </w:r>
          </w:p>
        </w:tc>
        <w:tc>
          <w:tcPr>
            <w:tcW w:w="600" w:type="dxa"/>
            <w:vAlign w:val="bottom"/>
          </w:tcPr>
          <w:p>
            <w:pPr>
              <w:spacing w:after="0"/>
              <w:rPr>
                <w:sz w:val="20"/>
                <w:szCs w:val="20"/>
                <w:color w:val="auto"/>
              </w:rPr>
            </w:pPr>
          </w:p>
        </w:tc>
      </w:tr>
    </w:tbl>
    <w:p>
      <w:pPr>
        <w:spacing w:after="0" w:line="229" w:lineRule="exact"/>
        <w:rPr>
          <w:sz w:val="20"/>
          <w:szCs w:val="20"/>
          <w:color w:val="auto"/>
        </w:rPr>
      </w:pPr>
    </w:p>
    <w:p>
      <w:pPr>
        <w:ind w:right="100" w:firstLine="8"/>
        <w:spacing w:after="0" w:line="187" w:lineRule="auto"/>
        <w:tabs>
          <w:tab w:leader="none" w:pos="237"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 xml:space="preserve">Net income available to common shareholders, which is net of preferred stock dividends, divided by average realized common equity, which excludes accumulated other comprehensive income (loss). </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Excludes effect of acquisition related intangibles and associated</w:t>
      </w:r>
    </w:p>
    <w:p>
      <w:pPr>
        <w:spacing w:after="0"/>
        <w:rPr>
          <w:rFonts w:ascii="Arial" w:cs="Arial" w:eastAsia="Arial" w:hAnsi="Arial"/>
          <w:sz w:val="25"/>
          <w:szCs w:val="25"/>
          <w:color w:val="auto"/>
          <w:vertAlign w:val="superscript"/>
        </w:rPr>
      </w:pPr>
      <w:r>
        <w:rPr>
          <w:rFonts w:ascii="Arial" w:cs="Arial" w:eastAsia="Arial" w:hAnsi="Arial"/>
          <w:sz w:val="18"/>
          <w:szCs w:val="18"/>
          <w:color w:val="auto"/>
        </w:rPr>
        <w:t xml:space="preserve">amortization. </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Annualized. </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Calculated as of period-end.</w:t>
      </w:r>
    </w:p>
    <w:p>
      <w:pPr>
        <w:spacing w:after="0" w:line="129" w:lineRule="exact"/>
        <w:rPr>
          <w:sz w:val="20"/>
          <w:szCs w:val="20"/>
          <w:color w:val="auto"/>
        </w:rPr>
      </w:pPr>
    </w:p>
    <w:p>
      <w:pPr>
        <w:ind w:left="5620" w:right="4340" w:hanging="5612"/>
        <w:spacing w:after="0" w:line="778" w:lineRule="auto"/>
        <w:tabs>
          <w:tab w:leader="none" w:pos="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121" w:right="4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Table 1 Continued - Non-GAAP Performance Measures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210"/>
              <w:spacing w:after="0" w:line="205" w:lineRule="exact"/>
              <w:rPr>
                <w:sz w:val="20"/>
                <w:szCs w:val="20"/>
                <w:color w:val="auto"/>
              </w:rPr>
            </w:pPr>
            <w:r>
              <w:rPr>
                <w:rFonts w:ascii="Arial" w:cs="Arial" w:eastAsia="Arial" w:hAnsi="Arial"/>
                <w:sz w:val="18"/>
                <w:szCs w:val="18"/>
                <w:b w:val="1"/>
                <w:bCs w:val="1"/>
                <w:color w:val="auto"/>
                <w:w w:val="89"/>
              </w:rPr>
              <w:t>2013</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3"/>
          </w:tcPr>
          <w:p>
            <w:pPr>
              <w:jc w:val="right"/>
              <w:spacing w:after="0" w:line="205" w:lineRule="exact"/>
              <w:rPr>
                <w:sz w:val="20"/>
                <w:szCs w:val="20"/>
                <w:color w:val="auto"/>
              </w:rPr>
            </w:pPr>
            <w:r>
              <w:rPr>
                <w:rFonts w:ascii="Arial" w:cs="Arial" w:eastAsia="Arial" w:hAnsi="Arial"/>
                <w:sz w:val="18"/>
                <w:szCs w:val="18"/>
                <w:b w:val="1"/>
                <w:bCs w:val="1"/>
                <w:color w:val="auto"/>
              </w:rPr>
              <w:t>2012</w:t>
            </w: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5"/>
          </w:tcPr>
          <w:p>
            <w:pPr>
              <w:jc w:val="right"/>
              <w:ind w:right="500"/>
              <w:spacing w:after="0" w:line="205" w:lineRule="exact"/>
              <w:rPr>
                <w:sz w:val="20"/>
                <w:szCs w:val="20"/>
                <w:color w:val="auto"/>
              </w:rPr>
            </w:pPr>
            <w:r>
              <w:rPr>
                <w:rFonts w:ascii="Arial" w:cs="Arial" w:eastAsia="Arial" w:hAnsi="Arial"/>
                <w:sz w:val="18"/>
                <w:szCs w:val="18"/>
                <w:b w:val="1"/>
                <w:bCs w:val="1"/>
                <w:color w:val="auto"/>
                <w:w w:val="98"/>
              </w:rPr>
              <w:t>For the Nine Months</w:t>
            </w:r>
          </w:p>
        </w:tc>
        <w:tc>
          <w:tcPr>
            <w:tcW w:w="0" w:type="dxa"/>
            <w:vAlign w:val="bottom"/>
          </w:tcPr>
          <w:p>
            <w:pPr>
              <w:spacing w:after="0"/>
              <w:rPr>
                <w:sz w:val="1"/>
                <w:szCs w:val="1"/>
                <w:color w:val="auto"/>
              </w:rPr>
            </w:pPr>
          </w:p>
        </w:tc>
      </w:tr>
      <w:tr>
        <w:trPr>
          <w:trHeight w:val="39"/>
        </w:trPr>
        <w:tc>
          <w:tcPr>
            <w:tcW w:w="2540" w:type="dxa"/>
            <w:vAlign w:val="bottom"/>
            <w:vMerge w:val="restart"/>
          </w:tcPr>
          <w:p>
            <w:pPr>
              <w:spacing w:after="0"/>
              <w:rPr>
                <w:sz w:val="20"/>
                <w:szCs w:val="20"/>
                <w:color w:val="auto"/>
              </w:rPr>
            </w:pPr>
            <w:r>
              <w:rPr>
                <w:rFonts w:ascii="Arial" w:cs="Arial" w:eastAsia="Arial" w:hAnsi="Arial"/>
                <w:sz w:val="18"/>
                <w:szCs w:val="18"/>
                <w:i w:val="1"/>
                <w:iCs w:val="1"/>
                <w:color w:val="auto"/>
                <w:w w:val="99"/>
              </w:rPr>
              <w:t>(in thousands, except per share</w:t>
            </w: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4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w w:val="95"/>
              </w:rPr>
              <w:t>Ended September 30,</w:t>
            </w:r>
          </w:p>
        </w:tc>
        <w:tc>
          <w:tcPr>
            <w:tcW w:w="0" w:type="dxa"/>
            <w:vAlign w:val="bottom"/>
          </w:tcPr>
          <w:p>
            <w:pPr>
              <w:spacing w:after="0"/>
              <w:rPr>
                <w:sz w:val="1"/>
                <w:szCs w:val="1"/>
                <w:color w:val="auto"/>
              </w:rPr>
            </w:pPr>
          </w:p>
        </w:tc>
      </w:tr>
      <w:tr>
        <w:trPr>
          <w:trHeight w:val="210"/>
        </w:trPr>
        <w:tc>
          <w:tcPr>
            <w:tcW w:w="2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86"/>
              </w:rPr>
              <w:t>Second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data; taxable equivalent)</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540" w:type="dxa"/>
            <w:vAlign w:val="bottom"/>
          </w:tcPr>
          <w:p>
            <w:pPr>
              <w:spacing w:after="0"/>
              <w:rPr>
                <w:sz w:val="20"/>
                <w:szCs w:val="20"/>
                <w:color w:val="auto"/>
              </w:rPr>
            </w:pPr>
            <w:r>
              <w:rPr>
                <w:rFonts w:ascii="Arial" w:cs="Arial" w:eastAsia="Arial" w:hAnsi="Arial"/>
                <w:sz w:val="18"/>
                <w:szCs w:val="18"/>
                <w:b w:val="1"/>
                <w:bCs w:val="1"/>
                <w:color w:val="auto"/>
                <w:w w:val="96"/>
              </w:rPr>
              <w:t>Interest revenue reconciliation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Interest revenue - taxable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equivalent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61,363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61,693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62,134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64,450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65,978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185,190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202,979</w:t>
            </w: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Interest revenue (GAAP)</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60,993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61,325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61,769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64,069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65,559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184,087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201,670</w:t>
            </w: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Net interest revenue - taxable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equivalent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54,338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54,562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54,659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57,371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163,559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173,071</w:t>
            </w: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Net interest revenue (GAAP)</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53,968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54,194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54,294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55,647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56,952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162,456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171,762</w:t>
            </w: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 reconciliation</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65,482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22,374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56,485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56,789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55,635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144,341</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166,581</w:t>
            </w: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Total revenue (GAAP)</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65,112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22,006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56,120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56,408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55,216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143,238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165,272</w:t>
            </w: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Income (loss) before taxes</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25,385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(26,449)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12,715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6,063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10,852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11,651</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30,533</w:t>
            </w: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2"/>
        </w:trPr>
        <w:tc>
          <w:tcPr>
            <w:tcW w:w="2540" w:type="dxa"/>
            <w:vAlign w:val="bottom"/>
          </w:tcPr>
          <w:p>
            <w:pPr>
              <w:ind w:left="180"/>
              <w:spacing w:after="0" w:line="201" w:lineRule="exact"/>
              <w:rPr>
                <w:sz w:val="20"/>
                <w:szCs w:val="20"/>
                <w:color w:val="auto"/>
              </w:rPr>
            </w:pPr>
            <w:r>
              <w:rPr>
                <w:rFonts w:ascii="Arial" w:cs="Arial" w:eastAsia="Arial" w:hAnsi="Arial"/>
                <w:sz w:val="18"/>
                <w:szCs w:val="18"/>
                <w:color w:val="auto"/>
              </w:rPr>
              <w:t>Income (loss) before taxes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(GAAP)</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(26,817)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12,350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10,433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10,548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29,224</w:t>
            </w: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Income tax expense (benefit)</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9,885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(256,413)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284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(245,578)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2"/>
        </w:trPr>
        <w:tc>
          <w:tcPr>
            <w:tcW w:w="2540" w:type="dxa"/>
            <w:vAlign w:val="bottom"/>
          </w:tcPr>
          <w:p>
            <w:pPr>
              <w:ind w:left="180"/>
              <w:spacing w:after="0" w:line="201" w:lineRule="exact"/>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(GAAP)</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9,515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(256,781)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(246,681)</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w w:val="96"/>
              </w:rPr>
              <w:t>Book value per common share</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w w:val="94"/>
              </w:rPr>
              <w:t>Tangible book value per common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share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6.64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10.95</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Effect of goodwill and 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540" w:type="dxa"/>
            <w:vAlign w:val="bottom"/>
          </w:tcPr>
          <w:p>
            <w:pPr>
              <w:ind w:left="140"/>
              <w:spacing w:after="0" w:line="201" w:lineRule="exact"/>
              <w:rPr>
                <w:sz w:val="20"/>
                <w:szCs w:val="20"/>
                <w:color w:val="auto"/>
              </w:rPr>
            </w:pPr>
            <w:r>
              <w:rPr>
                <w:rFonts w:ascii="Arial" w:cs="Arial" w:eastAsia="Arial" w:hAnsi="Arial"/>
                <w:sz w:val="18"/>
                <w:szCs w:val="18"/>
                <w:color w:val="auto"/>
                <w:w w:val="97"/>
              </w:rPr>
              <w:t>Book value per common share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(GAAP)</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6.75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10.99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Average equity to assets</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w w:val="92"/>
              </w:rPr>
              <w:t>Tangible common equity to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2"/>
        </w:trPr>
        <w:tc>
          <w:tcPr>
            <w:tcW w:w="2540" w:type="dxa"/>
            <w:vAlign w:val="bottom"/>
          </w:tcPr>
          <w:p>
            <w:pPr>
              <w:ind w:left="180"/>
              <w:spacing w:after="0" w:line="201" w:lineRule="exact"/>
              <w:rPr>
                <w:sz w:val="20"/>
                <w:szCs w:val="20"/>
                <w:color w:val="auto"/>
              </w:rPr>
            </w:pPr>
            <w:r>
              <w:rPr>
                <w:rFonts w:ascii="Arial" w:cs="Arial" w:eastAsia="Arial" w:hAnsi="Arial"/>
                <w:sz w:val="18"/>
                <w:szCs w:val="18"/>
                <w:color w:val="auto"/>
              </w:rPr>
              <w:t>Tangible equity to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11.76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11.53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8.53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8.55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8.66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9.85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Effect of goodwill and 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Equity to assets (GAAP)</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
        </w:trPr>
        <w:tc>
          <w:tcPr>
            <w:tcW w:w="26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060" w:type="dxa"/>
            <w:vAlign w:val="bottom"/>
            <w:gridSpan w:val="7"/>
          </w:tcPr>
          <w:p>
            <w:pPr>
              <w:spacing w:after="0"/>
              <w:rPr>
                <w:sz w:val="20"/>
                <w:szCs w:val="20"/>
                <w:color w:val="auto"/>
              </w:rPr>
            </w:pPr>
            <w:r>
              <w:rPr>
                <w:rFonts w:ascii="Arial" w:cs="Arial" w:eastAsia="Arial" w:hAnsi="Arial"/>
                <w:sz w:val="18"/>
                <w:szCs w:val="18"/>
                <w:b w:val="1"/>
                <w:bCs w:val="1"/>
                <w:color w:val="auto"/>
                <w:w w:val="93"/>
              </w:rPr>
              <w:t>Tangible common equity to risk-weighted assets reconciliation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w w:val="98"/>
              </w:rPr>
              <w:t>Tangible common equity to risk-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weighted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Effect of other comprehensive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Effect of deferred tax limitation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Effect of trust preferred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w w:val="96"/>
              </w:rPr>
              <w:t>Tier I capital ratio (Regulatory)</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420"/>
          </w:cols>
          <w:pgMar w:left="240" w:top="918" w:right="239" w:bottom="50" w:gutter="0" w:footer="0" w:header="0"/>
        </w:sectPr>
      </w:pPr>
    </w:p>
    <w:bookmarkStart w:id="48" w:name="page49"/>
    <w:bookmarkEnd w:id="48"/>
    <w:p>
      <w:pPr>
        <w:jc w:val="both"/>
        <w:spacing w:after="0" w:line="272" w:lineRule="auto"/>
        <w:rPr>
          <w:sz w:val="20"/>
          <w:szCs w:val="20"/>
          <w:color w:val="auto"/>
        </w:rPr>
      </w:pPr>
      <w:r>
        <w:rPr>
          <w:rFonts w:ascii="Arial" w:cs="Arial" w:eastAsia="Arial" w:hAnsi="Arial"/>
          <w:sz w:val="17"/>
          <w:szCs w:val="17"/>
          <w:color w:val="auto"/>
        </w:rPr>
        <w:t>United reported net income of $15.5 million for the third quarter of 2013. This compared to net income of $10.6 million for the same period in 2012. For the third quarter of 2013, diluted earnings per common share was $.21 compared to $.13 for the third quarter of 2012. For the nine months ended September 30, 2013, United reported net income of $257 million compared to net income of $28.6 million for the same period in 2012. Diluted earnings per common share was $4.24 for the nine months ended September 30, 2013, compared to diluted earnings per common share of $.34 for the nine months ended September 30, 2012. Net income and earnings per share for the nine months ended September 30, 2013 are elevated by the recognition of substantial tax benefits with the reversal of United’s deferred tax asset valuation allowance. The effect of the tax benefit on net income was partially offset by higher net charge-offs resulting from the accelerated disposition of classified assets in the second quarter of 2013.</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September 30, 2013 was $54.3 million, down $3.03 million, or 5%, from the third quarter of 2012. The decrease in net interest revenue for the third quarter of 2013 compared to the third quarter of 2012 was mostly due to lower yields on loan and securities portfolios. United continues to focus on loan and deposit pricing in an effort to maintain a steady level of net interest revenue.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average loans increased $103 million, or 2%, from the third quarter of last year, the yield on loans decreased 49 basis points. The decreasing balances in the loan portfolio stabilized in 2012 and United began achieving modest loan growth; however, there is a high level of competition for quality lending relationships, which continues to put pressure on loan pricing. The increase in residential real estate loans is primarily the result of the promotion of a new home equity line product beginning in mid-2012 and the introduction of a new low-cost mortgage product in early 2013; however, the low introductory rate on these products also contributed to the lower yield on average loans.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Average interest-earning assets for the third quarter of 2013 increased $269 million, or 4%, from the same period in 2012, due primarily to the increase in loans and securities. The average yield on interest-earning assets for the three months ended September 30, 2013 was 3.69%, down 45 basis points from 4.14% for the same period of 2012. For the third quarter of 2013, the yield on loans decreased 49 basis points due to competitive loan pricing pressures and the yield on securities decreased 36 basis points from the same period a year ago as management was unable to reinvest the cash proceeds of maturing securities at yields comparable to those of the securities they replaced. To alleviate market and duration risk, United has focused on purchasing floating rate securities. Partially offsetting the lower loan and securities yields was a higher average yield on other interest-earning assets due to the use of reverse repurchase agreements including collateral swap transactions where United enters into a repurchase agreement and reverse repurchase agreement simultaneously with the same counterparty subject to a master netting agreement. In these transactions, the offsetting balances are netted on the balance sheet.</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Average interest-bearing liabilities increased $27.6 million, or 1%, from the third quarter of 2012 as money market deposits increased $171 million and the average balance of long term debt increased $24 million mostly due to the 49 day overlap of carrying $40 million in new debt before $35 million in old debt was repaid on September 30, 2013. The average rate on interest-bearing liabilities for the third quarter of 2013 was .57% compared to .71% for the same period of 2012, reflecting United’s concerted efforts to reduce deposit pricing. Also contributing to the overall lower rate on interest-bearing liabilities was a shift in the mix of deposits away from more expensive time deposits toward lower-rate transaction deposits. United was able to reduce the rate on brokered deposits in the third quarter of 2013 to a negative .19% by swapping the fixed rate on brokered time deposits to LIBOR minus a spread.</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2013 and 2012, the net interest spread was 3.12% and 3.43%, respectively, while the net interest margin was 3.26% and 3.60%, respectively. The decline in both ratios is due to lower yields on securities and loans, which were not completely offset by the decrease in rates paid for deposits and other interest bearing liabilities.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first nine months of 2013, net interest revenue was $164 million, a decrease of $9.51 million, or 5%, from the first nine months of 2012. Average earning assets increased $20.8 million, or less than 1%, during the first nine months of 2013, compared to the same period a year earlier. The yield on earning assets decreased 37 basis points from 4.13% for the nine months ended September 30, 2012 to 3.76% for the nine months ended September 30, 2013 due to declining loan and securities yields. The lower loan portfolio yield reflects competitive pricing pressure on new and renewed loans and new retail product offerings with low introductory rates. The lower investment securities yield was due to reinvestment of cash flows at record low rates. The rate on interest bearing liabilities over the same period decreased 19 basis points. The combined effect of the lower yield on interest earning assets, which was not completely offset by a reduction in rates paid on interest bearing liabilities, resulted in the net interest margin decreasing 20 basis points from the nine months ended September 30, 2012 to the nine months ended September 30, 2013.</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September 30, 2013 and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Avg.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Avg.</w:t>
            </w:r>
          </w:p>
        </w:tc>
        <w:tc>
          <w:tcPr>
            <w:tcW w:w="0" w:type="dxa"/>
            <w:vAlign w:val="bottom"/>
          </w:tcPr>
          <w:p>
            <w:pPr>
              <w:spacing w:after="0"/>
              <w:rPr>
                <w:sz w:val="1"/>
                <w:szCs w:val="1"/>
                <w:color w:val="auto"/>
              </w:rPr>
            </w:pPr>
          </w:p>
        </w:tc>
      </w:tr>
      <w:tr>
        <w:trPr>
          <w:trHeight w:val="24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Interest</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Rate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Interest</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4,249,892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50,217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4,147,220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53,963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2,157,448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9,670</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1,947,780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10,481</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7"/>
        </w:trPr>
        <w:tc>
          <w:tcPr>
            <w:tcW w:w="3900" w:type="dxa"/>
            <w:vAlign w:val="bottom"/>
          </w:tcPr>
          <w:p>
            <w:pPr>
              <w:ind w:left="100"/>
              <w:spacing w:after="0"/>
              <w:rPr>
                <w:sz w:val="20"/>
                <w:szCs w:val="20"/>
                <w:color w:val="auto"/>
              </w:rPr>
            </w:pPr>
            <w:r>
              <w:rPr>
                <w:rFonts w:ascii="Arial" w:cs="Arial" w:eastAsia="Arial" w:hAnsi="Arial"/>
                <w:sz w:val="18"/>
                <w:szCs w:val="18"/>
                <w:color w:val="auto"/>
                <w:w w:val="90"/>
              </w:rPr>
              <w:t>Federal funds sold and other interest-earning assets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186,544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1,145</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227,950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39"/>
        </w:trPr>
        <w:tc>
          <w:tcPr>
            <w:tcW w:w="3900" w:type="dxa"/>
            <w:vAlign w:val="bottom"/>
          </w:tcPr>
          <w:p>
            <w:pPr>
              <w:ind w:left="22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6,614,797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61,363</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6,345,845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65,978</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Non-interest-earning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8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(83,408)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63,890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51,705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166,906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190,439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7,170,097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6,647,563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60"/>
              <w:spacing w:after="0"/>
              <w:rPr>
                <w:sz w:val="20"/>
                <w:szCs w:val="20"/>
                <w:color w:val="auto"/>
              </w:rPr>
            </w:pPr>
            <w:r>
              <w:rPr>
                <w:rFonts w:ascii="Arial" w:cs="Arial" w:eastAsia="Arial" w:hAnsi="Arial"/>
                <w:sz w:val="18"/>
                <w:szCs w:val="18"/>
                <w:color w:val="auto"/>
              </w:rPr>
              <w:t>NOW</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1,222,334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1,176,087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900" w:type="dxa"/>
            <w:vAlign w:val="bottom"/>
          </w:tcPr>
          <w:p>
            <w:pPr>
              <w:ind w:left="26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1,328,661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1,157,655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900" w:type="dxa"/>
            <w:vAlign w:val="bottom"/>
          </w:tcPr>
          <w:p>
            <w:pPr>
              <w:ind w:left="26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248,937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221,186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900" w:type="dxa"/>
            <w:vAlign w:val="bottom"/>
          </w:tcPr>
          <w:p>
            <w:pPr>
              <w:ind w:left="260"/>
              <w:spacing w:after="0"/>
              <w:rPr>
                <w:sz w:val="20"/>
                <w:szCs w:val="20"/>
                <w:color w:val="auto"/>
              </w:rPr>
            </w:pPr>
            <w:r>
              <w:rPr>
                <w:rFonts w:ascii="Arial" w:cs="Arial" w:eastAsia="Arial" w:hAnsi="Arial"/>
                <w:sz w:val="18"/>
                <w:szCs w:val="18"/>
                <w:color w:val="auto"/>
              </w:rPr>
              <w:t>Time less than $100,000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952,320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1,369</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1,144,103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2,260</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900" w:type="dxa"/>
            <w:vAlign w:val="bottom"/>
          </w:tcPr>
          <w:p>
            <w:pPr>
              <w:ind w:left="260"/>
              <w:spacing w:after="0"/>
              <w:rPr>
                <w:sz w:val="20"/>
                <w:szCs w:val="20"/>
                <w:color w:val="auto"/>
              </w:rPr>
            </w:pPr>
            <w:r>
              <w:rPr>
                <w:rFonts w:ascii="Arial" w:cs="Arial" w:eastAsia="Arial" w:hAnsi="Arial"/>
                <w:sz w:val="18"/>
                <w:szCs w:val="18"/>
                <w:color w:val="auto"/>
              </w:rPr>
              <w:t>Time greater than $100,000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644,264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1,229</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750,828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1,876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3900" w:type="dxa"/>
            <w:vAlign w:val="bottom"/>
          </w:tcPr>
          <w:p>
            <w:pPr>
              <w:ind w:left="260"/>
              <w:spacing w:after="0"/>
              <w:rPr>
                <w:sz w:val="20"/>
                <w:szCs w:val="20"/>
                <w:color w:val="auto"/>
              </w:rPr>
            </w:pPr>
            <w:r>
              <w:rPr>
                <w:rFonts w:ascii="Arial" w:cs="Arial" w:eastAsia="Arial" w:hAnsi="Arial"/>
                <w:sz w:val="18"/>
                <w:szCs w:val="18"/>
                <w:color w:val="auto"/>
              </w:rPr>
              <w:t>Brokered time deposits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233,842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176,114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3900" w:type="dxa"/>
            <w:vAlign w:val="bottom"/>
          </w:tcPr>
          <w:p>
            <w:pPr>
              <w:ind w:left="400"/>
              <w:spacing w:after="0"/>
              <w:rPr>
                <w:sz w:val="20"/>
                <w:szCs w:val="20"/>
                <w:color w:val="auto"/>
              </w:rPr>
            </w:pPr>
            <w:r>
              <w:rPr>
                <w:rFonts w:ascii="Arial" w:cs="Arial" w:eastAsia="Arial" w:hAnsi="Arial"/>
                <w:sz w:val="18"/>
                <w:szCs w:val="18"/>
                <w:color w:val="auto"/>
              </w:rPr>
              <w:t>Total interest-bearing deposits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4,630,358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3,481</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4,625,973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5,695</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8"/>
        </w:trPr>
        <w:tc>
          <w:tcPr>
            <w:tcW w:w="3900" w:type="dxa"/>
            <w:vAlign w:val="bottom"/>
          </w:tcPr>
          <w:p>
            <w:pPr>
              <w:ind w:left="100"/>
              <w:spacing w:after="0"/>
              <w:rPr>
                <w:sz w:val="20"/>
                <w:szCs w:val="20"/>
                <w:color w:val="auto"/>
              </w:rPr>
            </w:pPr>
            <w:r>
              <w:rPr>
                <w:rFonts w:ascii="Arial" w:cs="Arial" w:eastAsia="Arial" w:hAnsi="Arial"/>
                <w:sz w:val="18"/>
                <w:szCs w:val="18"/>
                <w:color w:val="auto"/>
              </w:rPr>
              <w:t>Federal funds purchased and other borrowings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67,292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55,994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32,082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390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144,601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3,003</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120,276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2,372</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3"/>
        </w:trPr>
        <w:tc>
          <w:tcPr>
            <w:tcW w:w="3900" w:type="dxa"/>
            <w:vAlign w:val="bottom"/>
          </w:tcPr>
          <w:p>
            <w:pPr>
              <w:ind w:left="440"/>
              <w:spacing w:after="0"/>
              <w:rPr>
                <w:sz w:val="20"/>
                <w:szCs w:val="20"/>
                <w:color w:val="auto"/>
              </w:rPr>
            </w:pPr>
            <w:r>
              <w:rPr>
                <w:rFonts w:ascii="Arial" w:cs="Arial" w:eastAsia="Arial" w:hAnsi="Arial"/>
                <w:sz w:val="18"/>
                <w:szCs w:val="18"/>
                <w:color w:val="auto"/>
              </w:rPr>
              <w:t>Total borrowed funds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243,975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220,743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2,912</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439"/>
        </w:trPr>
        <w:tc>
          <w:tcPr>
            <w:tcW w:w="3900" w:type="dxa"/>
            <w:vAlign w:val="bottom"/>
          </w:tcPr>
          <w:p>
            <w:pPr>
              <w:ind w:left="44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4,874,333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7,025</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4,846,716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8,607</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Non-interest-bearing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1,356,792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1,163,471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220"/>
              <w:spacing w:after="0" w:line="201"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6,324,372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6,065,794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845,725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581,769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7,170,097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6,647,563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54,338</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57,371</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color w:val="auto"/>
              </w:rPr>
              <w:t>Net interest-rate spread</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5"/>
        </w:trPr>
        <w:tc>
          <w:tcPr>
            <w:tcW w:w="3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160" w:hanging="352"/>
        <w:spacing w:after="0" w:line="207" w:lineRule="auto"/>
        <w:tabs>
          <w:tab w:leader="none" w:pos="36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60" w:hanging="352"/>
        <w:spacing w:after="0"/>
        <w:tabs>
          <w:tab w:leader="none" w:pos="360" w:val="left"/>
        </w:tabs>
        <w:numPr>
          <w:ilvl w:val="0"/>
          <w:numId w:val="7"/>
        </w:numPr>
        <w:rPr>
          <w:rFonts w:ascii="Arial" w:cs="Arial" w:eastAsia="Arial" w:hAnsi="Arial"/>
          <w:sz w:val="11"/>
          <w:szCs w:val="11"/>
          <w:color w:val="auto"/>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32" w:lineRule="exact"/>
        <w:rPr>
          <w:rFonts w:ascii="Arial" w:cs="Arial" w:eastAsia="Arial" w:hAnsi="Arial"/>
          <w:sz w:val="11"/>
          <w:szCs w:val="11"/>
          <w:color w:val="auto"/>
        </w:rPr>
      </w:pPr>
    </w:p>
    <w:p>
      <w:pPr>
        <w:ind w:left="360" w:right="220" w:hanging="352"/>
        <w:spacing w:after="0" w:line="208" w:lineRule="auto"/>
        <w:tabs>
          <w:tab w:leader="none" w:pos="3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Securities available for sale are shown at amortized cost. Pretax unrealized losses of $10.6 million in 2013 and pretax unrealized gains of $22.9 million in 2012 are included in other assets for purposes of this presentation.</w:t>
      </w:r>
    </w:p>
    <w:p>
      <w:pPr>
        <w:spacing w:after="0" w:line="1" w:lineRule="exact"/>
        <w:rPr>
          <w:rFonts w:ascii="Arial" w:cs="Arial" w:eastAsia="Arial" w:hAnsi="Arial"/>
          <w:sz w:val="25"/>
          <w:szCs w:val="25"/>
          <w:color w:val="auto"/>
          <w:vertAlign w:val="superscript"/>
        </w:rPr>
      </w:pPr>
    </w:p>
    <w:p>
      <w:pPr>
        <w:ind w:left="360" w:hanging="352"/>
        <w:spacing w:after="0"/>
        <w:tabs>
          <w:tab w:leader="none" w:pos="360" w:val="left"/>
        </w:tabs>
        <w:numPr>
          <w:ilvl w:val="0"/>
          <w:numId w:val="7"/>
        </w:numPr>
        <w:rPr>
          <w:rFonts w:ascii="Arial" w:cs="Arial" w:eastAsia="Arial" w:hAnsi="Arial"/>
          <w:sz w:val="13"/>
          <w:szCs w:val="13"/>
          <w:color w:val="auto"/>
        </w:rPr>
      </w:pPr>
      <w:r>
        <w:rPr>
          <w:rFonts w:ascii="Arial" w:cs="Arial" w:eastAsia="Arial" w:hAnsi="Arial"/>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nine months ended September 20, 2013 and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Avg.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Avg.</w:t>
            </w:r>
          </w:p>
        </w:tc>
        <w:tc>
          <w:tcPr>
            <w:tcW w:w="0" w:type="dxa"/>
            <w:vAlign w:val="bottom"/>
          </w:tcPr>
          <w:p>
            <w:pPr>
              <w:spacing w:after="0"/>
              <w:rPr>
                <w:sz w:val="1"/>
                <w:szCs w:val="1"/>
                <w:color w:val="auto"/>
              </w:rPr>
            </w:pPr>
          </w:p>
        </w:tc>
      </w:tr>
      <w:tr>
        <w:trPr>
          <w:trHeight w:val="24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Interest</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Rate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Interest</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4,233,531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152,022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4,157,057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164,101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2,138,725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28,894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2,065,112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34,035</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1,207</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7"/>
        </w:trPr>
        <w:tc>
          <w:tcPr>
            <w:tcW w:w="3900" w:type="dxa"/>
            <w:vAlign w:val="bottom"/>
          </w:tcPr>
          <w:p>
            <w:pPr>
              <w:ind w:left="100"/>
              <w:spacing w:after="0"/>
              <w:rPr>
                <w:sz w:val="20"/>
                <w:szCs w:val="20"/>
                <w:color w:val="auto"/>
              </w:rPr>
            </w:pPr>
            <w:r>
              <w:rPr>
                <w:rFonts w:ascii="Arial" w:cs="Arial" w:eastAsia="Arial" w:hAnsi="Arial"/>
                <w:sz w:val="18"/>
                <w:szCs w:val="18"/>
                <w:color w:val="auto"/>
                <w:w w:val="90"/>
              </w:rPr>
              <w:t>Federal funds sold and other interest-earning assets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196,445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3,252</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322,998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439"/>
        </w:trPr>
        <w:tc>
          <w:tcPr>
            <w:tcW w:w="3900" w:type="dxa"/>
            <w:vAlign w:val="bottom"/>
          </w:tcPr>
          <w:p>
            <w:pPr>
              <w:ind w:left="22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6,590,112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185,190</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6,569,354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202,979</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Non-interest-earning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8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63,879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168,144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173,410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214,068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6,974,256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6,894,335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NOW</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1,256,684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1,304,159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1,587</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1,297,792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1,120,091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242,807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214,280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Time less than $100,000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997,193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4,686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1,199,563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7,806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Time greater than $100,000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670,821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4,086</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783,370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6,354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3900" w:type="dxa"/>
            <w:vAlign w:val="bottom"/>
          </w:tcPr>
          <w:p>
            <w:pPr>
              <w:ind w:left="240"/>
              <w:spacing w:after="0"/>
              <w:rPr>
                <w:sz w:val="20"/>
                <w:szCs w:val="20"/>
                <w:color w:val="auto"/>
              </w:rPr>
            </w:pPr>
            <w:r>
              <w:rPr>
                <w:rFonts w:ascii="Arial" w:cs="Arial" w:eastAsia="Arial" w:hAnsi="Arial"/>
                <w:sz w:val="18"/>
                <w:szCs w:val="18"/>
                <w:color w:val="auto"/>
              </w:rPr>
              <w:t>Brokered time deposits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201,599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162,682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3900" w:type="dxa"/>
            <w:vAlign w:val="bottom"/>
          </w:tcPr>
          <w:p>
            <w:pPr>
              <w:ind w:left="320"/>
              <w:spacing w:after="0"/>
              <w:rPr>
                <w:sz w:val="20"/>
                <w:szCs w:val="20"/>
                <w:color w:val="auto"/>
              </w:rPr>
            </w:pPr>
            <w:r>
              <w:rPr>
                <w:rFonts w:ascii="Arial" w:cs="Arial" w:eastAsia="Arial" w:hAnsi="Arial"/>
                <w:sz w:val="18"/>
                <w:szCs w:val="18"/>
                <w:color w:val="auto"/>
              </w:rPr>
              <w:t>Total interest-bearing deposits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4,666,896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11,672</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4,784,145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19,444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8"/>
        </w:trPr>
        <w:tc>
          <w:tcPr>
            <w:tcW w:w="3900" w:type="dxa"/>
            <w:vAlign w:val="bottom"/>
          </w:tcPr>
          <w:p>
            <w:pPr>
              <w:ind w:left="240"/>
              <w:spacing w:after="0"/>
              <w:rPr>
                <w:sz w:val="20"/>
                <w:szCs w:val="20"/>
                <w:color w:val="auto"/>
              </w:rPr>
            </w:pPr>
            <w:r>
              <w:rPr>
                <w:rFonts w:ascii="Arial" w:cs="Arial" w:eastAsia="Arial" w:hAnsi="Arial"/>
                <w:sz w:val="18"/>
                <w:szCs w:val="18"/>
                <w:color w:val="auto"/>
                <w:w w:val="97"/>
              </w:rPr>
              <w:t>Federal funds purchased and other borrowings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70,512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1,563</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85,022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2,463</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153,539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390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131,491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8,331</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120,256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7,119</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3"/>
        </w:trPr>
        <w:tc>
          <w:tcPr>
            <w:tcW w:w="3900" w:type="dxa"/>
            <w:vAlign w:val="bottom"/>
          </w:tcPr>
          <w:p>
            <w:pPr>
              <w:ind w:left="280"/>
              <w:spacing w:after="0"/>
              <w:rPr>
                <w:sz w:val="20"/>
                <w:szCs w:val="20"/>
                <w:color w:val="auto"/>
              </w:rPr>
            </w:pPr>
            <w:r>
              <w:rPr>
                <w:rFonts w:ascii="Arial" w:cs="Arial" w:eastAsia="Arial" w:hAnsi="Arial"/>
                <w:sz w:val="18"/>
                <w:szCs w:val="18"/>
                <w:color w:val="auto"/>
              </w:rPr>
              <w:t>Total borrowed funds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243,355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9,959</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358,817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10,464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439"/>
        </w:trPr>
        <w:tc>
          <w:tcPr>
            <w:tcW w:w="3900" w:type="dxa"/>
            <w:vAlign w:val="bottom"/>
          </w:tcPr>
          <w:p>
            <w:pPr>
              <w:ind w:left="28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4,910,251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21,631</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5,142,962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29,908</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Non-interest-bearing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1,305,133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1,105,607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220"/>
              <w:spacing w:after="0" w:line="201"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6,283,696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6,313,959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6,974,256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6,894,335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163,559</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173,071</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color w:val="auto"/>
              </w:rPr>
              <w:t>Net interest-rate spread</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5"/>
        </w:trPr>
        <w:tc>
          <w:tcPr>
            <w:tcW w:w="3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40" w:right="280" w:hanging="232"/>
        <w:spacing w:after="0" w:line="216" w:lineRule="auto"/>
        <w:tabs>
          <w:tab w:leader="none" w:pos="2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25"/>
          <w:szCs w:val="25"/>
          <w:color w:val="auto"/>
          <w:vertAlign w:val="superscript"/>
        </w:rPr>
      </w:pPr>
    </w:p>
    <w:p>
      <w:pPr>
        <w:ind w:left="240" w:hanging="232"/>
        <w:spacing w:after="0" w:line="187" w:lineRule="auto"/>
        <w:tabs>
          <w:tab w:leader="none" w:pos="2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4"/>
          <w:szCs w:val="24"/>
          <w:color w:val="auto"/>
          <w:vertAlign w:val="superscript"/>
        </w:rPr>
      </w:pPr>
    </w:p>
    <w:p>
      <w:pPr>
        <w:ind w:left="240" w:right="120" w:hanging="232"/>
        <w:spacing w:after="0" w:line="208" w:lineRule="auto"/>
        <w:tabs>
          <w:tab w:leader="none" w:pos="2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Securities available for sale are shown at amortized cost. Pretax unrealized gains of $7.96 million in 2013 and pretax unrealized gains of $24.1 million in 2012 are included in other assets for purposes of this presentation.</w:t>
      </w:r>
    </w:p>
    <w:p>
      <w:pPr>
        <w:spacing w:after="0" w:line="1" w:lineRule="exact"/>
        <w:rPr>
          <w:rFonts w:ascii="Arial" w:cs="Arial" w:eastAsia="Arial" w:hAnsi="Arial"/>
          <w:sz w:val="25"/>
          <w:szCs w:val="25"/>
          <w:color w:val="auto"/>
          <w:vertAlign w:val="superscript"/>
        </w:rPr>
      </w:pPr>
    </w:p>
    <w:p>
      <w:pPr>
        <w:ind w:left="240" w:hanging="232"/>
        <w:spacing w:after="0" w:line="180" w:lineRule="auto"/>
        <w:tabs>
          <w:tab w:leader="none" w:pos="2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204" w:lineRule="exact"/>
        <w:rPr>
          <w:sz w:val="20"/>
          <w:szCs w:val="20"/>
          <w:color w:val="auto"/>
        </w:rPr>
      </w:pPr>
    </w:p>
    <w:p>
      <w:pPr>
        <w:ind w:right="5200"/>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8"/>
          </w:tcPr>
          <w:p>
            <w:pPr>
              <w:jc w:val="center"/>
              <w:ind w:right="170"/>
              <w:spacing w:after="0"/>
              <w:rPr>
                <w:sz w:val="20"/>
                <w:szCs w:val="20"/>
                <w:color w:val="auto"/>
              </w:rPr>
            </w:pPr>
            <w:r>
              <w:rPr>
                <w:rFonts w:ascii="Arial" w:cs="Arial" w:eastAsia="Arial" w:hAnsi="Arial"/>
                <w:sz w:val="18"/>
                <w:szCs w:val="18"/>
                <w:b w:val="1"/>
                <w:bCs w:val="1"/>
                <w:color w:val="auto"/>
                <w:w w:val="91"/>
              </w:rPr>
              <w:t>Three Months Ended September 30, 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9"/>
          </w:tcPr>
          <w:p>
            <w:pPr>
              <w:jc w:val="center"/>
              <w:ind w:right="70"/>
              <w:spacing w:after="0"/>
              <w:rPr>
                <w:sz w:val="20"/>
                <w:szCs w:val="20"/>
                <w:color w:val="auto"/>
              </w:rPr>
            </w:pPr>
            <w:r>
              <w:rPr>
                <w:rFonts w:ascii="Arial" w:cs="Arial" w:eastAsia="Arial" w:hAnsi="Arial"/>
                <w:sz w:val="18"/>
                <w:szCs w:val="18"/>
                <w:b w:val="1"/>
                <w:bCs w:val="1"/>
                <w:color w:val="auto"/>
                <w:w w:val="90"/>
              </w:rPr>
              <w:t>Nine Months Ended September 30, 2013</w:t>
            </w:r>
          </w:p>
        </w:tc>
      </w:tr>
      <w:tr>
        <w:trPr>
          <w:trHeight w:val="216"/>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0"/>
              </w:rPr>
              <w:t>Compared to 2012</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0"/>
              </w:rPr>
              <w:t>Compared to 2012</w:t>
            </w:r>
          </w:p>
        </w:tc>
        <w:tc>
          <w:tcPr>
            <w:tcW w:w="92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88"/>
              </w:rPr>
              <w:t>Increase (decrease)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8"/>
          </w:tcPr>
          <w:p>
            <w:pPr>
              <w:jc w:val="center"/>
              <w:ind w:left="670"/>
              <w:spacing w:after="0"/>
              <w:rPr>
                <w:sz w:val="20"/>
                <w:szCs w:val="20"/>
                <w:color w:val="auto"/>
              </w:rPr>
            </w:pPr>
            <w:r>
              <w:rPr>
                <w:rFonts w:ascii="Arial" w:cs="Arial" w:eastAsia="Arial" w:hAnsi="Arial"/>
                <w:sz w:val="18"/>
                <w:szCs w:val="18"/>
                <w:b w:val="1"/>
                <w:bCs w:val="1"/>
                <w:color w:val="auto"/>
                <w:w w:val="86"/>
              </w:rPr>
              <w:t>Increase (decrease)</w:t>
            </w:r>
          </w:p>
        </w:tc>
        <w:tc>
          <w:tcPr>
            <w:tcW w:w="920" w:type="dxa"/>
            <w:vAlign w:val="bottom"/>
          </w:tcPr>
          <w:p>
            <w:pPr>
              <w:spacing w:after="0"/>
              <w:rPr>
                <w:sz w:val="18"/>
                <w:szCs w:val="18"/>
                <w:color w:val="auto"/>
              </w:rPr>
            </w:pPr>
          </w:p>
        </w:tc>
      </w:tr>
      <w:tr>
        <w:trPr>
          <w:trHeight w:val="241"/>
        </w:trPr>
        <w:tc>
          <w:tcPr>
            <w:tcW w:w="4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8"/>
                <w:szCs w:val="18"/>
                <w:b w:val="1"/>
                <w:bCs w:val="1"/>
                <w:color w:val="auto"/>
                <w:w w:val="88"/>
              </w:rPr>
              <w:t>Due to Changes in</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8"/>
              </w:rPr>
              <w:t>Due to Changes in</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Volume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Interest-earning assets:</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1,310</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(5,056)</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2,973</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(15,052)</w:t>
            </w:r>
          </w:p>
        </w:tc>
        <w:tc>
          <w:tcPr>
            <w:tcW w:w="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(12,079)</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Taxable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Tax-exempt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w w:val="96"/>
              </w:rPr>
              <w:t>Federal funds sold and other interest-earning assets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Total interest-earning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(17,789)</w:t>
            </w: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NOW accounts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Money market accounts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Time deposits less than $100,000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(2,268)</w:t>
            </w: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Brokered deposits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r>
      <w:tr>
        <w:trPr>
          <w:trHeight w:val="223"/>
        </w:trPr>
        <w:tc>
          <w:tcPr>
            <w:tcW w:w="4020" w:type="dxa"/>
            <w:vAlign w:val="bottom"/>
          </w:tcPr>
          <w:p>
            <w:pPr>
              <w:ind w:left="100"/>
              <w:spacing w:after="0"/>
              <w:rPr>
                <w:sz w:val="20"/>
                <w:szCs w:val="20"/>
                <w:color w:val="auto"/>
              </w:rPr>
            </w:pPr>
            <w:r>
              <w:rPr>
                <w:rFonts w:ascii="Arial" w:cs="Arial" w:eastAsia="Arial" w:hAnsi="Arial"/>
                <w:sz w:val="18"/>
                <w:szCs w:val="18"/>
                <w:color w:val="auto"/>
              </w:rPr>
              <w:t>Total interest-bearing deposits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w:t>
            </w: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Federal funds purchased &amp; other borrowings</w:t>
            </w:r>
          </w:p>
        </w:tc>
        <w:tc>
          <w:tcPr>
            <w:tcW w:w="14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95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(84)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(379)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(900)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1,212</w:t>
            </w:r>
          </w:p>
        </w:tc>
      </w:tr>
      <w:tr>
        <w:trPr>
          <w:trHeight w:val="223"/>
        </w:trPr>
        <w:tc>
          <w:tcPr>
            <w:tcW w:w="4020" w:type="dxa"/>
            <w:vAlign w:val="bottom"/>
          </w:tcPr>
          <w:p>
            <w:pPr>
              <w:ind w:left="100"/>
              <w:spacing w:after="0"/>
              <w:rPr>
                <w:sz w:val="20"/>
                <w:szCs w:val="20"/>
                <w:color w:val="auto"/>
              </w:rPr>
            </w:pPr>
            <w:r>
              <w:rPr>
                <w:rFonts w:ascii="Arial" w:cs="Arial" w:eastAsia="Arial" w:hAnsi="Arial"/>
                <w:sz w:val="18"/>
                <w:szCs w:val="18"/>
                <w:color w:val="auto"/>
              </w:rPr>
              <w:t>Total borrowed funds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23"/>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Total interest-bearing liabilities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(8,277)</w:t>
            </w:r>
          </w:p>
        </w:tc>
      </w:tr>
      <w:tr>
        <w:trPr>
          <w:trHeight w:val="432"/>
        </w:trPr>
        <w:tc>
          <w:tcPr>
            <w:tcW w:w="4020" w:type="dxa"/>
            <w:vAlign w:val="bottom"/>
          </w:tcPr>
          <w:p>
            <w:pPr>
              <w:ind w:left="360"/>
              <w:spacing w:after="0"/>
              <w:rPr>
                <w:sz w:val="20"/>
                <w:szCs w:val="20"/>
                <w:color w:val="auto"/>
              </w:rPr>
            </w:pPr>
            <w:r>
              <w:rPr>
                <w:rFonts w:ascii="Arial" w:cs="Arial" w:eastAsia="Arial" w:hAnsi="Arial"/>
                <w:sz w:val="18"/>
                <w:szCs w:val="18"/>
                <w:b w:val="1"/>
                <w:bCs w:val="1"/>
                <w:color w:val="auto"/>
              </w:rPr>
              <w:t>Increase in net interest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1,878</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(3,033)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3,839</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(13,351)</w:t>
            </w:r>
          </w:p>
        </w:tc>
        <w:tc>
          <w:tcPr>
            <w:tcW w:w="8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(9,512)</w:t>
            </w:r>
          </w:p>
        </w:tc>
      </w:tr>
      <w:tr>
        <w:trPr>
          <w:trHeight w:val="21"/>
        </w:trPr>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provision for loan losses is based on management’s evaluation of losses inherent in the loan portfolio and corresponding analysis of the allowance for loan losses at quarter-end. The provision for loan losses was $3.00 million and $62.5 million for the third quarter and first nine months of 2013, compared to $15.5 million and $48.5 million for the same periods in 2012. The amount of provision recorded in each period was the amount required such that the total allowance for loan losses reflected the appropriate balance, in the estimation of management, that was sufficient to cover inherent losses in the loan portfolio. The 2013 year-to-date loan loss provision was higher due to increased level of charge-offs associated with the second quarter 2013 classified asset disposition. For the three and nine months ended September 30, 2013, net loan charge-offs as an annualized percentage of average outstanding loans were .42% and 2.84%, respectively, compared to 1.99% and 1.80%, respectively, for the same periods in 2012.</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past two years, United has experienced a significant improvement in credit quality and corresponding credit measures. The second quarter of 2013 included sales of classified assets totaling approximately $172 million, including a bulk sale of $131 million. The classified asset sales and a general improving trend reduced United’s nonperforming assets to $30.6 million as of September 30, 2013. Additional discussion on credit quality and the allowance for loan losses is included in the “Asset Quality and Risk Elements” section of this report on page 52.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revenue for the three and nine months ended September 30, 2013 was $14.1 million and $43.3 million, respectively, an increase of $380,000, or 3%, compared to the third quarter of 2012, and an increase of $1.27 million, or 3%, from the year-to-date period of 2012. The following table presents the components of fee revenue for the third quarters and first nine months of 2013 and 2012.</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w:t>
            </w:r>
          </w:p>
        </w:tc>
      </w:tr>
      <w:tr>
        <w:trPr>
          <w:trHeight w:val="418"/>
        </w:trPr>
        <w:tc>
          <w:tcPr>
            <w:tcW w:w="2420" w:type="dxa"/>
            <w:vAlign w:val="bottom"/>
          </w:tcPr>
          <w:p>
            <w:pPr>
              <w:ind w:left="60"/>
              <w:spacing w:after="0"/>
              <w:rPr>
                <w:sz w:val="20"/>
                <w:szCs w:val="20"/>
                <w:color w:val="auto"/>
              </w:rPr>
            </w:pPr>
            <w:r>
              <w:rPr>
                <w:rFonts w:ascii="Arial" w:cs="Arial" w:eastAsia="Arial" w:hAnsi="Arial"/>
                <w:sz w:val="18"/>
                <w:szCs w:val="18"/>
                <w:color w:val="auto"/>
              </w:rPr>
              <w:t>Overdraft fees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9,226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Debit card and interchange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889</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2420" w:type="dxa"/>
            <w:vAlign w:val="bottom"/>
          </w:tcPr>
          <w:p>
            <w:pPr>
              <w:ind w:left="60"/>
              <w:spacing w:after="0"/>
              <w:rPr>
                <w:sz w:val="20"/>
                <w:szCs w:val="20"/>
                <w:color w:val="auto"/>
              </w:rPr>
            </w:pPr>
            <w:r>
              <w:rPr>
                <w:rFonts w:ascii="Arial" w:cs="Arial" w:eastAsia="Arial" w:hAnsi="Arial"/>
                <w:sz w:val="18"/>
                <w:szCs w:val="18"/>
                <w:color w:val="auto"/>
                <w:w w:val="93"/>
              </w:rPr>
              <w:t>Other service charges and fees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2"/>
        </w:trPr>
        <w:tc>
          <w:tcPr>
            <w:tcW w:w="2420" w:type="dxa"/>
            <w:vAlign w:val="bottom"/>
          </w:tcPr>
          <w:p>
            <w:pPr>
              <w:ind w:left="280"/>
              <w:spacing w:after="0" w:line="201" w:lineRule="exact"/>
              <w:rPr>
                <w:sz w:val="20"/>
                <w:szCs w:val="20"/>
                <w:color w:val="auto"/>
              </w:rPr>
            </w:pPr>
            <w:r>
              <w:rPr>
                <w:rFonts w:ascii="Arial" w:cs="Arial" w:eastAsia="Arial" w:hAnsi="Arial"/>
                <w:sz w:val="18"/>
                <w:szCs w:val="18"/>
                <w:color w:val="auto"/>
              </w:rPr>
              <w:t>Service charges and fees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8,456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7,696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760</w:t>
            </w:r>
          </w:p>
        </w:tc>
        <w:tc>
          <w:tcPr>
            <w:tcW w:w="112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23,831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23,295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536</w:t>
            </w:r>
          </w:p>
        </w:tc>
        <w:tc>
          <w:tcPr>
            <w:tcW w:w="11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2</w:t>
            </w: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w w:val="93"/>
              </w:rPr>
              <w:t>Mortgage loan and related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Brokerage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Securities gains,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Losses from prepayment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Hedge ineffectiveness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2420" w:type="dxa"/>
            <w:vAlign w:val="bottom"/>
          </w:tcPr>
          <w:p>
            <w:pPr>
              <w:ind w:left="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420" w:type="dxa"/>
            <w:vAlign w:val="bottom"/>
          </w:tcPr>
          <w:p>
            <w:pPr>
              <w:ind w:left="280"/>
              <w:spacing w:after="0"/>
              <w:rPr>
                <w:sz w:val="20"/>
                <w:szCs w:val="20"/>
                <w:color w:val="auto"/>
              </w:rPr>
            </w:pPr>
            <w:r>
              <w:rPr>
                <w:rFonts w:ascii="Arial" w:cs="Arial" w:eastAsia="Arial" w:hAnsi="Arial"/>
                <w:sz w:val="18"/>
                <w:szCs w:val="18"/>
                <w:color w:val="auto"/>
              </w:rPr>
              <w:t>Total fee revenue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14,144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13,764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42,010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r>
      <w:tr>
        <w:trPr>
          <w:trHeight w:val="21"/>
        </w:trPr>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charges and fees of $8.46 million were up $760,000, or 10%, from the third quarter of 2012. For the first nine months of 2013, service charges and fees of $23.8 million were up $536,000, or 2%, from the same period in 2012. The quarterly increase resulted from higher debit card and interchange fees. The year-to-date increase was also primarily due to an increase in debit card and interchange fees. Overdraft fees continue to decline as customer utilization of our courtesy overdraft services decreases.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Mortgage loans and related fees for the second quarter and first nine months of 2013 were down $246,000, or 9%, and up $991,000, or 14%, respectively, from the same periods in 2012. In the third quarter of 2013, United closed 487 loans totaling $76.6 million compared with 685 loans totaling $108 million in the third quarter of 2012. Mortgage refinancing activity slowed during the third quarter of 2013 due to rising long-term interest rates. The volume of new purchase money mortgages in the third quarter was 59% compared with 33% in the third quarter of 2012. Purchase money mortgages increased as a percentage of total production due to lower refinancing activity but also due to an increase in volume of purchase money mortgages. United had $42.3 million in new purchase money mortgage originations in the third quarter of 2013, compared with $33.1 million a year ago. Year-to-date mortgage production in 2013 amounted to 1,559 loans totaling $242 million, compared to 1,709 loans totaling $269 million for the same period in 2012.</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Brokerage fees increased $565,000, or 80%, from the third quarter of 2013 and $991,000, or 14%, compared to the first nine months of 2012, as customer balances increased, due to heightened customer demand for income products stemming from continued low interest rates. Also, referrals and overall activity in this area have increased as United intensified its focus on growing this line of business.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recognized net securities gains of $116,000 for the nine months ended September 30, 2013. No securities gains or losses were recognized in the third quarters of 2013 and 2012. Net securities gains totaled $7.05 million for the first nine months of 2012. United also recognized $6.68 million in charges from the prepayment of Federal Home Loan Bank advances and structured repurchase agreements in the first nine months of 2012.</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2013, United recognized $81,000 in net losses from hedge ineffectiveness compared with $608,000 in net gains in the third quarter of 2012. For the first nine months of 2013, United recognized $203,000 in net gains from hedge ineffectiveness compared with $543,000 in net gains for the same period of 2012. In 2012 and 2013, most of the hedge ineffectiveness gains and losses resulted from ineffectiveness on fair value hedges of brokered deposits.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fee revenue of $1.94 million for the third quarter of 2013 was down $10,000 from the third quarter of 2012. For the first nine months of 2013, other fee revenue of $7.82 million was down $438,000, or 5%, from the same period in 2012. The first nine months of 2013 included $1.45 million in death benefits on bank owned life insurance policies and a $468,000 gain from the sale of low income housing credits. The first nine months of 2012 included $1.10 million of interest on a prior period tax refund and a $728,000 gain from the sale of low income housing credits.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three and nine months ended September 30, 2013 and 2012.</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w:t>
            </w:r>
          </w:p>
        </w:tc>
      </w:tr>
      <w:tr>
        <w:trPr>
          <w:trHeight w:val="418"/>
        </w:trPr>
        <w:tc>
          <w:tcPr>
            <w:tcW w:w="2380" w:type="dxa"/>
            <w:vAlign w:val="bottom"/>
          </w:tcPr>
          <w:p>
            <w:pPr>
              <w:ind w:left="20"/>
              <w:spacing w:after="0"/>
              <w:rPr>
                <w:sz w:val="20"/>
                <w:szCs w:val="20"/>
                <w:color w:val="auto"/>
              </w:rPr>
            </w:pPr>
            <w:r>
              <w:rPr>
                <w:rFonts w:ascii="Arial" w:cs="Arial" w:eastAsia="Arial" w:hAnsi="Arial"/>
                <w:sz w:val="18"/>
                <w:szCs w:val="18"/>
                <w:color w:val="auto"/>
                <w:w w:val="93"/>
              </w:rPr>
              <w:t>Salaries and employee benefits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23,090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22,918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71,416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72,440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Communications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9,819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Occupancy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Advertising and public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relations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w w:val="97"/>
              </w:rPr>
              <w:t>Postage, printing and supplies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1,408</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FDIC assessments 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regulatory charges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11,691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12,151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2"/>
        </w:trPr>
        <w:tc>
          <w:tcPr>
            <w:tcW w:w="2380" w:type="dxa"/>
            <w:vAlign w:val="bottom"/>
          </w:tcPr>
          <w:p>
            <w:pPr>
              <w:ind w:left="240"/>
              <w:spacing w:after="0" w:line="201" w:lineRule="exact"/>
              <w:rPr>
                <w:sz w:val="20"/>
                <w:szCs w:val="20"/>
                <w:color w:val="auto"/>
              </w:rPr>
            </w:pPr>
            <w:r>
              <w:rPr>
                <w:rFonts w:ascii="Arial" w:cs="Arial" w:eastAsia="Arial" w:hAnsi="Arial"/>
                <w:sz w:val="18"/>
                <w:szCs w:val="18"/>
                <w:color w:val="auto"/>
              </w:rPr>
              <w:t>Total excluding foreclosed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property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125,012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126,666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Net losses on sales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foreclosed properties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Foreclosed property write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downs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Foreclosed property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2380" w:type="dxa"/>
            <w:vAlign w:val="bottom"/>
          </w:tcPr>
          <w:p>
            <w:pPr>
              <w:ind w:left="140"/>
              <w:spacing w:after="0"/>
              <w:rPr>
                <w:sz w:val="20"/>
                <w:szCs w:val="20"/>
                <w:color w:val="auto"/>
              </w:rPr>
            </w:pPr>
            <w:r>
              <w:rPr>
                <w:rFonts w:ascii="Arial" w:cs="Arial" w:eastAsia="Arial" w:hAnsi="Arial"/>
                <w:sz w:val="18"/>
                <w:szCs w:val="18"/>
                <w:color w:val="auto"/>
              </w:rPr>
              <w:t>maintenance expenses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3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40,097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44,783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132,690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136,048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the third quarter of 2013 totaled $40.1 million, down $4.69 million, or 10%, from the third quarter of 2012. The decrease mostly reflects lower foreclosed property losses and write downs associated with the declining volume of foreclosed properties following the classified asset sales in the second quarter of 2013. For the nine months ended September 30, 2013, operating expenses totaled $133 million, down $3.36 million, or 2%, from the same period in 2012. Excluding foreclosed property costs, total operating expenses were $39.9 million and $125 million, respectively, for the three and nine months ended September 30, 2013, down $1.17 million, or 3%, from the third quarter of 2012 and down $1.65 million, or 1%, from the first nine months of 2012.</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Salaries and employee benefits for the third quarter of 2013 were $23.1 million, up $172,000, or 1%, from the same period of 2012. The increase was due to higher brokerage incentives and higher stock based compensation expense in the third quarter of 2013. For the first nine months of 2013, salaries and employee benefits of $71.4 million were down $1.02 million, or 1%, from the first nine months of 2012. The decrease was due to reduced staffing levels. Headcount totaled 1,496 at September 30, 2013, compared to 1,592 at September 30, 2012, a decrease of 96 positions.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Communications and equipment expense of $3.31 million for the third quarter of 2013 was up $51,000, or 2%, from the third quarter of 2012. For the first nine months, communications and equipment expense was up $199,000 from a year ago. The increases reflect higher software costs resulting from new technology solutions to improve operating efficiency and customer service as well as higher telecommunications charges.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expense of $3.38 million and $10.2 million, respectively, for the third quarter and first nine months of 2013 was down $160,000, or 5%, and down $654,000, or 6%, respectively, compared to the same periods of 2012. The decrease was primarily related to lower depreciation charges partially due to the closing of underperforming branches.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fees for the third quarter of 2013 of $2.65 million were up $470,000, or 22%, from the same period in 2012. For the nine months ended September 30, 2013, professional fees of $7.52 million were up $1.41 million, or 23%. The increases for both quarterly and year-to-date periods were primarily due to consulting services related to several efficiency and revenue enhancement projects that are in process. The year-to-date increase also reflects higher legal costs associated with the second quarter 2013 classified asset sales.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continues to decrease as core deposit intangibles related to past acquisitions become fully amortized.</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expense of $3.04 million for the third quarter of 2013 decreased $992,000 from the third quarter of 2012. Year-to-date, other expense of $11.7 million decreased $460,000 from the first nine months of 2012. The decrease for the quarter was primarily due to lower appraisal and lending support costs.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gains on sales of foreclosed property totaled $648,000 for the third quarter of 2013, compared to net losses on sale of $350,000 for the third quarter of 2012. For the nine months ended September 30, 2013, net losses on sales were $2.40 million, compared to net losses on sales of $174,000 for the same period of the prior year. The year-to-date increase in losses was due to the second quarter classified asset sales. Foreclosed property write-downs for the third quarter and first nine months of 2013 were $329,000 and $2.74 million, respectively, compared to $2.39 million and $5.51 million, respectively, a year ago. Foreclosed property maintenance expenses include legal fees, property taxes, marketing costs, utility services, maintenance and repair charges and totaled $513,000 and $2.54 million, respectively, for the third quarter and first nine months of 2013 compared with $962,000 and $3.70 million, respectively, a year ago. These costs continue to decline with the decrease in the number of foreclosed properties held by United.</w:t>
      </w:r>
    </w:p>
    <w:p>
      <w:pPr>
        <w:sectPr>
          <w:pgSz w:w="11900" w:h="16838" w:orient="portrait"/>
          <w:cols w:equalWidth="0" w:num="1">
            <w:col w:w="11420"/>
          </w:cols>
          <w:pgMar w:left="240" w:top="922" w:right="239" w:bottom="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Income tax expense for the third quarter of 2013 was $9.52 million as compared with income tax benefit of $135,000 for the third quarter of 2012. The year-to-date income tax benefit of $247 million for 2013 was primarily due to the income tax benefit recognized during the quarter related to the reversal of $272 million of the deferred tax asset valuation allowance. Income tax benefit for the third quarter of 2012 mostly represents a partial reversal of its reserve for uncertain tax positions due to tax returns becoming no longer subject to audit, net of amounts payable under the Federal Alternative Minimum Tax. The effective tax rate was 38% for the third quarter of 2013, due to two unusual items. During the third quarter of 2013, the state of North Carolina adopted legislation to reduce its state corporate tax rate from 6.9% to 6% in 2014 and to 5% in 2015. This rate reduction resulted in a higher tax expense for the quarter and a $1.00 million impairment charge on our deferred tax asset. The impact of this charge was partially offset by approximately $400,000 in tax credits related to the release of previously established reserves for uncertain tax positions that relate to tax returns where the statute had expired. For the remainder of the year, United expects to record income tax expense at an effective tax rate of approximately 35.25%.</w:t>
      </w:r>
    </w:p>
    <w:p>
      <w:pPr>
        <w:spacing w:after="0" w:line="20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and their respective tax bases including operating losses and tax credit carryforwards. Net deferred tax assets (deferred tax assets net of deferred tax liabilities and valuation allowance) are reported in the consolidated balance sheet as a component of total assets.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 Each quarter, management considers both positive and negative evidence and analyzes changes in near-term market conditions as well as other factors which may impact future operating results.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2012 and September 30, 2012, United reported no net deferred tax asset due to full valuation allowances of $270 million and $272 million, respectively. United remains in a three-year cumulative loss position that resulted from significant credit losses incurred during the recent financial crisis. A three-year cumulative loss position is considered to be negative evidence that is difficult to overcome. However, during the second quarter of 2013, based on the weight of all the positive and negative evidence at such date, management concluded that it was more likely than not that $272 million of the net deferred tax assets will be realized based upon future taxable income and therefore, reversed $272 million of the valuation allowance. Thus, at September 30, 2013, United reported a net deferred tax asset of $270 million, net of a valuation allowance of $4.61 million that related to specific state income tax credits that have short carryforward periods and therefore are expected to expire before they can be utilized.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deferred tax asset valuation allowance was reversed in the second quarter of 2013 following the achievement of six consecutive quarters of positive operating results. The recent positive earnings results and improving credit measures provide an objective basis for a conclusion that profitability is sustainable and improving. In addition, the second quarter 2013 sale of classified assets improved United’s ability to project credit costs and forecast profitability going forward by removing the assets that were most likely to drive future credit losses. As a result of this discretionary distressed asset sale, United’s classified asset ratio (classified assets as a percentage of Tier 1 capital and the allowance for loan losses) improved to 26% at September 30, 2013 compared with 50% at December 31, 2012 and 55% at September 30, 2012.</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all evidence considered as of September 30, 2013, management again concluded it was more likely than not that our net deferred tax asset would be realized. With continuous improvements in credit quality, quarterly earnings for the past eight quarters have closely followed management's forecast for these periods, excluding the impact of the discretionary sales of classified assets in the second quarter 2013. The improvement in management’s ability to produce reliable forecasts, continuous and significant improvements in credit quality, and a sustained period of profitability were given appropriate weighting in our analysis, and such evidence was considered sufficient to overcome the weight of the negative evidence related to the significant operating losses in prior years.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such positive evidence at September 30, 2013, United has also reduced the amount of credit risk inherent in its loan portfolio by reducing its concentration of construction loans and improving its overall loan portfolio diversification. These changes place United in a strong position to manage through the ongoing weakness in the economy. United also has a long record of positive earnings and accurate earnings forecasts prior to the recent economic downturn and is currently in a strong capital position and conservatively expects to exit the three-year cumulative loss position in the first quarter of 2014.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7" w:name="page58"/>
    <w:bookmarkEnd w:id="57"/>
    <w:p>
      <w:pPr>
        <w:jc w:val="both"/>
        <w:spacing w:after="0" w:line="273" w:lineRule="auto"/>
        <w:rPr>
          <w:sz w:val="20"/>
          <w:szCs w:val="20"/>
          <w:color w:val="auto"/>
        </w:rPr>
      </w:pPr>
      <w:r>
        <w:rPr>
          <w:rFonts w:ascii="Arial" w:cs="Arial" w:eastAsia="Arial" w:hAnsi="Arial"/>
          <w:sz w:val="17"/>
          <w:szCs w:val="17"/>
          <w:color w:val="auto"/>
        </w:rPr>
        <w:t>Management expects to generate higher levels of future taxable income and believes this will allow for full utilization of United’s net operating loss carryforwards within five to seven years, which is well within the statutory carryforward periods. In determining whether management's projections of future taxable income are reliable, management considered objective evidence supporting the forecast assumptions as well as recent experience demonstrating management’s ability to reasonably project future results of operations. Further, while the banking environment is expected to remain challenging due to economic and other uncertainties, management believes that it can confidently forecast future taxable income at sufficient levels over the future period of time that United has available to realize its September 30, 2013 deferred tax asset.</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built-in losses. United’s ability to use its tax benefits would be substantially limited if it were to experience an ownership change as defined under Section 382 of the Internal Revenue Code.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September 30, 2013, December 31, 2012 and September 30, 2012 were $7.24 billion, $6.80 billion and $6.70 billion, respectively. Average total assets for the third quarter of 2013 were $7.17 billion, up from $6.65 billion in the third quarter of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100" w:type="dxa"/>
            <w:vAlign w:val="bottom"/>
          </w:tcPr>
          <w:p>
            <w:pPr>
              <w:ind w:left="580"/>
              <w:spacing w:after="0"/>
              <w:rPr>
                <w:sz w:val="20"/>
                <w:szCs w:val="20"/>
                <w:color w:val="auto"/>
              </w:rPr>
            </w:pPr>
            <w:r>
              <w:rPr>
                <w:rFonts w:ascii="Arial" w:cs="Arial" w:eastAsia="Arial" w:hAnsi="Arial"/>
                <w:sz w:val="18"/>
                <w:szCs w:val="18"/>
                <w:b w:val="1"/>
                <w:bCs w:val="1"/>
                <w:color w:val="auto"/>
                <w:w w:val="94"/>
              </w:rPr>
              <w:t>Table 7 - Loans Outstanding (excludes loans covered by loss share agreements)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58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4"/>
              </w:rPr>
              <w:t>September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December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7100" w:type="dxa"/>
            <w:vAlign w:val="bottom"/>
          </w:tcPr>
          <w:p>
            <w:pPr>
              <w:ind w:left="580"/>
              <w:spacing w:after="0" w:line="201" w:lineRule="exact"/>
              <w:rPr>
                <w:sz w:val="20"/>
                <w:szCs w:val="20"/>
                <w:color w:val="auto"/>
              </w:rPr>
            </w:pPr>
            <w:r>
              <w:rPr>
                <w:rFonts w:ascii="Arial" w:cs="Arial" w:eastAsia="Arial" w:hAnsi="Arial"/>
                <w:sz w:val="18"/>
                <w:szCs w:val="18"/>
                <w:b w:val="1"/>
                <w:bCs w:val="1"/>
                <w:color w:val="auto"/>
              </w:rPr>
              <w:t>By Loan Type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Commercial (secured by real estate)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1,742,771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1,813,365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1,819,155</w:t>
            </w: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457,414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458,246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459,997</w:t>
            </w:r>
          </w:p>
        </w:tc>
        <w:tc>
          <w:tcPr>
            <w:tcW w:w="0" w:type="dxa"/>
            <w:vAlign w:val="bottom"/>
          </w:tcPr>
          <w:p>
            <w:pPr>
              <w:spacing w:after="0"/>
              <w:rPr>
                <w:sz w:val="1"/>
                <w:szCs w:val="1"/>
                <w:color w:val="auto"/>
              </w:rPr>
            </w:pPr>
          </w:p>
        </w:tc>
      </w:tr>
      <w:tr>
        <w:trPr>
          <w:trHeight w:val="237"/>
        </w:trPr>
        <w:tc>
          <w:tcPr>
            <w:tcW w:w="7100" w:type="dxa"/>
            <w:vAlign w:val="bottom"/>
          </w:tcPr>
          <w:p>
            <w:pPr>
              <w:ind w:left="58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137,146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154,769</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160,765</w:t>
            </w:r>
          </w:p>
        </w:tc>
        <w:tc>
          <w:tcPr>
            <w:tcW w:w="0" w:type="dxa"/>
            <w:vAlign w:val="bottom"/>
          </w:tcPr>
          <w:p>
            <w:pPr>
              <w:spacing w:after="0"/>
              <w:rPr>
                <w:sz w:val="1"/>
                <w:szCs w:val="1"/>
                <w:color w:val="auto"/>
              </w:rPr>
            </w:pPr>
          </w:p>
        </w:tc>
      </w:tr>
      <w:tr>
        <w:trPr>
          <w:trHeight w:val="202"/>
        </w:trPr>
        <w:tc>
          <w:tcPr>
            <w:tcW w:w="7100" w:type="dxa"/>
            <w:vAlign w:val="bottom"/>
          </w:tcPr>
          <w:p>
            <w:pPr>
              <w:ind w:left="90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9"/>
              </w:rPr>
              <w:t>2,337,331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2,426,380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2,439,917</w:t>
            </w: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1,309,295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1,214,203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1,174,236</w:t>
            </w: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317,789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381,677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388,742</w:t>
            </w:r>
          </w:p>
        </w:tc>
        <w:tc>
          <w:tcPr>
            <w:tcW w:w="0" w:type="dxa"/>
            <w:vAlign w:val="bottom"/>
          </w:tcPr>
          <w:p>
            <w:pPr>
              <w:spacing w:after="0"/>
              <w:rPr>
                <w:sz w:val="1"/>
                <w:szCs w:val="1"/>
                <w:color w:val="auto"/>
              </w:rPr>
            </w:pPr>
          </w:p>
        </w:tc>
      </w:tr>
      <w:tr>
        <w:trPr>
          <w:trHeight w:val="237"/>
        </w:trPr>
        <w:tc>
          <w:tcPr>
            <w:tcW w:w="7100" w:type="dxa"/>
            <w:vAlign w:val="bottom"/>
          </w:tcPr>
          <w:p>
            <w:pPr>
              <w:ind w:left="580"/>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302,652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152,748</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134,950</w:t>
            </w:r>
          </w:p>
        </w:tc>
        <w:tc>
          <w:tcPr>
            <w:tcW w:w="0" w:type="dxa"/>
            <w:vAlign w:val="bottom"/>
          </w:tcPr>
          <w:p>
            <w:pPr>
              <w:spacing w:after="0"/>
              <w:rPr>
                <w:sz w:val="1"/>
                <w:szCs w:val="1"/>
                <w:color w:val="auto"/>
              </w:rPr>
            </w:pPr>
          </w:p>
        </w:tc>
      </w:tr>
      <w:tr>
        <w:trPr>
          <w:trHeight w:val="216"/>
        </w:trPr>
        <w:tc>
          <w:tcPr>
            <w:tcW w:w="7100" w:type="dxa"/>
            <w:vAlign w:val="bottom"/>
          </w:tcPr>
          <w:p>
            <w:pPr>
              <w:ind w:left="900"/>
              <w:spacing w:after="0"/>
              <w:rPr>
                <w:sz w:val="20"/>
                <w:szCs w:val="20"/>
                <w:color w:val="auto"/>
              </w:rPr>
            </w:pPr>
            <w:r>
              <w:rPr>
                <w:rFonts w:ascii="Arial" w:cs="Arial" w:eastAsia="Arial" w:hAnsi="Arial"/>
                <w:sz w:val="18"/>
                <w:szCs w:val="18"/>
                <w:color w:val="auto"/>
              </w:rPr>
              <w:t>Total loans</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4,267,067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4,175,008</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4,137,845</w:t>
            </w:r>
          </w:p>
        </w:tc>
        <w:tc>
          <w:tcPr>
            <w:tcW w:w="0" w:type="dxa"/>
            <w:vAlign w:val="bottom"/>
          </w:tcPr>
          <w:p>
            <w:pPr>
              <w:spacing w:after="0"/>
              <w:rPr>
                <w:sz w:val="1"/>
                <w:szCs w:val="1"/>
                <w:color w:val="auto"/>
              </w:rPr>
            </w:pPr>
          </w:p>
        </w:tc>
      </w:tr>
      <w:tr>
        <w:trPr>
          <w:trHeight w:val="21"/>
        </w:trPr>
        <w:tc>
          <w:tcPr>
            <w:tcW w:w="7100" w:type="dxa"/>
            <w:vAlign w:val="bottom"/>
            <w:vMerge w:val="restart"/>
          </w:tcPr>
          <w:p>
            <w:pPr>
              <w:ind w:left="580"/>
              <w:spacing w:after="0"/>
              <w:rPr>
                <w:sz w:val="20"/>
                <w:szCs w:val="20"/>
                <w:color w:val="auto"/>
              </w:rPr>
            </w:pPr>
            <w:r>
              <w:rPr>
                <w:rFonts w:ascii="Arial" w:cs="Arial" w:eastAsia="Arial" w:hAnsi="Arial"/>
                <w:sz w:val="18"/>
                <w:szCs w:val="18"/>
                <w:color w:val="auto"/>
              </w:rPr>
              <w:t>As a percentage of total loans: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74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100" w:type="dxa"/>
            <w:vAlign w:val="bottom"/>
          </w:tcPr>
          <w:p>
            <w:pPr>
              <w:ind w:left="740"/>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7100" w:type="dxa"/>
            <w:vAlign w:val="bottom"/>
          </w:tcPr>
          <w:p>
            <w:pPr>
              <w:ind w:left="74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7100" w:type="dxa"/>
            <w:vAlign w:val="bottom"/>
          </w:tcPr>
          <w:p>
            <w:pPr>
              <w:ind w:left="90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100" w:type="dxa"/>
            <w:vAlign w:val="bottom"/>
          </w:tcPr>
          <w:p>
            <w:pPr>
              <w:ind w:left="74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100" w:type="dxa"/>
            <w:vAlign w:val="bottom"/>
          </w:tcPr>
          <w:p>
            <w:pPr>
              <w:ind w:left="74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100" w:type="dxa"/>
            <w:vAlign w:val="bottom"/>
          </w:tcPr>
          <w:p>
            <w:pPr>
              <w:ind w:left="740"/>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100" w:type="dxa"/>
            <w:vAlign w:val="bottom"/>
          </w:tcPr>
          <w:p>
            <w:pPr>
              <w:ind w:left="9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710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By Geographic Location</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North Georgia</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1,261,751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1,363,723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1,383,439</w:t>
            </w: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Atlanta MSA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1,246,433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1,249,470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1,238,020</w:t>
            </w: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574,667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579,085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578,643</w:t>
            </w: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421,488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400,022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379,747</w:t>
            </w: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Gainesville MSA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253,004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261,406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255,897</w:t>
            </w: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East Tennessee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277,059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282,863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282,571</w:t>
            </w:r>
          </w:p>
        </w:tc>
        <w:tc>
          <w:tcPr>
            <w:tcW w:w="0" w:type="dxa"/>
            <w:vAlign w:val="bottom"/>
          </w:tcPr>
          <w:p>
            <w:pPr>
              <w:spacing w:after="0"/>
              <w:rPr>
                <w:sz w:val="1"/>
                <w:szCs w:val="1"/>
                <w:color w:val="auto"/>
              </w:rPr>
            </w:pPr>
          </w:p>
        </w:tc>
      </w:tr>
      <w:tr>
        <w:trPr>
          <w:trHeight w:val="216"/>
        </w:trPr>
        <w:tc>
          <w:tcPr>
            <w:tcW w:w="7100" w:type="dxa"/>
            <w:vAlign w:val="bottom"/>
          </w:tcPr>
          <w:p>
            <w:pPr>
              <w:ind w:left="580"/>
              <w:spacing w:after="0"/>
              <w:rPr>
                <w:sz w:val="20"/>
                <w:szCs w:val="20"/>
                <w:color w:val="auto"/>
              </w:rPr>
            </w:pPr>
            <w:r>
              <w:rPr>
                <w:rFonts w:ascii="Arial" w:cs="Arial" w:eastAsia="Arial" w:hAnsi="Arial"/>
                <w:sz w:val="18"/>
                <w:szCs w:val="18"/>
                <w:color w:val="auto"/>
              </w:rPr>
              <w:t>South Carolina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46,548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100" w:type="dxa"/>
            <w:vAlign w:val="bottom"/>
          </w:tcPr>
          <w:p>
            <w:pPr>
              <w:ind w:left="580"/>
              <w:spacing w:after="0"/>
              <w:rPr>
                <w:sz w:val="20"/>
                <w:szCs w:val="20"/>
                <w:color w:val="auto"/>
              </w:rPr>
            </w:pPr>
            <w:r>
              <w:rPr>
                <w:rFonts w:ascii="Arial" w:cs="Arial" w:eastAsia="Arial" w:hAnsi="Arial"/>
                <w:sz w:val="18"/>
                <w:szCs w:val="18"/>
                <w:color w:val="auto"/>
              </w:rPr>
              <w:t>Other (indirect auto)</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186,117</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38,439</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19,528</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4,267,067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4,175,008</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4,137,845</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Tennessee and South Carolina, including customers who have a seasonal residence in United’s market areas. More than 80% of the loans are secured by real estate. At September 30, 2013, total loans, excluding loans that are covered by loss sharing agreements with the FDIC, were $4.27 billion, an increase of $129 million, or 3%, from September 30, 2012. Despite the weak economy and lack of loan demand, United has continued to pursue lending opportunities. The increase from a year ago in residential mortgage reflects a successful home equity line promotion that has gained traction in United’s footprint and a new low closing cost mortgage product that began being offered early in the first quarter of 2013. The increase in consumer installment loans reflects purchases of indirect auto loans.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in United’s Annual Report on Form 10-K for the year ended December 31, 2012.</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are well-defined weaknesses that jeopardize the repayment by the borrower and there is a distinct possibility that United could sustain some loss if the deficiency is not corrected.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home equity lines, which are a component of the residential mortgage portfolio, generally require the payment of interest only for a set period after origination. After this initial period, the outstanding balance begins amortizing and requires the payment of both principal and interest. At September 30, 2013, December 31, 2012 and September 30, 2012, the funded portion of home equity lines totaled $421 million, $385 million, and $341 million, respectively.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3% of the home equity loans at September 30, 2013 were amortizing. Of the $421 million in balances outstanding at September 30, 2013, $261 million, or 62%, were first liens. At September 30, 2013, 60% of the total available home equity lines were drawn upon.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quarters.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80" w:type="dxa"/>
            <w:vAlign w:val="bottom"/>
          </w:tcPr>
          <w:p>
            <w:pPr>
              <w:spacing w:after="0"/>
              <w:rPr>
                <w:sz w:val="20"/>
                <w:szCs w:val="20"/>
                <w:color w:val="auto"/>
              </w:rPr>
            </w:pPr>
            <w:r>
              <w:rPr>
                <w:rFonts w:ascii="Arial" w:cs="Arial" w:eastAsia="Arial" w:hAnsi="Arial"/>
                <w:sz w:val="18"/>
                <w:szCs w:val="18"/>
                <w:b w:val="1"/>
                <w:bCs w:val="1"/>
                <w:color w:val="auto"/>
              </w:rPr>
              <w:t>Table 8 - Performing Substandard Loans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7"/>
              </w:rPr>
              <w:t>December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198"/>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rPr>
              <w:t>By Category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75,542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78,750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128,120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117,543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126,332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18,477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18,740</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16,911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15,766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18,462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19,285</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27,180</w:t>
            </w:r>
          </w:p>
        </w:tc>
        <w:tc>
          <w:tcPr>
            <w:tcW w:w="0" w:type="dxa"/>
            <w:vAlign w:val="bottom"/>
          </w:tcPr>
          <w:p>
            <w:pPr>
              <w:spacing w:after="0"/>
              <w:rPr>
                <w:sz w:val="1"/>
                <w:szCs w:val="1"/>
                <w:color w:val="auto"/>
              </w:rPr>
            </w:pPr>
          </w:p>
        </w:tc>
      </w:tr>
      <w:tr>
        <w:trPr>
          <w:trHeight w:val="202"/>
        </w:trPr>
        <w:tc>
          <w:tcPr>
            <w:tcW w:w="5280" w:type="dxa"/>
            <w:vAlign w:val="bottom"/>
          </w:tcPr>
          <w:p>
            <w:pPr>
              <w:ind w:left="34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102,795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105,974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166,902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155,305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172,252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51,222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65,179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72,198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37,882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37,804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35,170</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173,666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176,332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271,681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261,941</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282,506</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North Georgia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74,456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68,272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107,798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105,851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116,871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Atlanta MSA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44,650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74,064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77,630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79,242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20,768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34,998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17,421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12,998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Gainesville MSA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19,734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28,514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19,251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21,219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East Tennessee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7,921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South Carolina</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173,666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176,332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271,681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261,941</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282,506</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2013, performing substandard loans totaled $174 million and decreased $2.67 million from the prior quarter-end, and decreased $109 million from a year ago. The decrease from the second quarter of 2013 reflects a general declining trend and the decrease from a year ago also reflects the second quarter 2013 classified asset sales. Performing substandard loans had been on a downward trend as credit conditions have continued to improve and problem credits are resolved.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Reviews of substandard performing and nonperforming loans, troubled debt restructures, past due loans and larger credits, are conducted on a quarterly basis with management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along with other factors specific to the borrower and its industry. In addition to United’s internal loan review, United also uses external loan review to ensure the independence of the loan review process.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045"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The following table presents a summary of the changes in the allowance for loan losses for the three and nine months ended September 30, 2013 and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60" w:type="dxa"/>
            <w:vAlign w:val="bottom"/>
          </w:tcPr>
          <w:p>
            <w:pPr>
              <w:spacing w:after="0"/>
              <w:rPr>
                <w:sz w:val="20"/>
                <w:szCs w:val="20"/>
                <w:color w:val="auto"/>
              </w:rPr>
            </w:pPr>
            <w:r>
              <w:rPr>
                <w:rFonts w:ascii="Arial" w:cs="Arial" w:eastAsia="Arial" w:hAnsi="Arial"/>
                <w:sz w:val="18"/>
                <w:szCs w:val="18"/>
                <w:b w:val="1"/>
                <w:bCs w:val="1"/>
                <w:color w:val="auto"/>
              </w:rPr>
              <w:t>Table 9 - Allowance for Loan Losses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rPr>
              <w:t>Balance beginning of period</w:t>
            </w:r>
          </w:p>
        </w:tc>
        <w:tc>
          <w:tcPr>
            <w:tcW w:w="74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81,845</w:t>
            </w:r>
          </w:p>
        </w:tc>
        <w:tc>
          <w:tcPr>
            <w:tcW w:w="1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112,705</w:t>
            </w:r>
          </w:p>
        </w:tc>
        <w:tc>
          <w:tcPr>
            <w:tcW w:w="10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107,137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Charge-offs: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21,706</w:t>
            </w:r>
          </w:p>
        </w:tc>
        <w:tc>
          <w:tcPr>
            <w:tcW w:w="0" w:type="dxa"/>
            <w:vAlign w:val="bottom"/>
          </w:tcPr>
          <w:p>
            <w:pPr>
              <w:spacing w:after="0"/>
              <w:rPr>
                <w:sz w:val="1"/>
                <w:szCs w:val="1"/>
                <w:color w:val="auto"/>
              </w:rPr>
            </w:pPr>
          </w:p>
        </w:tc>
      </w:tr>
      <w:tr>
        <w:trPr>
          <w:trHeight w:val="237"/>
        </w:trPr>
        <w:tc>
          <w:tcPr>
            <w:tcW w:w="566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 loans charged-off</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22,234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93,866</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59,093</w:t>
            </w: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rPr>
              <w:t>Recoveries: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7"/>
        </w:trPr>
        <w:tc>
          <w:tcPr>
            <w:tcW w:w="566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 recoveries</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Net charge-offs</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20,563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89,265</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55,326</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Balance end of period</w:t>
            </w:r>
          </w:p>
        </w:tc>
        <w:tc>
          <w:tcPr>
            <w:tcW w:w="7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80,372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107,642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80,372</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107,642</w:t>
            </w:r>
          </w:p>
        </w:tc>
        <w:tc>
          <w:tcPr>
            <w:tcW w:w="0" w:type="dxa"/>
            <w:vAlign w:val="bottom"/>
          </w:tcPr>
          <w:p>
            <w:pPr>
              <w:spacing w:after="0"/>
              <w:rPr>
                <w:sz w:val="1"/>
                <w:szCs w:val="1"/>
                <w:color w:val="auto"/>
              </w:rPr>
            </w:pPr>
          </w:p>
        </w:tc>
      </w:tr>
      <w:tr>
        <w:trPr>
          <w:trHeight w:val="21"/>
        </w:trPr>
        <w:tc>
          <w:tcPr>
            <w:tcW w:w="5660" w:type="dxa"/>
            <w:vAlign w:val="bottom"/>
            <w:vMerge w:val="restart"/>
          </w:tcPr>
          <w:p>
            <w:pPr>
              <w:spacing w:after="0"/>
              <w:rPr>
                <w:sz w:val="20"/>
                <w:szCs w:val="20"/>
                <w:color w:val="auto"/>
              </w:rPr>
            </w:pPr>
            <w:r>
              <w:rPr>
                <w:rFonts w:ascii="Arial" w:cs="Arial" w:eastAsia="Arial" w:hAnsi="Arial"/>
                <w:sz w:val="18"/>
                <w:szCs w:val="18"/>
                <w:color w:val="auto"/>
              </w:rPr>
              <w:t>Total loans: *</w:t>
            </w: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6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At period-end</w:t>
            </w:r>
          </w:p>
        </w:tc>
        <w:tc>
          <w:tcPr>
            <w:tcW w:w="9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9"/>
              </w:rPr>
              <w:t>4,267,067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4,137,845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4,267,067</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4,137,845</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Average</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9"/>
              </w:rPr>
              <w:t>4,225,014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4,107,608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4,206,279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4,112,727</w:t>
            </w: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418"/>
        </w:trPr>
        <w:tc>
          <w:tcPr>
            <w:tcW w:w="5660" w:type="dxa"/>
            <w:vAlign w:val="bottom"/>
          </w:tcPr>
          <w:p>
            <w:pPr>
              <w:spacing w:after="0"/>
              <w:rPr>
                <w:sz w:val="20"/>
                <w:szCs w:val="20"/>
                <w:color w:val="auto"/>
              </w:rPr>
            </w:pPr>
            <w:r>
              <w:rPr>
                <w:rFonts w:ascii="Arial" w:cs="Arial" w:eastAsia="Arial" w:hAnsi="Arial"/>
                <w:sz w:val="18"/>
                <w:szCs w:val="18"/>
                <w:color w:val="auto"/>
              </w:rPr>
              <w:t>As a percentage of average loans (annualized):</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Net charge-offs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Provision for loan losses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 Excludes loans covered by loss sharing agreements with the FDIC</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level of the allowance for loan losses compared to the previous periods reflects stabilizing trends in substandard loans, along with the de-risking of the balance sheet through the accelerated classified asset sale, leading to an expectation that charge-off levels will continue to decline. Further, the declining balance of the allowance for loan losses over the last several quarters reflects an overall improving trend in credit quality of the loan portfolio. A general improvement in economic conditions in United’s market also contributed to the lower level of provision and allowance for loan losses.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2013, the allowance for loan losses was $80.4 million, or 1.88% of loans, compared with $107 million, or 2.57% of loans, at December 31, 2012 and $108 million, or 2.60% of loans, at September 30, 2012.</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believes that the allowance for loan losses at September 30, 2013 reflects the losses inherent in the loan portfolio. This assessment involves uncertainty and judgment; therefore, the adequacy of the allowance for loan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of this report on page 40 for additional information on the allowance for loan losses.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153"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summarizes nonperforming assets, excluding assets covered by the loss-sharing agreements with the FDIC. Those assets have been excluded from nonperforming assets, as the loss-sharing agreements with the FDIC and purchase price adjustments to reflect credit losses effectively eliminate the likelihood of recognizing any losses on the covered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20" w:type="dxa"/>
            <w:vAlign w:val="bottom"/>
          </w:tcPr>
          <w:p>
            <w:pPr>
              <w:spacing w:after="0"/>
              <w:rPr>
                <w:sz w:val="20"/>
                <w:szCs w:val="20"/>
                <w:color w:val="auto"/>
              </w:rPr>
            </w:pPr>
            <w:r>
              <w:rPr>
                <w:rFonts w:ascii="Arial" w:cs="Arial" w:eastAsia="Arial" w:hAnsi="Arial"/>
                <w:sz w:val="18"/>
                <w:szCs w:val="18"/>
                <w:b w:val="1"/>
                <w:bCs w:val="1"/>
                <w:color w:val="auto"/>
              </w:rPr>
              <w:t>Table 10 - Nonperforming Assets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5"/>
              </w:rPr>
              <w:t>September</w:t>
            </w:r>
          </w:p>
        </w:tc>
        <w:tc>
          <w:tcPr>
            <w:tcW w:w="0" w:type="dxa"/>
            <w:vAlign w:val="bottom"/>
          </w:tcPr>
          <w:p>
            <w:pPr>
              <w:spacing w:after="0"/>
              <w:rPr>
                <w:sz w:val="1"/>
                <w:szCs w:val="1"/>
                <w:color w:val="auto"/>
              </w:rPr>
            </w:pPr>
          </w:p>
        </w:tc>
      </w:tr>
      <w:tr>
        <w:trPr>
          <w:trHeight w:val="198"/>
        </w:trPr>
        <w:tc>
          <w:tcPr>
            <w:tcW w:w="6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41"/>
        </w:trPr>
        <w:tc>
          <w:tcPr>
            <w:tcW w:w="6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rPr>
              <w:t>Nonperforming loans*</w:t>
            </w:r>
          </w:p>
        </w:tc>
        <w:tc>
          <w:tcPr>
            <w:tcW w:w="15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26,088</w:t>
            </w:r>
          </w:p>
        </w:tc>
        <w:tc>
          <w:tcPr>
            <w:tcW w:w="10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109,894</w:t>
            </w:r>
          </w:p>
        </w:tc>
        <w:tc>
          <w:tcPr>
            <w:tcW w:w="10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115,001</w:t>
            </w: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4,467</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26,958</w:t>
            </w:r>
          </w:p>
        </w:tc>
        <w:tc>
          <w:tcPr>
            <w:tcW w:w="0" w:type="dxa"/>
            <w:vAlign w:val="bottom"/>
          </w:tcPr>
          <w:p>
            <w:pPr>
              <w:spacing w:after="0"/>
              <w:rPr>
                <w:sz w:val="1"/>
                <w:szCs w:val="1"/>
                <w:color w:val="auto"/>
              </w:rPr>
            </w:pPr>
          </w:p>
        </w:tc>
      </w:tr>
      <w:tr>
        <w:trPr>
          <w:trHeight w:val="432"/>
        </w:trPr>
        <w:tc>
          <w:tcPr>
            <w:tcW w:w="6120" w:type="dxa"/>
            <w:vAlign w:val="bottom"/>
          </w:tcPr>
          <w:p>
            <w:pPr>
              <w:ind w:left="180"/>
              <w:spacing w:after="0"/>
              <w:rPr>
                <w:sz w:val="20"/>
                <w:szCs w:val="20"/>
                <w:color w:val="auto"/>
              </w:rPr>
            </w:pPr>
            <w:r>
              <w:rPr>
                <w:rFonts w:ascii="Arial" w:cs="Arial" w:eastAsia="Arial" w:hAnsi="Arial"/>
                <w:sz w:val="18"/>
                <w:szCs w:val="18"/>
                <w:color w:val="auto"/>
              </w:rPr>
              <w:t>Total nonperforming assets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30,555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128,158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141,959</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12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There were no loans 90 days or more past due that were still accruing at period end.</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2013, nonperforming loans were $26.1 million compared to $110 million at December 31, 2012 and $115 million at September 30, 2012. Nonperforming loans have steadily decreased in dollar amount and as a percentage of total loans following the classification of United’s largest lending relationship in the third quarter of 2011. In addition, the second quarter of 2013 sales of classified assets further reduced nonperforming assets. Nonperforming assets, which include nonperforming loans and foreclosed real estate, totaled $30.6 million at September 30, 2013 compared with $128 million at December 31, 2012 and $142 million at September 30, 2012. United sold $2.53 million of foreclosed properties during the third quarter of 2013; however, these sales of foreclosed properties were offset by $2.74 million in new foreclosures for the quarter.</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7, 8, 9 and 10, assets covered by the loss-sharing agreements with the FDIC related to the acquisition of SCB are excluded from this table.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11 - Nonperforming Assets by Quarter </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w w:val="89"/>
              </w:rPr>
              <w:t>September 30, 2013</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w w:val="90"/>
              </w:rPr>
              <w:t>December 31, 2012</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w w:val="89"/>
              </w:rPr>
              <w:t>September 30, 2012</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0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Nonaccrual</w:t>
            </w:r>
          </w:p>
        </w:tc>
        <w:tc>
          <w:tcPr>
            <w:tcW w:w="1180" w:type="dxa"/>
            <w:vAlign w:val="bottom"/>
            <w:tcBorders>
              <w:right w:val="single" w:sz="8" w:color="auto"/>
            </w:tcBorders>
            <w:gridSpan w:val="4"/>
          </w:tcPr>
          <w:p>
            <w:pPr>
              <w:ind w:left="80"/>
              <w:spacing w:after="0" w:line="198" w:lineRule="exact"/>
              <w:rPr>
                <w:sz w:val="20"/>
                <w:szCs w:val="20"/>
                <w:color w:val="auto"/>
              </w:rPr>
            </w:pPr>
            <w:r>
              <w:rPr>
                <w:rFonts w:ascii="Arial" w:cs="Arial" w:eastAsia="Arial" w:hAnsi="Arial"/>
                <w:sz w:val="18"/>
                <w:szCs w:val="18"/>
                <w:b w:val="1"/>
                <w:bCs w:val="1"/>
                <w:color w:val="auto"/>
              </w:rPr>
              <w:t>Foreclosed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7"/>
                <w:szCs w:val="17"/>
                <w:color w:val="auto"/>
              </w:rPr>
            </w:pPr>
          </w:p>
        </w:tc>
        <w:tc>
          <w:tcPr>
            <w:tcW w:w="10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Nonaccrual</w:t>
            </w:r>
          </w:p>
        </w:tc>
        <w:tc>
          <w:tcPr>
            <w:tcW w:w="80" w:type="dxa"/>
            <w:vAlign w:val="bottom"/>
          </w:tcPr>
          <w:p>
            <w:pPr>
              <w:spacing w:after="0"/>
              <w:rPr>
                <w:sz w:val="17"/>
                <w:szCs w:val="17"/>
                <w:color w:val="auto"/>
              </w:rPr>
            </w:pPr>
          </w:p>
        </w:tc>
        <w:tc>
          <w:tcPr>
            <w:tcW w:w="1100" w:type="dxa"/>
            <w:vAlign w:val="bottom"/>
            <w:tcBorders>
              <w:right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Foreclosed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c>
          <w:tcPr>
            <w:tcW w:w="10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Nonaccrual</w:t>
            </w:r>
          </w:p>
        </w:tc>
        <w:tc>
          <w:tcPr>
            <w:tcW w:w="1200" w:type="dxa"/>
            <w:vAlign w:val="bottom"/>
            <w:tcBorders>
              <w:right w:val="single" w:sz="8" w:color="auto"/>
            </w:tcBorders>
            <w:gridSpan w:val="4"/>
          </w:tcPr>
          <w:p>
            <w:pPr>
              <w:ind w:left="100"/>
              <w:spacing w:after="0" w:line="198" w:lineRule="exact"/>
              <w:rPr>
                <w:sz w:val="20"/>
                <w:szCs w:val="20"/>
                <w:color w:val="auto"/>
              </w:rPr>
            </w:pPr>
            <w:r>
              <w:rPr>
                <w:rFonts w:ascii="Arial" w:cs="Arial" w:eastAsia="Arial" w:hAnsi="Arial"/>
                <w:sz w:val="18"/>
                <w:szCs w:val="18"/>
                <w:b w:val="1"/>
                <w:bCs w:val="1"/>
                <w:color w:val="auto"/>
              </w:rPr>
              <w:t>Foreclosed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right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Loans</w:t>
            </w:r>
          </w:p>
        </w:tc>
        <w:tc>
          <w:tcPr>
            <w:tcW w:w="80" w:type="dxa"/>
            <w:vAlign w:val="bottom"/>
          </w:tcPr>
          <w:p>
            <w:pPr>
              <w:spacing w:after="0"/>
              <w:rPr>
                <w:sz w:val="20"/>
                <w:szCs w:val="20"/>
                <w:color w:val="auto"/>
              </w:rPr>
            </w:pPr>
          </w:p>
        </w:tc>
        <w:tc>
          <w:tcPr>
            <w:tcW w:w="11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NPAs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Loans</w:t>
            </w:r>
          </w:p>
        </w:tc>
        <w:tc>
          <w:tcPr>
            <w:tcW w:w="80" w:type="dxa"/>
            <w:vAlign w:val="bottom"/>
          </w:tcPr>
          <w:p>
            <w:pPr>
              <w:spacing w:after="0"/>
              <w:rPr>
                <w:sz w:val="20"/>
                <w:szCs w:val="20"/>
                <w:color w:val="auto"/>
              </w:rPr>
            </w:pPr>
          </w:p>
        </w:tc>
        <w:tc>
          <w:tcPr>
            <w:tcW w:w="11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7"/>
              </w:rPr>
              <w:t>NPAs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Loans</w:t>
            </w:r>
          </w:p>
        </w:tc>
        <w:tc>
          <w:tcPr>
            <w:tcW w:w="100" w:type="dxa"/>
            <w:vAlign w:val="bottom"/>
          </w:tcPr>
          <w:p>
            <w:pPr>
              <w:spacing w:after="0"/>
              <w:rPr>
                <w:sz w:val="20"/>
                <w:szCs w:val="20"/>
                <w:color w:val="auto"/>
              </w:rPr>
            </w:pPr>
          </w:p>
        </w:tc>
        <w:tc>
          <w:tcPr>
            <w:tcW w:w="11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Properties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NPAs</w:t>
            </w:r>
          </w:p>
        </w:tc>
        <w:tc>
          <w:tcPr>
            <w:tcW w:w="0" w:type="dxa"/>
            <w:vAlign w:val="bottom"/>
          </w:tcPr>
          <w:p>
            <w:pPr>
              <w:spacing w:after="0"/>
              <w:rPr>
                <w:sz w:val="1"/>
                <w:szCs w:val="1"/>
                <w:color w:val="auto"/>
              </w:rPr>
            </w:pPr>
          </w:p>
        </w:tc>
      </w:tr>
      <w:tr>
        <w:trPr>
          <w:trHeight w:val="202"/>
        </w:trPr>
        <w:tc>
          <w:tcPr>
            <w:tcW w:w="1740" w:type="dxa"/>
            <w:vAlign w:val="bottom"/>
          </w:tcPr>
          <w:p>
            <w:pPr>
              <w:spacing w:after="0" w:line="201" w:lineRule="exact"/>
              <w:rPr>
                <w:sz w:val="20"/>
                <w:szCs w:val="20"/>
                <w:color w:val="auto"/>
              </w:rPr>
            </w:pPr>
            <w:r>
              <w:rPr>
                <w:rFonts w:ascii="Arial" w:cs="Arial" w:eastAsia="Arial" w:hAnsi="Arial"/>
                <w:sz w:val="18"/>
                <w:szCs w:val="18"/>
                <w:b w:val="1"/>
                <w:bCs w:val="1"/>
                <w:color w:val="auto"/>
              </w:rPr>
              <w:t>BY CATEGORY</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Commercial (sec. by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RE)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8,015</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730</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8,745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22,148</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5,479</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27,627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25,896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8,767</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34,663</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Commercial &amp;</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31,817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32,678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32,678</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376</w:t>
            </w:r>
          </w:p>
        </w:tc>
        <w:tc>
          <w:tcPr>
            <w:tcW w:w="120" w:type="dxa"/>
            <w:vAlign w:val="bottom"/>
            <w:tcBorders>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23,843</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2,204</w:t>
            </w:r>
          </w:p>
        </w:tc>
        <w:tc>
          <w:tcPr>
            <w:tcW w:w="12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26,047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18,590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3,121</w:t>
            </w:r>
          </w:p>
        </w:tc>
        <w:tc>
          <w:tcPr>
            <w:tcW w:w="12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02"/>
        </w:trPr>
        <w:tc>
          <w:tcPr>
            <w:tcW w:w="1740" w:type="dxa"/>
            <w:vAlign w:val="bottom"/>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140" w:type="dxa"/>
            <w:vAlign w:val="bottom"/>
          </w:tcPr>
          <w:p>
            <w:pPr>
              <w:spacing w:after="0"/>
              <w:rPr>
                <w:sz w:val="17"/>
                <w:szCs w:val="17"/>
                <w:color w:val="auto"/>
              </w:rPr>
            </w:pPr>
          </w:p>
        </w:tc>
        <w:tc>
          <w:tcPr>
            <w:tcW w:w="9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8,967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1,106</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10,073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77,808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7,683</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85,491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77,164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11,888</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89,052</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12,504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2,154</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14,658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12,589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4,753</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17,342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6,031</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20,027</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1,207</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5,304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18,702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5,828</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24,530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9,039</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31,974</w:t>
            </w: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r>
              <w:rPr>
                <w:rFonts w:ascii="Arial" w:cs="Arial" w:eastAsia="Arial" w:hAnsi="Arial"/>
                <w:sz w:val="18"/>
                <w:szCs w:val="18"/>
                <w:color w:val="auto"/>
                <w:w w:val="98"/>
              </w:rPr>
              <w:t>Consumer installment</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1740" w:type="dxa"/>
            <w:vAlign w:val="bottom"/>
          </w:tcPr>
          <w:p>
            <w:pPr>
              <w:ind w:left="220"/>
              <w:spacing w:after="0"/>
              <w:rPr>
                <w:sz w:val="20"/>
                <w:szCs w:val="20"/>
                <w:color w:val="auto"/>
              </w:rPr>
            </w:pPr>
            <w:r>
              <w:rPr>
                <w:rFonts w:ascii="Arial" w:cs="Arial" w:eastAsia="Arial" w:hAnsi="Arial"/>
                <w:sz w:val="18"/>
                <w:szCs w:val="18"/>
                <w:b w:val="1"/>
                <w:bCs w:val="1"/>
                <w:color w:val="auto"/>
              </w:rPr>
              <w:t>Total NPAs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26,088</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4,467</w:t>
            </w:r>
          </w:p>
        </w:tc>
        <w:tc>
          <w:tcPr>
            <w:tcW w:w="120" w:type="dxa"/>
            <w:vAlign w:val="bottom"/>
            <w:tcBorders>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30,555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109,894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18,264</w:t>
            </w:r>
          </w:p>
        </w:tc>
        <w:tc>
          <w:tcPr>
            <w:tcW w:w="120" w:type="dxa"/>
            <w:vAlign w:val="bottom"/>
            <w:tcBorders>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w w:val="92"/>
              </w:rPr>
              <w:t>128,158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115,001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26,958</w:t>
            </w:r>
          </w:p>
        </w:tc>
        <w:tc>
          <w:tcPr>
            <w:tcW w:w="120" w:type="dxa"/>
            <w:vAlign w:val="bottom"/>
            <w:tcBorders>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w w:val="95"/>
              </w:rPr>
              <w:t>141,959</w:t>
            </w:r>
          </w:p>
        </w:tc>
        <w:tc>
          <w:tcPr>
            <w:tcW w:w="0" w:type="dxa"/>
            <w:vAlign w:val="bottom"/>
          </w:tcPr>
          <w:p>
            <w:pPr>
              <w:spacing w:after="0"/>
              <w:rPr>
                <w:sz w:val="1"/>
                <w:szCs w:val="1"/>
                <w:color w:val="auto"/>
              </w:rPr>
            </w:pPr>
          </w:p>
        </w:tc>
      </w:tr>
      <w:tr>
        <w:trPr>
          <w:trHeight w:val="21"/>
        </w:trPr>
        <w:tc>
          <w:tcPr>
            <w:tcW w:w="1740" w:type="dxa"/>
            <w:vAlign w:val="bottom"/>
            <w:vMerge w:val="restart"/>
          </w:tcPr>
          <w:p>
            <w:pPr>
              <w:ind w:left="240"/>
              <w:spacing w:after="0"/>
              <w:rPr>
                <w:sz w:val="20"/>
                <w:szCs w:val="20"/>
                <w:color w:val="auto"/>
              </w:rPr>
            </w:pPr>
            <w:r>
              <w:rPr>
                <w:rFonts w:ascii="Arial" w:cs="Arial" w:eastAsia="Arial" w:hAnsi="Arial"/>
                <w:sz w:val="18"/>
                <w:szCs w:val="18"/>
                <w:b w:val="1"/>
                <w:bCs w:val="1"/>
                <w:color w:val="auto"/>
                <w:w w:val="97"/>
              </w:rPr>
              <w:t>Balance as a % of</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460"/>
              <w:spacing w:after="0"/>
              <w:rPr>
                <w:sz w:val="20"/>
                <w:szCs w:val="20"/>
                <w:color w:val="auto"/>
              </w:rPr>
            </w:pPr>
            <w:r>
              <w:rPr>
                <w:rFonts w:ascii="Arial" w:cs="Arial" w:eastAsia="Arial" w:hAnsi="Arial"/>
                <w:sz w:val="18"/>
                <w:szCs w:val="18"/>
                <w:b w:val="1"/>
                <w:bCs w:val="1"/>
                <w:color w:val="auto"/>
              </w:rPr>
              <w:t>Unpaid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50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439"/>
        </w:trPr>
        <w:tc>
          <w:tcPr>
            <w:tcW w:w="174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line="201" w:lineRule="exact"/>
              <w:rPr>
                <w:sz w:val="20"/>
                <w:szCs w:val="20"/>
                <w:color w:val="auto"/>
              </w:rPr>
            </w:pPr>
            <w:r>
              <w:rPr>
                <w:rFonts w:ascii="Arial" w:cs="Arial" w:eastAsia="Arial" w:hAnsi="Arial"/>
                <w:sz w:val="18"/>
                <w:szCs w:val="18"/>
                <w:color w:val="auto"/>
              </w:rPr>
              <w:t>North Georgia</w:t>
            </w:r>
          </w:p>
        </w:tc>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13,652</w:t>
            </w:r>
          </w:p>
        </w:tc>
        <w:tc>
          <w:tcPr>
            <w:tcW w:w="3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1,726</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15,378</w:t>
            </w:r>
          </w:p>
        </w:tc>
        <w:tc>
          <w:tcPr>
            <w:tcW w:w="2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69,950</w:t>
            </w:r>
          </w:p>
        </w:tc>
        <w:tc>
          <w:tcPr>
            <w:tcW w:w="2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8,219</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78,169</w:t>
            </w:r>
          </w:p>
        </w:tc>
        <w:tc>
          <w:tcPr>
            <w:tcW w:w="2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72,211</w:t>
            </w:r>
          </w:p>
        </w:tc>
        <w:tc>
          <w:tcPr>
            <w:tcW w:w="3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14,582</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86,793</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Atlanta MSA</w:t>
            </w: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3,096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1,026</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18,556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3,442</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21,998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5,926</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27,275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North Carolina</w:t>
            </w: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762</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6,442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2,579</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13,593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2,771</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12,393</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Coastal Georgia</w:t>
            </w: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928</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1,923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1,609</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864</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Gainesville MSA</w:t>
            </w: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556</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1,328</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East Tennessee</w:t>
            </w: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1,859</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7,520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1,487</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r>
              <w:rPr>
                <w:rFonts w:ascii="Arial" w:cs="Arial" w:eastAsia="Arial" w:hAnsi="Arial"/>
                <w:sz w:val="18"/>
                <w:szCs w:val="18"/>
                <w:color w:val="auto"/>
              </w:rPr>
              <w:t>South Carolina</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ind w:left="220"/>
              <w:spacing w:after="0"/>
              <w:rPr>
                <w:sz w:val="20"/>
                <w:szCs w:val="20"/>
                <w:color w:val="auto"/>
              </w:rPr>
            </w:pPr>
            <w:r>
              <w:rPr>
                <w:rFonts w:ascii="Arial" w:cs="Arial" w:eastAsia="Arial" w:hAnsi="Arial"/>
                <w:sz w:val="18"/>
                <w:szCs w:val="18"/>
                <w:b w:val="1"/>
                <w:bCs w:val="1"/>
                <w:color w:val="auto"/>
              </w:rPr>
              <w:t>Total NPAs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26,088</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4,467</w:t>
            </w:r>
          </w:p>
        </w:tc>
        <w:tc>
          <w:tcPr>
            <w:tcW w:w="120" w:type="dxa"/>
            <w:vAlign w:val="bottom"/>
            <w:tcBorders>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30,555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109,894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18,264</w:t>
            </w:r>
          </w:p>
        </w:tc>
        <w:tc>
          <w:tcPr>
            <w:tcW w:w="120" w:type="dxa"/>
            <w:vAlign w:val="bottom"/>
            <w:tcBorders>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w w:val="92"/>
              </w:rPr>
              <w:t>128,158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115,001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26,958</w:t>
            </w:r>
          </w:p>
        </w:tc>
        <w:tc>
          <w:tcPr>
            <w:tcW w:w="120" w:type="dxa"/>
            <w:vAlign w:val="bottom"/>
            <w:tcBorders>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w w:val="95"/>
              </w:rPr>
              <w:t>141,959</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0" w:gutter="0" w:footer="0" w:header="0"/>
        </w:sectPr>
      </w:pPr>
    </w:p>
    <w:bookmarkStart w:id="62" w:name="page63"/>
    <w:bookmarkEnd w:id="62"/>
    <w:p>
      <w:pPr>
        <w:ind w:left="192" w:hanging="192"/>
        <w:spacing w:after="0"/>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Excludes non-performing loans and foreclosed properties covered by the loss-sharing agreement with the FDIC, related to the acquisition of SCB.</w:t>
      </w:r>
    </w:p>
    <w:p>
      <w:pPr>
        <w:sectPr>
          <w:pgSz w:w="11900" w:h="16838" w:orient="portrait"/>
          <w:cols w:equalWidth="0" w:num="1">
            <w:col w:w="10712"/>
          </w:cols>
          <w:pgMar w:left="248" w:top="103" w:right="9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612"/>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03" w:right="939" w:bottom="1440" w:gutter="0" w:footer="0" w:header="0"/>
          <w:type w:val="continuous"/>
        </w:sectPr>
      </w:pPr>
    </w:p>
    <w:bookmarkStart w:id="63" w:name="page64"/>
    <w:bookmarkEnd w:id="63"/>
    <w:p>
      <w:pPr>
        <w:jc w:val="both"/>
        <w:spacing w:after="0" w:line="259" w:lineRule="auto"/>
        <w:rPr>
          <w:sz w:val="20"/>
          <w:szCs w:val="20"/>
          <w:color w:val="auto"/>
        </w:rPr>
      </w:pPr>
      <w:r>
        <w:rPr>
          <w:rFonts w:ascii="Arial" w:cs="Arial" w:eastAsia="Arial" w:hAnsi="Arial"/>
          <w:sz w:val="18"/>
          <w:szCs w:val="18"/>
          <w:color w:val="auto"/>
        </w:rPr>
        <w:t>Nonperforming assets in the residential construction category were $5.30 million at September 30, 2013, compared with $32.0 million at September 30, 2012, a decrease of $26.7 million, or 83%. Commercial nonperforming assets decreased from $89.1 million at September 30, 2012 to $10.1 million at September 30, 2013. Residential mortgage nonperforming assets of $14.7 million decreased $5.37 million from September 30, 2012. The second quarter of 2013 classified asset sales contributed to the decreases in all categories of nonperforming assets.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2013, December 31, 2012, and September 30, 2012, United had $87.3 million, $161 million and $166 million, respectively, in loans with terms that have been modified in troubled debt restructurings (“TDRs”). Included therein were $7.48 million, $38.0 million and $28.0 million, respectively, of TDRs that were not performing in accordance with their modified terms and were included in nonperforming loans. The remaining TDRs with an aggregate balance of $79.8 million, $123 million and $138 million, respectively, were performing according to their modified terms and are therefore not considered to be nonperforming assets.</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At September 30, 2013, December 31, 2012, and September 30, 2012, there were $105 million, $253 million and $269 million, respectively, of loans classified as impaired under the definition outlined in the Accounting Standards Codification including TDRs which are by definition considered impaired. Included in impaired loans at September 30, 2013, December 31, 2012 and September 30, 2012 was $32.8 million, $157 million and $174 million, respectively, that did not require specific reserves or had previously been charged down to net realizable value. The balance of impaired loans at September 30, 2013, December 31, 2012 and September 30, 2012 of $72.5 million, $95.8 million and $94.4 million, respectively, had specific reserves that totaled $5.35 million, $11.6 million and $12.9 million, respectively. The average recorded investment in impaired loans for the third quarters of 2013 and 2012 was $106 million and $276 million, respectively. For the first nine months of 2013 and 2012, the average recorded investment in impaired loans was $134 million and $281 million, respectively. For the three and nine months ended September 30, 2013, United recognized $2.48 million and $5.50 million, respectively, in interest revenue on impaired loans compared to $2.11 million and $6.80 million for the same periods of the prior year. United’s policy is to discontinue the recognition of interest revenue for loans classified as impaired under ASC 310-10-35,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when a loan meets the criteria for nonaccrual status. Impaired loans decreased 61% from September 30, 2012 to September 30, 2013, primarily due to the second quarter 2013 classified asset sales.</w:t>
      </w:r>
    </w:p>
    <w:p>
      <w:pPr>
        <w:spacing w:after="0" w:line="2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loss sharing agreements with the FDIC, related to the acquisition of SCB, are not included in this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Activity in Nonperforming Assets by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3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left="910"/>
              <w:spacing w:after="0"/>
              <w:rPr>
                <w:sz w:val="20"/>
                <w:szCs w:val="20"/>
                <w:color w:val="auto"/>
              </w:rPr>
            </w:pPr>
            <w:r>
              <w:rPr>
                <w:rFonts w:ascii="Arial" w:cs="Arial" w:eastAsia="Arial" w:hAnsi="Arial"/>
                <w:sz w:val="18"/>
                <w:szCs w:val="18"/>
                <w:b w:val="1"/>
                <w:bCs w:val="1"/>
                <w:color w:val="auto"/>
                <w:w w:val="92"/>
              </w:rPr>
              <w:t xml:space="preserve">Third Quarter 2013 </w:t>
            </w:r>
            <w:r>
              <w:rPr>
                <w:rFonts w:ascii="Arial" w:cs="Arial" w:eastAsia="Arial" w:hAnsi="Arial"/>
                <w:sz w:val="25"/>
                <w:szCs w:val="25"/>
                <w:color w:val="auto"/>
                <w:w w:val="92"/>
                <w:vertAlign w:val="superscript"/>
              </w:rPr>
              <w:t>(1)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830"/>
              <w:spacing w:after="0"/>
              <w:rPr>
                <w:sz w:val="20"/>
                <w:szCs w:val="20"/>
                <w:color w:val="auto"/>
              </w:rPr>
            </w:pPr>
            <w:r>
              <w:rPr>
                <w:rFonts w:ascii="Arial" w:cs="Arial" w:eastAsia="Arial" w:hAnsi="Arial"/>
                <w:sz w:val="18"/>
                <w:szCs w:val="18"/>
                <w:b w:val="1"/>
                <w:bCs w:val="1"/>
                <w:color w:val="auto"/>
                <w:w w:val="92"/>
              </w:rPr>
              <w:t xml:space="preserve">Third Quarter 2012 </w:t>
            </w:r>
            <w:r>
              <w:rPr>
                <w:rFonts w:ascii="Arial" w:cs="Arial" w:eastAsia="Arial" w:hAnsi="Arial"/>
                <w:sz w:val="25"/>
                <w:szCs w:val="25"/>
                <w:color w:val="auto"/>
                <w:w w:val="92"/>
                <w:vertAlign w:val="superscript"/>
              </w:rPr>
              <w:t>(1)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8"/>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1"/>
              </w:rPr>
              <w:t>Nonaccrual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right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5"/>
              </w:rPr>
              <w:t>Foreclosed</w:t>
            </w:r>
          </w:p>
        </w:tc>
        <w:tc>
          <w:tcPr>
            <w:tcW w:w="280" w:type="dxa"/>
            <w:vAlign w:val="bottom"/>
          </w:tcPr>
          <w:p>
            <w:pPr>
              <w:spacing w:after="0"/>
              <w:rPr>
                <w:sz w:val="17"/>
                <w:szCs w:val="17"/>
                <w:color w:val="auto"/>
              </w:rPr>
            </w:pPr>
          </w:p>
        </w:tc>
        <w:tc>
          <w:tcPr>
            <w:tcW w:w="9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Nonaccrual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5"/>
              </w:rPr>
              <w:t>Foreclosed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Total</w:t>
            </w:r>
          </w:p>
        </w:tc>
      </w:tr>
      <w:tr>
        <w:trPr>
          <w:trHeight w:val="241"/>
        </w:trPr>
        <w:tc>
          <w:tcPr>
            <w:tcW w:w="3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Loans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Properties</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Loans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Properties</w:t>
            </w:r>
          </w:p>
        </w:tc>
        <w:tc>
          <w:tcPr>
            <w:tcW w:w="14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NPAs</w:t>
            </w:r>
          </w:p>
        </w:tc>
      </w:tr>
      <w:tr>
        <w:trPr>
          <w:trHeight w:val="418"/>
        </w:trPr>
        <w:tc>
          <w:tcPr>
            <w:tcW w:w="3340" w:type="dxa"/>
            <w:vAlign w:val="bottom"/>
          </w:tcPr>
          <w:p>
            <w:pPr>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27,864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3,936</w:t>
            </w:r>
          </w:p>
        </w:tc>
        <w:tc>
          <w:tcPr>
            <w:tcW w:w="140" w:type="dxa"/>
            <w:vAlign w:val="bottom"/>
            <w:tcBorders>
              <w:right w:val="single" w:sz="8" w:color="auto"/>
            </w:tcBorders>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31,800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115,340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30,421</w:t>
            </w: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145,761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9,959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30,535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30,535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Payments received</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(3,646)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 charge-offs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(19,227)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Foreclosures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2,739</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8,001</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Capitalized costs</w:t>
            </w: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Property sales</w:t>
            </w: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(2,534)</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(8,822)</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(8,822)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Write downs</w:t>
            </w: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(2,394)</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(2,394)</w:t>
            </w: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Net losses on sales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3340" w:type="dxa"/>
            <w:vAlign w:val="bottom"/>
          </w:tcPr>
          <w:p>
            <w:pPr>
              <w:ind w:left="24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26,088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4,467</w:t>
            </w: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30,555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115,001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26,958</w:t>
            </w:r>
          </w:p>
        </w:tc>
        <w:tc>
          <w:tcPr>
            <w:tcW w:w="1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141,959</w:t>
            </w:r>
          </w:p>
        </w:tc>
      </w:tr>
      <w:tr>
        <w:trPr>
          <w:trHeight w:val="21"/>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649"/>
        </w:trPr>
        <w:tc>
          <w:tcPr>
            <w:tcW w:w="3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 xml:space="preserve">First Nine Months 2013 </w:t>
            </w:r>
            <w:r>
              <w:rPr>
                <w:rFonts w:ascii="Arial" w:cs="Arial" w:eastAsia="Arial" w:hAnsi="Arial"/>
                <w:sz w:val="25"/>
                <w:szCs w:val="25"/>
                <w:color w:val="auto"/>
                <w:w w:val="89"/>
                <w:vertAlign w:val="superscript"/>
              </w:rPr>
              <w:t>(1)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9"/>
              </w:rPr>
              <w:t xml:space="preserve">First Nine Months 2012 </w:t>
            </w:r>
            <w:r>
              <w:rPr>
                <w:rFonts w:ascii="Arial" w:cs="Arial" w:eastAsia="Arial" w:hAnsi="Arial"/>
                <w:sz w:val="25"/>
                <w:szCs w:val="25"/>
                <w:color w:val="auto"/>
                <w:w w:val="89"/>
                <w:vertAlign w:val="superscript"/>
              </w:rPr>
              <w:t>(1)</w:t>
            </w:r>
          </w:p>
        </w:tc>
        <w:tc>
          <w:tcPr>
            <w:tcW w:w="940" w:type="dxa"/>
            <w:vAlign w:val="bottom"/>
            <w:tcBorders>
              <w:bottom w:val="single" w:sz="8" w:color="auto"/>
            </w:tcBorders>
          </w:tcPr>
          <w:p>
            <w:pPr>
              <w:spacing w:after="0"/>
              <w:rPr>
                <w:sz w:val="24"/>
                <w:szCs w:val="24"/>
                <w:color w:val="auto"/>
              </w:rPr>
            </w:pPr>
          </w:p>
        </w:tc>
      </w:tr>
      <w:tr>
        <w:trPr>
          <w:trHeight w:val="198"/>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1"/>
              </w:rPr>
              <w:t>Nonaccrual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right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5"/>
              </w:rPr>
              <w:t>Foreclosed</w:t>
            </w:r>
          </w:p>
        </w:tc>
        <w:tc>
          <w:tcPr>
            <w:tcW w:w="280" w:type="dxa"/>
            <w:vAlign w:val="bottom"/>
          </w:tcPr>
          <w:p>
            <w:pPr>
              <w:spacing w:after="0"/>
              <w:rPr>
                <w:sz w:val="17"/>
                <w:szCs w:val="17"/>
                <w:color w:val="auto"/>
              </w:rPr>
            </w:pPr>
          </w:p>
        </w:tc>
        <w:tc>
          <w:tcPr>
            <w:tcW w:w="9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Nonaccrual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5"/>
              </w:rPr>
              <w:t>Foreclosed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Total</w:t>
            </w:r>
          </w:p>
        </w:tc>
      </w:tr>
      <w:tr>
        <w:trPr>
          <w:trHeight w:val="241"/>
        </w:trPr>
        <w:tc>
          <w:tcPr>
            <w:tcW w:w="3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Loans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Properties</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Loans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Properties</w:t>
            </w:r>
          </w:p>
        </w:tc>
        <w:tc>
          <w:tcPr>
            <w:tcW w:w="14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NPAs</w:t>
            </w:r>
          </w:p>
        </w:tc>
      </w:tr>
      <w:tr>
        <w:trPr>
          <w:trHeight w:val="418"/>
        </w:trPr>
        <w:tc>
          <w:tcPr>
            <w:tcW w:w="3340" w:type="dxa"/>
            <w:vAlign w:val="bottom"/>
          </w:tcPr>
          <w:p>
            <w:pPr>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109,894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18,264</w:t>
            </w:r>
          </w:p>
        </w:tc>
        <w:tc>
          <w:tcPr>
            <w:tcW w:w="140" w:type="dxa"/>
            <w:vAlign w:val="bottom"/>
            <w:tcBorders>
              <w:right w:val="single" w:sz="8" w:color="auto"/>
            </w:tcBorders>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128,158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127,479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32,859</w:t>
            </w: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160,338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32,824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92,336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Payments received</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(58,347)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(24,618)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 charge-offs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(39,823)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(53,342)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Foreclosures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18,460</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26,854</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Capitalized costs</w:t>
            </w: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846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Property sales</w:t>
            </w: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(27,232)</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(27,914)</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(27,914)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Write downs</w:t>
            </w: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(5,513)</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(5,513)</w:t>
            </w: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Net losses on sales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3340" w:type="dxa"/>
            <w:vAlign w:val="bottom"/>
          </w:tcPr>
          <w:p>
            <w:pPr>
              <w:ind w:left="24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26,088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4,467</w:t>
            </w:r>
          </w:p>
        </w:tc>
        <w:tc>
          <w:tcPr>
            <w:tcW w:w="140" w:type="dxa"/>
            <w:vAlign w:val="bottom"/>
            <w:tcBorders>
              <w:right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30,555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115,001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26,958</w:t>
            </w:r>
          </w:p>
        </w:tc>
        <w:tc>
          <w:tcPr>
            <w:tcW w:w="140" w:type="dxa"/>
            <w:vAlign w:val="bottom"/>
            <w:tcBorders>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141,959</w:t>
            </w:r>
          </w:p>
        </w:tc>
      </w:tr>
      <w:tr>
        <w:trPr>
          <w:trHeight w:val="21"/>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left="5620" w:right="700" w:hanging="5612"/>
        <w:spacing w:after="0" w:line="787" w:lineRule="auto"/>
        <w:tabs>
          <w:tab w:leader="none" w:pos="196"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500" w:gutter="0" w:footer="0" w:header="0"/>
        </w:sectPr>
      </w:pPr>
    </w:p>
    <w:bookmarkStart w:id="64" w:name="page65"/>
    <w:bookmarkEnd w:id="64"/>
    <w:p>
      <w:pPr>
        <w:jc w:val="both"/>
        <w:spacing w:after="0" w:line="272"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third quarter of 2013, United transferred $2.74 million of loans into foreclosed property through foreclosures. During the same period, proceeds from sales of foreclosed property were $2.53 million, which includes $300,000 in sales that were financed by United.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September 30, 2013 increased $144 million from a year ago.</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2013, United had securities held-to-maturity with a carrying amount of $206 million and securities available-for-sale totaling $1.96 billion. At September 30, 2013, December 31, 2012, and September 30, 2012, the securities portfolio represented approximately 30%, 31% and 30% of total assets, respectively.</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investment securities portfolio primarily consists of U.S. government sponsored agency mortgage-backed securities, non-agency mortgage-backed securities, corporate bonds, municipal securities and asset-backed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September 30, 2013 and 2012, 39% of the securities portfolio was invested in floating-rate securities or fixed-rate securities that were swapped to floating rates in order to manage exposure to rising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has initiated several programs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 has continued to pursue customer transaction deposits by stressing its high customer satisfaction scores.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customer deposits, excluding brokered deposits, as of September 30, 2013 were $5.69 billion, an increase of $94.3 million from September 30, 2012. Total core deposits (demand, NOW, money market and savings deposits, excluding public funds deposits) of $3.42 billion increased $278 million, or 9%, from a year ago. Total non-interest-bearing demand deposit accounts of $1.42 billion increased $208 million, or 17%, due to the success of core deposit programs. Also impacted by the programs were NOW, money market and savings accounts of $2.73 billion, which increased $193 million, or 8%, from September 30, 2012.</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time deposits, excluding brokered deposits, as of September 30, 2013 were $1.55 billion, down $306 million from September 30, 2012. Time deposits less than $100,000 totaled $925 million, a decrease of $199 million, or 18%, from a year ago. Time deposits of $100,000 and greater totaled $624 million as of September 30, 2013, a decrease of $108 million, or 15%, from September 30, 2012. United continued to offer low rates on certificates of deposit, allowing balances to decline as United’s funding needs declined due to weak loan demand and a shift to lower cost transaction account deposits.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Brokered deposits totaled $419 million as of September 30, 2013, an increase of $196 million from a year ago. We have actively added long-term deposits which are swapped to LIBOR minus a spread to diversify our deposit base with low cost funding.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$125,000 and $50.1 million, respectively, as of September 30, 2013 and 2012. United anticipates continued use of this short and long-term source of funds. Additional information regarding FHLB advances is provided in Note 12 to the consolidated financial statements included in United’s Annual Report on Form 10-K for the year ended December 31, 2012.</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2013 and 2012, United had $53.8 million and $53.2 million, respectively, in other short-term borrowings outstanding. United takes advantage of these additional sources of liquidity when rates are favorable compared to other forms of short-term borrowings, such as FHLB advances and brokered deposits.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or decrease from 100 to 300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September 30, 2013 and 2012 made use of the down scenarios problematic. The following table presents United’s interest sensitivity position at September 30, 2013 and 2012.</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13 - Interest Sensitivity</w:t>
      </w:r>
    </w:p>
    <w:p>
      <w:pPr>
        <w:spacing w:after="0" w:line="225"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Increase (Decrease) in Net Interest Revenue from Base Scenario</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at</w:t>
      </w:r>
    </w:p>
    <w:p>
      <w:pPr>
        <w:spacing w:after="0" w:line="9"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9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top w:val="single" w:sz="8" w:color="auto"/>
            </w:tcBorders>
          </w:tcPr>
          <w:p>
            <w:pPr>
              <w:spacing w:after="0"/>
              <w:rPr>
                <w:sz w:val="20"/>
                <w:szCs w:val="20"/>
                <w:color w:val="auto"/>
              </w:rPr>
            </w:pPr>
          </w:p>
        </w:tc>
      </w:tr>
      <w:tr>
        <w:trPr>
          <w:trHeight w:val="223"/>
        </w:trPr>
        <w:tc>
          <w:tcPr>
            <w:tcW w:w="52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Change in Rates</w:t>
            </w:r>
          </w:p>
        </w:tc>
        <w:tc>
          <w:tcPr>
            <w:tcW w:w="1460" w:type="dxa"/>
            <w:vAlign w:val="bottom"/>
            <w:tcBorders>
              <w:top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Shock</w:t>
            </w: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Ramp</w:t>
            </w:r>
          </w:p>
        </w:tc>
        <w:tc>
          <w:tcPr>
            <w:tcW w:w="100" w:type="dxa"/>
            <w:vAlign w:val="bottom"/>
          </w:tcPr>
          <w:p>
            <w:pPr>
              <w:spacing w:after="0"/>
              <w:rPr>
                <w:sz w:val="19"/>
                <w:szCs w:val="19"/>
                <w:color w:val="auto"/>
              </w:rPr>
            </w:pPr>
          </w:p>
        </w:tc>
        <w:tc>
          <w:tcPr>
            <w:tcW w:w="1560" w:type="dxa"/>
            <w:vAlign w:val="bottom"/>
            <w:tcBorders>
              <w:top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Shock</w:t>
            </w: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Ramp</w:t>
            </w:r>
          </w:p>
        </w:tc>
      </w:tr>
      <w:tr>
        <w:trPr>
          <w:trHeight w:val="202"/>
        </w:trPr>
        <w:tc>
          <w:tcPr>
            <w:tcW w:w="518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rPr>
              <w:t>200 basis point increase</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w:t>
            </w:r>
          </w:p>
        </w:tc>
      </w:tr>
      <w:tr>
        <w:trPr>
          <w:trHeight w:val="230"/>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25 basis point decrease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effect of interest rate changes on net interest revenue.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6" w:name="page67"/>
    <w:bookmarkEnd w:id="66"/>
    <w:p>
      <w:pPr>
        <w:ind w:right="240"/>
        <w:spacing w:after="0" w:line="302" w:lineRule="auto"/>
        <w:rPr>
          <w:sz w:val="20"/>
          <w:szCs w:val="20"/>
          <w:color w:val="auto"/>
        </w:rPr>
      </w:pPr>
      <w:r>
        <w:rPr>
          <w:rFonts w:ascii="Arial" w:cs="Arial" w:eastAsia="Arial" w:hAnsi="Arial"/>
          <w:sz w:val="16"/>
          <w:szCs w:val="16"/>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may be the case) and receives a fixed rate (or variable rate, as may be the case).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United’s active derivative contracts used for hedging purposes.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14 - Derivative Financial Instruments Designated as Hedges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Hedge</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Trade</w:t>
            </w:r>
          </w:p>
        </w:tc>
        <w:tc>
          <w:tcPr>
            <w:tcW w:w="8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80" w:type="dxa"/>
            <w:vAlign w:val="bottom"/>
          </w:tcPr>
          <w:p>
            <w:pPr>
              <w:spacing w:after="0"/>
              <w:rPr>
                <w:sz w:val="16"/>
                <w:szCs w:val="16"/>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Maturity</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0"/>
                <w:szCs w:val="10"/>
                <w:color w:val="auto"/>
              </w:rPr>
              <w:t>(F)</w:t>
            </w:r>
          </w:p>
        </w:tc>
        <w:tc>
          <w:tcPr>
            <w:tcW w:w="0" w:type="dxa"/>
            <w:vAlign w:val="bottom"/>
          </w:tcPr>
          <w:p>
            <w:pPr>
              <w:spacing w:after="0"/>
              <w:rPr>
                <w:sz w:val="1"/>
                <w:szCs w:val="1"/>
                <w:color w:val="auto"/>
              </w:rPr>
            </w:pPr>
          </w:p>
        </w:tc>
      </w:tr>
      <w:tr>
        <w:trPr>
          <w:trHeight w:val="81"/>
        </w:trPr>
        <w:tc>
          <w:tcPr>
            <w:tcW w:w="1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Type of Instrument</w:t>
            </w:r>
          </w:p>
        </w:tc>
        <w:tc>
          <w:tcPr>
            <w:tcW w:w="40" w:type="dxa"/>
            <w:vAlign w:val="bottom"/>
            <w:vMerge w:val="restart"/>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Hedged Item</w:t>
            </w:r>
          </w:p>
        </w:tc>
        <w:tc>
          <w:tcPr>
            <w:tcW w:w="6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Pay Rate</w:t>
            </w:r>
          </w:p>
        </w:tc>
        <w:tc>
          <w:tcPr>
            <w:tcW w:w="80" w:type="dxa"/>
            <w:vAlign w:val="bottom"/>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Receive Rate</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Asset</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78"/>
        </w:trPr>
        <w:tc>
          <w:tcPr>
            <w:tcW w:w="196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Designation</w:t>
            </w:r>
          </w:p>
        </w:tc>
        <w:tc>
          <w:tcPr>
            <w:tcW w:w="8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000" w:type="dxa"/>
            <w:vAlign w:val="bottom"/>
            <w:gridSpan w:val="2"/>
          </w:tcPr>
          <w:p>
            <w:pPr>
              <w:ind w:left="40"/>
              <w:spacing w:after="0"/>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6"/>
              </w:rPr>
              <w:t>Brokered CD</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5"/>
              </w:rPr>
              <w:t>10/12/11</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1"/>
              </w:rPr>
              <w:t>11/10/11</w:t>
            </w:r>
          </w:p>
        </w:tc>
        <w:tc>
          <w:tcPr>
            <w:tcW w:w="80" w:type="dxa"/>
            <w:vAlign w:val="bottom"/>
          </w:tcPr>
          <w:p>
            <w:pPr>
              <w:spacing w:after="0"/>
              <w:rPr>
                <w:sz w:val="24"/>
                <w:szCs w:val="24"/>
                <w:color w:val="auto"/>
              </w:rPr>
            </w:pPr>
          </w:p>
        </w:tc>
        <w:tc>
          <w:tcPr>
            <w:tcW w:w="2140" w:type="dxa"/>
            <w:vAlign w:val="bottom"/>
            <w:gridSpan w:val="3"/>
          </w:tcPr>
          <w:p>
            <w:pPr>
              <w:ind w:left="40"/>
              <w:spacing w:after="0"/>
              <w:rPr>
                <w:sz w:val="20"/>
                <w:szCs w:val="20"/>
                <w:color w:val="auto"/>
              </w:rPr>
            </w:pPr>
            <w:r>
              <w:rPr>
                <w:rFonts w:ascii="Arial" w:cs="Arial" w:eastAsia="Arial" w:hAnsi="Arial"/>
                <w:sz w:val="14"/>
                <w:szCs w:val="14"/>
                <w:color w:val="auto"/>
              </w:rPr>
              <w:t>11/10/31   3 mo. LIBOR - 60 bps</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 xml:space="preserve">Steepener </w:t>
            </w:r>
            <w:r>
              <w:rPr>
                <w:rFonts w:ascii="Arial" w:cs="Arial" w:eastAsia="Arial" w:hAnsi="Arial"/>
                <w:sz w:val="10"/>
                <w:szCs w:val="10"/>
                <w:color w:val="auto"/>
                <w:w w:val="90"/>
              </w:rPr>
              <w:t>(A)</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1,903</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17,000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02/14/12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02/27/12</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08/27/27   3 mo. LIBOR - 45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2.00% to 10.00%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15,500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03/05/12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03/23/12</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09/23/27   3 mo. LIBOR - 45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2.25% to 10.00%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12,500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05/16/12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06/08/12</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06/08/32   3 mo. LIBOR - 43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2.25% to 10.00%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06/12/12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06/28/12</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06/28/32  3 mo. LIBOR - 38.5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2.30% to 10.00%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12,500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07/03/12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07/27/12</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07/27/32  3 mo. LIBOR - 38.5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2.25% to 10.00%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08/01/12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08/23/12</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6"/>
              </w:rPr>
              <w:t>08/23/32  3 mo. LIBOR - 38.25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2.30% to 11.00%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08/29/12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09/24/12</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09/24/12   3 mo. LIBOR - 38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2.40% to 11.00%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10/05/12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10/19/12</w:t>
            </w:r>
          </w:p>
        </w:tc>
        <w:tc>
          <w:tcPr>
            <w:tcW w:w="80" w:type="dxa"/>
            <w:vAlign w:val="bottom"/>
          </w:tcPr>
          <w:p>
            <w:pPr>
              <w:spacing w:after="0"/>
              <w:rPr>
                <w:sz w:val="12"/>
                <w:szCs w:val="12"/>
                <w:color w:val="auto"/>
              </w:rPr>
            </w:pPr>
          </w:p>
        </w:tc>
        <w:tc>
          <w:tcPr>
            <w:tcW w:w="21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11/19/32   3 mo. LIBOR - 38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2.40% to 11.00%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10/15/12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11/08/12</w:t>
            </w:r>
          </w:p>
        </w:tc>
        <w:tc>
          <w:tcPr>
            <w:tcW w:w="80" w:type="dxa"/>
            <w:vAlign w:val="bottom"/>
          </w:tcPr>
          <w:p>
            <w:pPr>
              <w:spacing w:after="0"/>
              <w:rPr>
                <w:sz w:val="12"/>
                <w:szCs w:val="12"/>
                <w:color w:val="auto"/>
              </w:rPr>
            </w:pPr>
          </w:p>
        </w:tc>
        <w:tc>
          <w:tcPr>
            <w:tcW w:w="21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11/08/32   3 mo. LIBOR - 40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2.30% to 11.00%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12,500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11/14/12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11/30/12</w:t>
            </w:r>
          </w:p>
        </w:tc>
        <w:tc>
          <w:tcPr>
            <w:tcW w:w="80" w:type="dxa"/>
            <w:vAlign w:val="bottom"/>
          </w:tcPr>
          <w:p>
            <w:pPr>
              <w:spacing w:after="0"/>
              <w:rPr>
                <w:sz w:val="12"/>
                <w:szCs w:val="12"/>
                <w:color w:val="auto"/>
              </w:rPr>
            </w:pPr>
          </w:p>
        </w:tc>
        <w:tc>
          <w:tcPr>
            <w:tcW w:w="21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11/30/32   3 mo. LIBOR - 38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2.20% to 11.00%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11/28/12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12/27/12</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12/27/32   3 mo. LIBOR - 38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2.25% to 11.00% </w:t>
            </w:r>
            <w:r>
              <w:rPr>
                <w:rFonts w:ascii="Arial" w:cs="Arial" w:eastAsia="Arial" w:hAnsi="Arial"/>
                <w:sz w:val="10"/>
                <w:szCs w:val="10"/>
                <w:color w:val="auto"/>
                <w:w w:val="93"/>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12/27/12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01/25/13</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12/25/28  3 mo. LIBOR - 20.5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 xml:space="preserve">2.15% to 8.00% </w:t>
            </w:r>
            <w:r>
              <w:rPr>
                <w:rFonts w:ascii="Arial" w:cs="Arial" w:eastAsia="Arial" w:hAnsi="Arial"/>
                <w:sz w:val="10"/>
                <w:szCs w:val="10"/>
                <w:color w:val="auto"/>
                <w:w w:val="94"/>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01/17/13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02/15/13</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02/15/23   3 mo. LIBOR - 20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 xml:space="preserve">1.50% to 5.50% </w:t>
            </w:r>
            <w:r>
              <w:rPr>
                <w:rFonts w:ascii="Arial" w:cs="Arial" w:eastAsia="Arial" w:hAnsi="Arial"/>
                <w:sz w:val="10"/>
                <w:szCs w:val="10"/>
                <w:color w:val="auto"/>
                <w:w w:val="94"/>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01/25/13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02/28/13</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02/28/28  3 mo. LIBOR - 20.5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 xml:space="preserve">2.20% to 8.00% </w:t>
            </w:r>
            <w:r>
              <w:rPr>
                <w:rFonts w:ascii="Arial" w:cs="Arial" w:eastAsia="Arial" w:hAnsi="Arial"/>
                <w:sz w:val="10"/>
                <w:szCs w:val="10"/>
                <w:color w:val="auto"/>
                <w:w w:val="94"/>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01/25/13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02/21/13</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02/21/18  3 mo. LIBOR - 20.5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 xml:space="preserve">.50% to 2.75% </w:t>
            </w:r>
            <w:r>
              <w:rPr>
                <w:rFonts w:ascii="Arial" w:cs="Arial" w:eastAsia="Arial" w:hAnsi="Arial"/>
                <w:sz w:val="10"/>
                <w:szCs w:val="10"/>
                <w:color w:val="auto"/>
                <w:w w:val="94"/>
              </w:rPr>
              <w:t>(B)</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06/04/13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06/28/13</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06/28/33  3 mo. LIBOR - 67.5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 xml:space="preserve">Steepener </w:t>
            </w:r>
            <w:r>
              <w:rPr>
                <w:rFonts w:ascii="Arial" w:cs="Arial" w:eastAsia="Arial" w:hAnsi="Arial"/>
                <w:sz w:val="10"/>
                <w:szCs w:val="10"/>
                <w:color w:val="auto"/>
                <w:w w:val="89"/>
              </w:rPr>
              <w:t>(C)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8,967</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26,500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07/22/13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08/23/13</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08/23/33   3 mo. LIBOR - 68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 xml:space="preserve">Steepener </w:t>
            </w:r>
            <w:r>
              <w:rPr>
                <w:rFonts w:ascii="Arial" w:cs="Arial" w:eastAsia="Arial" w:hAnsi="Arial"/>
                <w:sz w:val="10"/>
                <w:szCs w:val="10"/>
                <w:color w:val="auto"/>
                <w:w w:val="89"/>
              </w:rPr>
              <w:t>(D)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Receive Fixed Cancellable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6"/>
              </w:rPr>
              <w:t>Brokered CD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09/25/13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09/30/13</w:t>
            </w:r>
          </w:p>
        </w:tc>
        <w:tc>
          <w:tcPr>
            <w:tcW w:w="80" w:type="dxa"/>
            <w:vAlign w:val="bottom"/>
          </w:tcPr>
          <w:p>
            <w:pPr>
              <w:spacing w:after="0"/>
              <w:rPr>
                <w:sz w:val="12"/>
                <w:szCs w:val="12"/>
                <w:color w:val="auto"/>
              </w:rPr>
            </w:pP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09/30/13   3 mo. LIBOR - 65 bps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 xml:space="preserve">Steepener </w:t>
            </w:r>
            <w:r>
              <w:rPr>
                <w:rFonts w:ascii="Arial" w:cs="Arial" w:eastAsia="Arial" w:hAnsi="Arial"/>
                <w:sz w:val="10"/>
                <w:szCs w:val="10"/>
                <w:color w:val="auto"/>
                <w:w w:val="90"/>
              </w:rPr>
              <w: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Corporate Bond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03/13/13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03/18/13</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02/13/23</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3.45000%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391</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Corporate Bond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03/15/13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03/20/13</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02/09/23</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3.10000%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601</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Corporate Bond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04/19/13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04/24/13</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09/07/22</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3.15000%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523</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Corporate Bond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04/22/13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04/25/13</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01/24/22</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5.75000%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Corporate Bond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04/25/13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05/01/13</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05/01/23</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3.37500%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731</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Corporate Bond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05/29/13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06/03/13</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01/24/22</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5.70000%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Corporate Bond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05/30/13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06/04/13</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01/14/22</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4.50000%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Corporate Bond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06/18/13</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06/21/13</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06/15/23</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3.62500%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463</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3"/>
              </w:rPr>
              <w:t>Short-Term Debt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04/02/12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04/07/14</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04/07/17</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1.69500%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3"/>
              </w:rPr>
              <w:t>Short-Term Debt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04/02/12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04/21/14</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04/21/17</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1.72125%</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3"/>
              </w:rPr>
              <w:t>Short-Term Debt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0"/>
              </w:rPr>
              <w:t>100,000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04/10/12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03/03/14</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03/01/17</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1.43750%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4"/>
              </w:rPr>
              <w:t>Money Market Deposts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0"/>
              </w:rPr>
              <w:t>100,000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05/02/12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05/01/14</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05/01/19</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1.88750%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1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49"/>
        </w:trPr>
        <w:tc>
          <w:tcPr>
            <w:tcW w:w="2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4"/>
              </w:rPr>
              <w:t>Money Market Deposts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0"/>
              </w:rPr>
              <w:t>100,000</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05/31/12</w:t>
            </w:r>
          </w:p>
        </w:tc>
        <w:tc>
          <w:tcPr>
            <w:tcW w:w="6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07/01/14</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07/01/18</w:t>
            </w:r>
          </w:p>
        </w:tc>
        <w:tc>
          <w:tcPr>
            <w:tcW w:w="1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1.39250%</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1 mo. LIBOR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625</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00" w:type="dxa"/>
            <w:vAlign w:val="bottom"/>
            <w:gridSpan w:val="2"/>
          </w:tcPr>
          <w:p>
            <w:pPr>
              <w:ind w:left="40"/>
              <w:spacing w:after="0"/>
              <w:rPr>
                <w:sz w:val="20"/>
                <w:szCs w:val="20"/>
                <w:color w:val="auto"/>
              </w:rPr>
            </w:pPr>
            <w:r>
              <w:rPr>
                <w:rFonts w:ascii="Arial" w:cs="Arial" w:eastAsia="Arial" w:hAnsi="Arial"/>
                <w:sz w:val="14"/>
                <w:szCs w:val="14"/>
                <w:color w:val="auto"/>
              </w:rPr>
              <w:t>Pay Fixed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4"/>
              </w:rPr>
              <w:t>Money Market Deposts</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0"/>
              </w:rPr>
              <w:t>175,000</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5"/>
              </w:rPr>
              <w:t>04/04/13</w:t>
            </w:r>
          </w:p>
        </w:tc>
        <w:tc>
          <w:tcPr>
            <w:tcW w:w="640" w:type="dxa"/>
            <w:vAlign w:val="bottom"/>
            <w:gridSpan w:val="2"/>
          </w:tcPr>
          <w:p>
            <w:pPr>
              <w:jc w:val="center"/>
              <w:ind w:left="8"/>
              <w:spacing w:after="0"/>
              <w:rPr>
                <w:sz w:val="20"/>
                <w:szCs w:val="20"/>
                <w:color w:val="auto"/>
              </w:rPr>
            </w:pPr>
            <w:r>
              <w:rPr>
                <w:rFonts w:ascii="Arial" w:cs="Arial" w:eastAsia="Arial" w:hAnsi="Arial"/>
                <w:sz w:val="14"/>
                <w:szCs w:val="14"/>
                <w:color w:val="auto"/>
                <w:w w:val="95"/>
              </w:rPr>
              <w:t>04/01/15</w:t>
            </w:r>
          </w:p>
        </w:tc>
        <w:tc>
          <w:tcPr>
            <w:tcW w:w="640" w:type="dxa"/>
            <w:vAlign w:val="bottom"/>
            <w:gridSpan w:val="2"/>
          </w:tcPr>
          <w:p>
            <w:pPr>
              <w:ind w:left="100"/>
              <w:spacing w:after="0"/>
              <w:rPr>
                <w:sz w:val="20"/>
                <w:szCs w:val="20"/>
                <w:color w:val="auto"/>
              </w:rPr>
            </w:pPr>
            <w:r>
              <w:rPr>
                <w:rFonts w:ascii="Arial" w:cs="Arial" w:eastAsia="Arial" w:hAnsi="Arial"/>
                <w:sz w:val="14"/>
                <w:szCs w:val="14"/>
                <w:color w:val="auto"/>
                <w:w w:val="95"/>
              </w:rPr>
              <w:t>06/30/13</w:t>
            </w:r>
          </w:p>
        </w:tc>
        <w:tc>
          <w:tcPr>
            <w:tcW w:w="1580" w:type="dxa"/>
            <w:vAlign w:val="bottom"/>
            <w:gridSpan w:val="2"/>
          </w:tcPr>
          <w:p>
            <w:pPr>
              <w:ind w:left="540"/>
              <w:spacing w:after="0"/>
              <w:rPr>
                <w:sz w:val="20"/>
                <w:szCs w:val="20"/>
                <w:color w:val="auto"/>
              </w:rPr>
            </w:pPr>
            <w:r>
              <w:rPr>
                <w:rFonts w:ascii="Arial" w:cs="Arial" w:eastAsia="Arial" w:hAnsi="Arial"/>
                <w:sz w:val="14"/>
                <w:szCs w:val="14"/>
                <w:color w:val="auto"/>
              </w:rPr>
              <w:t>1.61830%</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 mo. LIBOR</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2,955</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Total Hedging Positions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8"/>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961,500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6,289</w:t>
            </w:r>
          </w:p>
        </w:tc>
        <w:tc>
          <w:tcPr>
            <w:tcW w:w="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35,451</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8"/>
        <w:spacing w:after="0" w:line="243" w:lineRule="auto"/>
        <w:tabs>
          <w:tab w:leader="none" w:pos="22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Receive rate is fixed at 5.00% to November 10, 2012, then 4 * ((10-year Constant Maturity Swap rate - 2-year Constant Maturity Swap rate) - 50 basis points), capped at 5.00% and floored at 0.00%. Swap is callable by counterparty on November 10, 2012 and quarterly thereafter on the 10th with 15 calendar days notice.</w:t>
      </w:r>
    </w:p>
    <w:p>
      <w:pPr>
        <w:spacing w:after="0" w:line="200" w:lineRule="exact"/>
        <w:rPr>
          <w:rFonts w:ascii="Arial" w:cs="Arial" w:eastAsia="Arial" w:hAnsi="Arial"/>
          <w:sz w:val="23"/>
          <w:szCs w:val="23"/>
          <w:color w:val="auto"/>
          <w:vertAlign w:val="superscript"/>
        </w:rPr>
      </w:pPr>
    </w:p>
    <w:p>
      <w:pPr>
        <w:ind w:right="360" w:firstLine="8"/>
        <w:spacing w:after="0" w:line="232" w:lineRule="auto"/>
        <w:tabs>
          <w:tab w:leader="none" w:pos="213"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Rate steps up at set periodic intervals throughout term. Swap is callable by counterparty generally from six months to one year following the effective date.</w:t>
      </w:r>
    </w:p>
    <w:p>
      <w:pPr>
        <w:spacing w:after="0" w:line="203" w:lineRule="exact"/>
        <w:rPr>
          <w:rFonts w:ascii="Arial" w:cs="Arial" w:eastAsia="Arial" w:hAnsi="Arial"/>
          <w:sz w:val="23"/>
          <w:szCs w:val="23"/>
          <w:color w:val="auto"/>
          <w:vertAlign w:val="superscript"/>
        </w:rPr>
      </w:pPr>
    </w:p>
    <w:p>
      <w:pPr>
        <w:ind w:right="140" w:firstLine="8"/>
        <w:spacing w:after="0" w:line="245" w:lineRule="auto"/>
        <w:tabs>
          <w:tab w:leader="none" w:pos="213"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at 7.00% to 6/28/14 then 4 * ((30-year Constant Maturity Swap rate - 5-year Constant Maturity Swap rate) - 70 basis points), capped at 7.00% and floored at 0.00%. Swap is callable by counterparty on June 28, 2014 and quarterly thereafter on the 28th with 15 calendar days</w:t>
      </w:r>
    </w:p>
    <w:p>
      <w:pPr>
        <w:spacing w:after="0"/>
        <w:rPr>
          <w:rFonts w:ascii="Arial" w:cs="Arial" w:eastAsia="Arial" w:hAnsi="Arial"/>
          <w:sz w:val="22"/>
          <w:szCs w:val="22"/>
          <w:color w:val="auto"/>
          <w:vertAlign w:val="superscript"/>
        </w:rPr>
      </w:pPr>
      <w:r>
        <w:rPr>
          <w:rFonts w:ascii="Arial" w:cs="Arial" w:eastAsia="Arial" w:hAnsi="Arial"/>
          <w:sz w:val="18"/>
          <w:szCs w:val="18"/>
          <w:color w:val="auto"/>
        </w:rPr>
        <w:t>notice. Notional value decreases at set intervals.</w:t>
      </w:r>
    </w:p>
    <w:p>
      <w:pPr>
        <w:spacing w:after="0" w:line="210" w:lineRule="exact"/>
        <w:rPr>
          <w:rFonts w:ascii="Arial" w:cs="Arial" w:eastAsia="Arial" w:hAnsi="Arial"/>
          <w:sz w:val="22"/>
          <w:szCs w:val="22"/>
          <w:color w:val="auto"/>
          <w:vertAlign w:val="superscript"/>
        </w:rPr>
      </w:pPr>
    </w:p>
    <w:p>
      <w:pPr>
        <w:ind w:right="400" w:firstLine="8"/>
        <w:spacing w:after="0" w:line="262" w:lineRule="auto"/>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at 10.00% to 8/23/14 then 4 * ((30-year Constant Maturity Swap rate - 5-year Constant Maturity Swap rate) - 55 basis points), capped at 10.00% and floored at 0.00%. Swap is callable by counterparty on August 23, 2014 and quarterly thereafter on the 23rd with 15 calendar days notice. Notional value decreases at set intervals.</w:t>
      </w:r>
    </w:p>
    <w:p>
      <w:pPr>
        <w:spacing w:after="0" w:line="186" w:lineRule="exact"/>
        <w:rPr>
          <w:rFonts w:ascii="Arial" w:cs="Arial" w:eastAsia="Arial" w:hAnsi="Arial"/>
          <w:sz w:val="22"/>
          <w:szCs w:val="22"/>
          <w:color w:val="auto"/>
          <w:vertAlign w:val="superscript"/>
        </w:rPr>
      </w:pPr>
    </w:p>
    <w:p>
      <w:pPr>
        <w:ind w:right="260" w:firstLine="8"/>
        <w:spacing w:after="0" w:line="262" w:lineRule="auto"/>
        <w:tabs>
          <w:tab w:leader="none" w:pos="206"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at 9.00% to 9/30/14 then 4 * ((30-year Constant Maturity Swap rate - 2-year Constant Maturity Swap rate) - 87.5 basis points), capped at 9.00% and floored at 0.00%. Swap is callable by counterparty on September 30, 2014 and quarterly thereafter on the 30th with 15 calendar days notice. Notional value decreases at set intervals.</w:t>
      </w:r>
    </w:p>
    <w:p>
      <w:pPr>
        <w:spacing w:after="0" w:line="163"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Fair value does not include accrued interest.</w:t>
      </w:r>
    </w:p>
    <w:p>
      <w:pPr>
        <w:sectPr>
          <w:pgSz w:w="11900" w:h="16838" w:orient="portrait"/>
          <w:cols w:equalWidth="0" w:num="1">
            <w:col w:w="11420"/>
          </w:cols>
          <w:pgMar w:left="240" w:top="922" w:right="239" w:bottom="171"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jc w:val="both"/>
        <w:spacing w:after="0" w:line="271" w:lineRule="auto"/>
        <w:rPr>
          <w:sz w:val="20"/>
          <w:szCs w:val="20"/>
          <w:color w:val="auto"/>
        </w:rPr>
      </w:pPr>
      <w:r>
        <w:rPr>
          <w:rFonts w:ascii="Arial" w:cs="Arial" w:eastAsia="Arial" w:hAnsi="Arial"/>
          <w:sz w:val="17"/>
          <w:szCs w:val="17"/>
          <w:color w:val="auto"/>
        </w:rPr>
        <w:t>From time to time, United will terminate swap or floor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At September 30, 2013, United had no gains or losses from terminated derivative positions included in other comprehensive income that will be amortized into earnings over their remaining original contract terms. In addition, United’s forward starting active cash flow hedges of floating rate liabilities will begin to become effective over the next twelve months. United expects that $2.24 million will be reclassified as an increase to deposit interest expense over the next twelve months related to these cash flow hedges.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objective of liquidity management is to ensure that sufficient funding is available, at a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 United currently has internal capital resources to meet these obligations.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Substantially all of United’s liquidity is obtained from subsidiary service fees and dividends from the Bank, which are limited by applicable law and an informal memorandum of understanding with the Federal Deposit Insurance Corporation and the Georgia Department of Banking and Finance (the “Bank MOU”).</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$12.0 million at September 30, 2013, and typically turn over every 45 days as the closed loans are sold to investors in the secondary market.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September 30, 2013, United had cash and cash equivalent balances of $264 million and had sufficient qualifying collateral to increase FHLB advances by $1.11 billion and Federal Reserve discount window capacity of $599 million. United also has the ability to raise substantial funds through brokered deposits. In addition to these wholesale sources, United has the ability to attract retail deposits at any time by competing more aggressively on pricing.</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$162 million for the nine months ended September 30, 2013. The net income of $257 million for the nine month period included the deferred income tax benefit of $250 million, and non-cash expenses for the following: provision for loan losses of $65.5 million; depreciation, amortization and accretion of $20.8 million and losses and write downs on foreclosed property of $5.14 million. In addition, other assets decreased $16.2 million primarily due to amounts received on assets covered by loss sharing agreements. Mortgage loans held for sale decreased 16.8 million. Net cash used in investing activities of $288 million consisted primarily of a $289 million increase in loans and purchases of securities totaling $583 million, partially offset by the proceeds from sales, maturities and calls of securities of $466 million, proceeds from note sales of $92 million and proceeds from sales of foreclosed properties of $24 million. Net cash provided by financing activities of $139 million consisted primarily of a $161 million increase in deposits and a $40 million net decrease in FHLB advances. Cash from financing activities was also increased by $19.4 million in proceeds from a warrant exercise. In the opinion of management, United’s liquidity position at September 30, 2013, was sufficient to meet its expected cash flow requirements.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September 30, 2013 was $852 million, an increase of $271 million from December 31, 2012.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 Excluding the change in the accumulated other comprehensive income, shareholders’ equity increased $271 million from December 31, 2012.</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accrued $3.06 million and $9.17 million, respectively, in dividends, including accretion of discounts, on Series A, Series B and Series D preferred stock in the third quarter and first nine months of 2013.</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2010, United granted warrants to Fletcher International Ltd. (“Fletcher”) to purchase common stock equivalent junior preferred stock that would be convertible into 1,411,765 common shares, exercisable at a price equivalent to $21.25 per share. United has received purported partial warrant exercise notices from Fletcher with respect to its warrants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Fletcher’s warrants would not result in the issuance of any settlement shares because the warrants may only be exercised for net shares via a cashless exercise formula, and the reverse stock split-adjusted market price component of that formula does not exceed the exercise price to yield any net shares. United responded to Fletcher with United’s calculations related to the warrants.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12, 2013, the Elm Ridge Parties elected to exercise warrants to purchase an aggregate 1,551,126 shares of United’s common stock at a price of $12.50 per share. United recognized net proceeds of approximately $19.4 million as a result of the exercises.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2011, United entered into an informal memorandum of understanding with the Federal Reserve Bank and the Georgia Department of Banking and Finance (the “Holding Company MOU”). The Holding Company MOU provides that United may not incur additional indebtedness, pay cash dividends, make payments on our trust preferred securities or subordinated indebtedness or repurchase outstanding stock without prior approval of the Federal Reserve. The Federal Reserve and the Georgia Department of Banking and Finance have also asked that United seek their approval prior to paying interest on our senior indebtedness. Additionally, the Holding Company MOU requires, among other things, that United ensures that the Bank functions in a safe and sound manner. United believes it is in compliance with all requirements of the Holding Company MOU.</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currently subject to the informal Bank MOU. The Bank MOU requires, among other things, that the Bank maintain its Tier 1 leverage ratio at not less than 8% and its total risk-based capital ratio at not less than 10% during the life of the Bank MOU. Additionally, the Bank MOU requires, among other things, that prior to declaring or paying any cash dividends to United, the Bank must obtain the written consent of its regulators. The Bank believes it is in compliance with all requirements of the Bank MOU.</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Stock Price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2013</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20" w:type="dxa"/>
            <w:vAlign w:val="bottom"/>
          </w:tcPr>
          <w:p>
            <w:pPr>
              <w:spacing w:after="0"/>
              <w:rPr>
                <w:sz w:val="17"/>
                <w:szCs w:val="17"/>
                <w:color w:val="auto"/>
              </w:rPr>
            </w:pPr>
          </w:p>
        </w:tc>
      </w:tr>
      <w:tr>
        <w:trPr>
          <w:trHeight w:val="241"/>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Close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Volume</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First quarter</w:t>
            </w: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11.57</w:t>
            </w: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9.59</w:t>
            </w:r>
          </w:p>
        </w:tc>
        <w:tc>
          <w:tcPr>
            <w:tcW w:w="24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ind w:left="360"/>
              <w:spacing w:after="0" w:line="201" w:lineRule="exact"/>
              <w:rPr>
                <w:sz w:val="20"/>
                <w:szCs w:val="20"/>
                <w:color w:val="auto"/>
              </w:rPr>
            </w:pPr>
            <w:r>
              <w:rPr>
                <w:rFonts w:ascii="Arial" w:cs="Arial" w:eastAsia="Arial" w:hAnsi="Arial"/>
                <w:sz w:val="18"/>
                <w:szCs w:val="18"/>
                <w:color w:val="auto"/>
                <w:w w:val="84"/>
              </w:rPr>
              <w:t>11.34</w:t>
            </w:r>
          </w:p>
        </w:tc>
        <w:tc>
          <w:tcPr>
            <w:tcW w:w="220" w:type="dxa"/>
            <w:vAlign w:val="bottom"/>
          </w:tcPr>
          <w:p>
            <w:pPr>
              <w:spacing w:after="0"/>
              <w:rPr>
                <w:sz w:val="17"/>
                <w:szCs w:val="17"/>
                <w:color w:val="auto"/>
              </w:rPr>
            </w:pPr>
          </w:p>
        </w:tc>
        <w:tc>
          <w:tcPr>
            <w:tcW w:w="90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w w:val="86"/>
              </w:rPr>
              <w:t>195,803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10.30</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6.37</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9.75</w:t>
            </w:r>
          </w:p>
        </w:tc>
        <w:tc>
          <w:tcPr>
            <w:tcW w:w="20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142,987</w:t>
            </w:r>
          </w:p>
        </w:tc>
        <w:tc>
          <w:tcPr>
            <w:tcW w:w="20" w:type="dxa"/>
            <w:vAlign w:val="bottom"/>
          </w:tcPr>
          <w:p>
            <w:pPr>
              <w:spacing w:after="0"/>
              <w:rPr>
                <w:sz w:val="17"/>
                <w:szCs w:val="17"/>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12.42</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184,922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145,132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16.04</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14.99</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341,270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8.39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329,475</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9.44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202,871</w:t>
            </w: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Board of Governors of 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1 capital. However, to be considered well-capitalized under the guidelines, a 10% total risk-based capital ratio is required, of which 6% must be Tier 1 capital.</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1 capital divided by average assets adjusted for goodwill and deposit-based intangibles. Although a minimum leverage ratio of 3% is required,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United’s capital ratios, as calculated under regulatory guidelines, at September 30, 2013, December 31, 2012 and September 30,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340" w:type="dxa"/>
            <w:vAlign w:val="bottom"/>
            <w:gridSpan w:val="4"/>
          </w:tcPr>
          <w:p>
            <w:pPr>
              <w:ind w:left="600"/>
              <w:spacing w:after="0"/>
              <w:rPr>
                <w:sz w:val="20"/>
                <w:szCs w:val="20"/>
                <w:color w:val="auto"/>
              </w:rPr>
            </w:pPr>
            <w:r>
              <w:rPr>
                <w:rFonts w:ascii="Arial" w:cs="Arial" w:eastAsia="Arial" w:hAnsi="Arial"/>
                <w:sz w:val="18"/>
                <w:szCs w:val="18"/>
                <w:b w:val="1"/>
                <w:bCs w:val="1"/>
                <w:color w:val="auto"/>
              </w:rPr>
              <w:t>Regulatory</w:t>
            </w:r>
          </w:p>
        </w:tc>
        <w:tc>
          <w:tcPr>
            <w:tcW w:w="350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2"/>
              </w:rPr>
              <w:t>United Community Banks, Inc.</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160" w:type="dxa"/>
            <w:vAlign w:val="bottom"/>
          </w:tcPr>
          <w:p>
            <w:pPr>
              <w:spacing w:after="0"/>
              <w:rPr>
                <w:sz w:val="20"/>
                <w:szCs w:val="20"/>
                <w:color w:val="auto"/>
              </w:rPr>
            </w:pPr>
          </w:p>
        </w:tc>
        <w:tc>
          <w:tcPr>
            <w:tcW w:w="20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Guidelines</w:t>
            </w:r>
          </w:p>
        </w:tc>
        <w:tc>
          <w:tcPr>
            <w:tcW w:w="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(Consolidated)</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Borders>
              <w:bottom w:val="single" w:sz="8" w:color="auto"/>
            </w:tcBorders>
            <w:gridSpan w:val="7"/>
          </w:tcPr>
          <w:p>
            <w:pPr>
              <w:jc w:val="right"/>
              <w:ind w:right="570"/>
              <w:spacing w:after="0"/>
              <w:rPr>
                <w:sz w:val="20"/>
                <w:szCs w:val="20"/>
                <w:color w:val="auto"/>
              </w:rPr>
            </w:pPr>
            <w:r>
              <w:rPr>
                <w:rFonts w:ascii="Arial" w:cs="Arial" w:eastAsia="Arial" w:hAnsi="Arial"/>
                <w:sz w:val="18"/>
                <w:szCs w:val="18"/>
                <w:b w:val="1"/>
                <w:bCs w:val="1"/>
                <w:color w:val="auto"/>
              </w:rPr>
              <w:t>United Community Bank</w:t>
            </w:r>
          </w:p>
        </w:tc>
        <w:tc>
          <w:tcPr>
            <w:tcW w:w="14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September</w:t>
            </w:r>
          </w:p>
        </w:tc>
        <w:tc>
          <w:tcPr>
            <w:tcW w:w="12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September</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September</w:t>
            </w:r>
          </w:p>
        </w:tc>
        <w:tc>
          <w:tcPr>
            <w:tcW w:w="6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December</w:t>
            </w:r>
          </w:p>
        </w:tc>
        <w:tc>
          <w:tcPr>
            <w:tcW w:w="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September</w:t>
            </w:r>
          </w:p>
        </w:tc>
      </w:tr>
      <w:tr>
        <w:trPr>
          <w:trHeight w:val="216"/>
        </w:trPr>
        <w:tc>
          <w:tcPr>
            <w:tcW w:w="2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Well</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11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31,</w:t>
            </w:r>
          </w:p>
        </w:tc>
        <w:tc>
          <w:tcPr>
            <w:tcW w:w="10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9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9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r>
      <w:tr>
        <w:trPr>
          <w:trHeight w:val="241"/>
        </w:trPr>
        <w:tc>
          <w:tcPr>
            <w:tcW w:w="2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Minimum</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Capitalized</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Risk-based ratios:</w:t>
            </w: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Tier 1 capital</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14.16%</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14.26%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14.48%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14.48%</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14.47%</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8.0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900" w:type="dxa"/>
            <w:vAlign w:val="bottom"/>
          </w:tcPr>
          <w:p>
            <w:pPr>
              <w:jc w:val="right"/>
              <w:spacing w:after="0"/>
              <w:rPr>
                <w:sz w:val="20"/>
                <w:szCs w:val="20"/>
                <w:color w:val="auto"/>
              </w:rPr>
            </w:pPr>
            <w:r>
              <w:rPr>
                <w:rFonts w:ascii="Arial" w:cs="Arial" w:eastAsia="Arial" w:hAnsi="Arial"/>
                <w:sz w:val="18"/>
                <w:szCs w:val="18"/>
                <w:color w:val="auto"/>
              </w:rPr>
              <w:t>15.47</w:t>
            </w:r>
          </w:p>
        </w:tc>
        <w:tc>
          <w:tcPr>
            <w:tcW w:w="14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15.73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15.83</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15.74</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15.73</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Leverage ratio</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3.0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900" w:type="dxa"/>
            <w:vAlign w:val="bottom"/>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9.64</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9.76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10.17</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9.86</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9.92</w:t>
            </w:r>
          </w:p>
        </w:tc>
      </w:tr>
      <w:tr>
        <w:trPr>
          <w:trHeight w:val="418"/>
        </w:trPr>
        <w:tc>
          <w:tcPr>
            <w:tcW w:w="2160" w:type="dxa"/>
            <w:vAlign w:val="bottom"/>
          </w:tcPr>
          <w:p>
            <w:pPr>
              <w:ind w:left="180"/>
              <w:spacing w:after="0"/>
              <w:rPr>
                <w:sz w:val="20"/>
                <w:szCs w:val="20"/>
                <w:color w:val="auto"/>
              </w:rPr>
            </w:pPr>
            <w:r>
              <w:rPr>
                <w:rFonts w:ascii="Arial" w:cs="Arial" w:eastAsia="Arial" w:hAnsi="Arial"/>
                <w:sz w:val="18"/>
                <w:szCs w:val="18"/>
                <w:color w:val="auto"/>
              </w:rPr>
              <w:t>Tier 1 capital</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695,802</w:t>
            </w:r>
          </w:p>
        </w:tc>
        <w:tc>
          <w:tcPr>
            <w:tcW w:w="14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   652,692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648,499</w:t>
            </w: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   704,591</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   666,585</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658,020</w:t>
            </w: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757,231</w:t>
            </w:r>
          </w:p>
        </w:tc>
        <w:tc>
          <w:tcPr>
            <w:tcW w:w="14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724,915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719,990</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765,646</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724,738</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715,492</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Tier 1 capital excludes other comprehensive income, and consists of shareholders’ equity and qualifying capital securities, less goodwill and deposit-based intangibles. Tier 2 capital components include supplemental capital items such as a qualifying allowance for loan losses and qualifying subordinated debt. Tier 1 capital plus Tier 2 capital components is referred to as Total Risk-Based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20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September 30, 2013 from that presented in the Annual Report on Form 10-K for the year ended December 31, 2012. The interest rate sensitivity position at September 30, 2013 is included in management’s discussion and analysis on page 57 of this report.</w:t>
      </w:r>
    </w:p>
    <w:p>
      <w:pPr>
        <w:spacing w:after="0" w:line="20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September 30, 2013.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1" w:name="page72"/>
    <w:bookmarkEnd w:id="71"/>
    <w:p>
      <w:pPr>
        <w:spacing w:after="0"/>
        <w:tabs>
          <w:tab w:leader="none" w:pos="12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in which an adverse decision could result in a material adverse change in the consolidated financial condition or results of operations of United.</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2012 and Quarterly Report on Form 10-Q for the period ended June 30, 2013, except for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changes in tax laws, regulations and interpretations or challenges to our income tax provision.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 In addition, changes in enacted tax laws, such as the adoption of a lower income tax rate in any of the jurisdictions in which we operate, could impact our ability to obtain the future tax benefits represented by our deferred tax assets.</w:t>
      </w:r>
    </w:p>
    <w:p>
      <w:pPr>
        <w:spacing w:after="0" w:line="21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 – None</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72" w:name="page73"/>
    <w:bookmarkEnd w:id="72"/>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center"/>
              <w:ind w:left="150"/>
              <w:spacing w:after="0"/>
              <w:rPr>
                <w:sz w:val="20"/>
                <w:szCs w:val="20"/>
                <w:color w:val="auto"/>
              </w:rPr>
            </w:pPr>
            <w:r>
              <w:rPr>
                <w:rFonts w:ascii="Arial" w:cs="Arial" w:eastAsia="Arial" w:hAnsi="Arial"/>
                <w:sz w:val="18"/>
                <w:szCs w:val="18"/>
                <w:color w:val="auto"/>
                <w:w w:val="96"/>
              </w:rPr>
              <w:t>Exhibit No.</w:t>
            </w:r>
          </w:p>
        </w:tc>
        <w:tc>
          <w:tcPr>
            <w:tcW w:w="10060" w:type="dxa"/>
            <w:vAlign w:val="bottom"/>
          </w:tcPr>
          <w:p>
            <w:pPr>
              <w:ind w:left="160"/>
              <w:spacing w:after="0"/>
              <w:rPr>
                <w:sz w:val="20"/>
                <w:szCs w:val="20"/>
                <w:color w:val="auto"/>
              </w:rPr>
            </w:pPr>
            <w:r>
              <w:rPr>
                <w:rFonts w:ascii="Arial" w:cs="Arial" w:eastAsia="Arial" w:hAnsi="Arial"/>
                <w:sz w:val="18"/>
                <w:szCs w:val="18"/>
                <w:color w:val="auto"/>
              </w:rPr>
              <w:t>Description</w:t>
            </w:r>
          </w:p>
        </w:tc>
      </w:tr>
      <w:tr>
        <w:trPr>
          <w:trHeight w:val="418"/>
        </w:trPr>
        <w:tc>
          <w:tcPr>
            <w:tcW w:w="1360" w:type="dxa"/>
            <w:vAlign w:val="bottom"/>
          </w:tcPr>
          <w:p>
            <w:pPr>
              <w:ind w:left="640"/>
              <w:spacing w:after="0"/>
              <w:rPr>
                <w:sz w:val="20"/>
                <w:szCs w:val="20"/>
                <w:color w:val="auto"/>
              </w:rPr>
            </w:pPr>
            <w:r>
              <w:rPr>
                <w:rFonts w:ascii="Arial" w:cs="Arial" w:eastAsia="Arial" w:hAnsi="Arial"/>
                <w:sz w:val="18"/>
                <w:szCs w:val="18"/>
                <w:color w:val="auto"/>
              </w:rPr>
              <w:t>31.1</w:t>
            </w:r>
          </w:p>
        </w:tc>
        <w:tc>
          <w:tcPr>
            <w:tcW w:w="10060" w:type="dxa"/>
            <w:vAlign w:val="bottom"/>
          </w:tcPr>
          <w:p>
            <w:pPr>
              <w:ind w:left="160"/>
              <w:spacing w:after="0"/>
              <w:rPr>
                <w:sz w:val="20"/>
                <w:szCs w:val="20"/>
                <w:color w:val="auto"/>
              </w:rPr>
            </w:pPr>
            <w:r>
              <w:rPr>
                <w:rFonts w:ascii="Arial" w:cs="Arial" w:eastAsia="Arial" w:hAnsi="Arial"/>
                <w:sz w:val="18"/>
                <w:szCs w:val="18"/>
                <w:color w:val="auto"/>
                <w:w w:val="96"/>
              </w:rPr>
              <w:t>Certification by Jimmy C. Tallent, President and Chief Executive Officer of United Community Banks, Inc., as adopted pursuant to</w:t>
            </w:r>
          </w:p>
        </w:tc>
      </w:tr>
      <w:tr>
        <w:trPr>
          <w:trHeight w:val="230"/>
        </w:trPr>
        <w:tc>
          <w:tcPr>
            <w:tcW w:w="1360" w:type="dxa"/>
            <w:vAlign w:val="bottom"/>
          </w:tcPr>
          <w:p>
            <w:pPr>
              <w:spacing w:after="0"/>
              <w:rPr>
                <w:sz w:val="20"/>
                <w:szCs w:val="20"/>
                <w:color w:val="auto"/>
              </w:rPr>
            </w:pPr>
          </w:p>
        </w:tc>
        <w:tc>
          <w:tcPr>
            <w:tcW w:w="10060" w:type="dxa"/>
            <w:vAlign w:val="bottom"/>
          </w:tcPr>
          <w:p>
            <w:pPr>
              <w:ind w:left="16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360" w:type="dxa"/>
            <w:vAlign w:val="bottom"/>
          </w:tcPr>
          <w:p>
            <w:pPr>
              <w:ind w:left="640"/>
              <w:spacing w:after="0"/>
              <w:rPr>
                <w:sz w:val="20"/>
                <w:szCs w:val="20"/>
                <w:color w:val="auto"/>
              </w:rPr>
            </w:pPr>
            <w:r>
              <w:rPr>
                <w:rFonts w:ascii="Arial" w:cs="Arial" w:eastAsia="Arial" w:hAnsi="Arial"/>
                <w:sz w:val="18"/>
                <w:szCs w:val="18"/>
                <w:color w:val="auto"/>
              </w:rPr>
              <w:t>31.2</w:t>
            </w:r>
          </w:p>
        </w:tc>
        <w:tc>
          <w:tcPr>
            <w:tcW w:w="10060" w:type="dxa"/>
            <w:vAlign w:val="bottom"/>
          </w:tcPr>
          <w:p>
            <w:pPr>
              <w:ind w:left="160"/>
              <w:spacing w:after="0"/>
              <w:rPr>
                <w:sz w:val="20"/>
                <w:szCs w:val="20"/>
                <w:color w:val="auto"/>
              </w:rPr>
            </w:pPr>
            <w:r>
              <w:rPr>
                <w:rFonts w:ascii="Arial" w:cs="Arial" w:eastAsia="Arial" w:hAnsi="Arial"/>
                <w:sz w:val="18"/>
                <w:szCs w:val="18"/>
                <w:color w:val="auto"/>
                <w:w w:val="94"/>
              </w:rPr>
              <w:t>Certification by Rex S. Schuette, Executive Vice President and Chief Financial Officer of United Community Banks, Inc., as adopted</w:t>
            </w:r>
          </w:p>
        </w:tc>
      </w:tr>
      <w:tr>
        <w:trPr>
          <w:trHeight w:val="230"/>
        </w:trPr>
        <w:tc>
          <w:tcPr>
            <w:tcW w:w="1360" w:type="dxa"/>
            <w:vAlign w:val="bottom"/>
          </w:tcPr>
          <w:p>
            <w:pPr>
              <w:spacing w:after="0"/>
              <w:rPr>
                <w:sz w:val="20"/>
                <w:szCs w:val="20"/>
                <w:color w:val="auto"/>
              </w:rPr>
            </w:pPr>
          </w:p>
        </w:tc>
        <w:tc>
          <w:tcPr>
            <w:tcW w:w="10060" w:type="dxa"/>
            <w:vAlign w:val="bottom"/>
          </w:tcPr>
          <w:p>
            <w:pPr>
              <w:ind w:left="1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32"/>
        </w:trPr>
        <w:tc>
          <w:tcPr>
            <w:tcW w:w="1360" w:type="dxa"/>
            <w:vAlign w:val="bottom"/>
          </w:tcPr>
          <w:p>
            <w:pPr>
              <w:ind w:left="640"/>
              <w:spacing w:after="0"/>
              <w:rPr>
                <w:sz w:val="20"/>
                <w:szCs w:val="20"/>
                <w:color w:val="auto"/>
              </w:rPr>
            </w:pPr>
            <w:r>
              <w:rPr>
                <w:rFonts w:ascii="Arial" w:cs="Arial" w:eastAsia="Arial" w:hAnsi="Arial"/>
                <w:sz w:val="18"/>
                <w:szCs w:val="18"/>
                <w:color w:val="auto"/>
              </w:rPr>
              <w:t>32</w:t>
            </w:r>
          </w:p>
        </w:tc>
        <w:tc>
          <w:tcPr>
            <w:tcW w:w="10060" w:type="dxa"/>
            <w:vAlign w:val="bottom"/>
          </w:tcPr>
          <w:p>
            <w:pPr>
              <w:ind w:left="1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360" w:type="dxa"/>
            <w:vAlign w:val="bottom"/>
          </w:tcPr>
          <w:p>
            <w:pPr>
              <w:jc w:val="center"/>
              <w:ind w:left="150"/>
              <w:spacing w:after="0"/>
              <w:rPr>
                <w:sz w:val="20"/>
                <w:szCs w:val="20"/>
                <w:color w:val="auto"/>
              </w:rPr>
            </w:pPr>
            <w:r>
              <w:rPr>
                <w:rFonts w:ascii="Arial" w:cs="Arial" w:eastAsia="Arial" w:hAnsi="Arial"/>
                <w:sz w:val="18"/>
                <w:szCs w:val="18"/>
                <w:color w:val="auto"/>
                <w:w w:val="92"/>
              </w:rPr>
              <w:t>101.INS</w:t>
            </w:r>
          </w:p>
        </w:tc>
        <w:tc>
          <w:tcPr>
            <w:tcW w:w="1006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360" w:type="dxa"/>
            <w:vAlign w:val="bottom"/>
          </w:tcPr>
          <w:p>
            <w:pPr>
              <w:jc w:val="center"/>
              <w:ind w:left="150"/>
              <w:spacing w:after="0"/>
              <w:rPr>
                <w:sz w:val="20"/>
                <w:szCs w:val="20"/>
                <w:color w:val="auto"/>
              </w:rPr>
            </w:pPr>
            <w:r>
              <w:rPr>
                <w:rFonts w:ascii="Arial" w:cs="Arial" w:eastAsia="Arial" w:hAnsi="Arial"/>
                <w:sz w:val="18"/>
                <w:szCs w:val="18"/>
                <w:color w:val="auto"/>
                <w:w w:val="93"/>
              </w:rPr>
              <w:t>101.SCH</w:t>
            </w:r>
          </w:p>
        </w:tc>
        <w:tc>
          <w:tcPr>
            <w:tcW w:w="100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60" w:type="dxa"/>
            <w:vAlign w:val="bottom"/>
          </w:tcPr>
          <w:p>
            <w:pPr>
              <w:jc w:val="center"/>
              <w:ind w:left="150"/>
              <w:spacing w:after="0"/>
              <w:rPr>
                <w:sz w:val="20"/>
                <w:szCs w:val="20"/>
                <w:color w:val="auto"/>
              </w:rPr>
            </w:pPr>
            <w:r>
              <w:rPr>
                <w:rFonts w:ascii="Arial" w:cs="Arial" w:eastAsia="Arial" w:hAnsi="Arial"/>
                <w:sz w:val="18"/>
                <w:szCs w:val="18"/>
                <w:color w:val="auto"/>
                <w:w w:val="97"/>
              </w:rPr>
              <w:t>101.CAL</w:t>
            </w:r>
          </w:p>
        </w:tc>
        <w:tc>
          <w:tcPr>
            <w:tcW w:w="1006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60" w:type="dxa"/>
            <w:vAlign w:val="bottom"/>
          </w:tcPr>
          <w:p>
            <w:pPr>
              <w:jc w:val="center"/>
              <w:ind w:left="150"/>
              <w:spacing w:after="0"/>
              <w:rPr>
                <w:sz w:val="20"/>
                <w:szCs w:val="20"/>
                <w:color w:val="auto"/>
              </w:rPr>
            </w:pPr>
            <w:r>
              <w:rPr>
                <w:rFonts w:ascii="Arial" w:cs="Arial" w:eastAsia="Arial" w:hAnsi="Arial"/>
                <w:sz w:val="18"/>
                <w:szCs w:val="18"/>
                <w:color w:val="auto"/>
                <w:w w:val="90"/>
              </w:rPr>
              <w:t>101.DEF</w:t>
            </w:r>
          </w:p>
        </w:tc>
        <w:tc>
          <w:tcPr>
            <w:tcW w:w="1006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60" w:type="dxa"/>
            <w:vAlign w:val="bottom"/>
          </w:tcPr>
          <w:p>
            <w:pPr>
              <w:jc w:val="center"/>
              <w:ind w:left="150"/>
              <w:spacing w:after="0"/>
              <w:rPr>
                <w:sz w:val="20"/>
                <w:szCs w:val="20"/>
                <w:color w:val="auto"/>
              </w:rPr>
            </w:pPr>
            <w:r>
              <w:rPr>
                <w:rFonts w:ascii="Arial" w:cs="Arial" w:eastAsia="Arial" w:hAnsi="Arial"/>
                <w:sz w:val="18"/>
                <w:szCs w:val="18"/>
                <w:color w:val="auto"/>
                <w:w w:val="98"/>
              </w:rPr>
              <w:t>101.LAB</w:t>
            </w:r>
          </w:p>
        </w:tc>
        <w:tc>
          <w:tcPr>
            <w:tcW w:w="1006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60" w:type="dxa"/>
            <w:vAlign w:val="bottom"/>
          </w:tcPr>
          <w:p>
            <w:pPr>
              <w:jc w:val="center"/>
              <w:ind w:left="150"/>
              <w:spacing w:after="0"/>
              <w:rPr>
                <w:sz w:val="20"/>
                <w:szCs w:val="20"/>
                <w:color w:val="auto"/>
              </w:rPr>
            </w:pPr>
            <w:r>
              <w:rPr>
                <w:rFonts w:ascii="Arial" w:cs="Arial" w:eastAsia="Arial" w:hAnsi="Arial"/>
                <w:sz w:val="18"/>
                <w:szCs w:val="18"/>
                <w:color w:val="auto"/>
                <w:w w:val="88"/>
              </w:rPr>
              <w:t>101.PRE</w:t>
            </w:r>
          </w:p>
        </w:tc>
        <w:tc>
          <w:tcPr>
            <w:tcW w:w="1006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360" w:type="dxa"/>
            <w:vAlign w:val="bottom"/>
            <w:tcBorders>
              <w:bottom w:val="single" w:sz="8" w:color="DCDCDC"/>
            </w:tcBorders>
          </w:tcPr>
          <w:p>
            <w:pPr>
              <w:spacing w:after="0"/>
              <w:rPr>
                <w:sz w:val="24"/>
                <w:szCs w:val="24"/>
                <w:color w:val="auto"/>
              </w:rPr>
            </w:pPr>
          </w:p>
        </w:tc>
        <w:tc>
          <w:tcPr>
            <w:tcW w:w="10060" w:type="dxa"/>
            <w:vAlign w:val="bottom"/>
            <w:tcBorders>
              <w:bottom w:val="single" w:sz="8" w:color="DCDCDC"/>
            </w:tcBorders>
          </w:tcPr>
          <w:p>
            <w:pPr>
              <w:ind w:left="426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918"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08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left="608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November 7, 2013</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52"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21780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Date: November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5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21780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Date: November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September 30, 2013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1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64"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4612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4612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Date: November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upp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2019-12-06T04:02:23Z</dcterms:created>
  <dcterms:modified xsi:type="dcterms:W3CDTF">2019-12-06T04:02:23Z</dcterms:modified>
</cp:coreProperties>
</file>